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3286.xml.htm"/>
      <w:bookmarkStart w:id="1" w:name="kswkform4_17859632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Pagliuca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 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65,533</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137,946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The entire award shall vest and settle in cash on the earlier of (a) the one-year anniversary of the date of grant, or (b) the date of the next annual meeting of the Issuers stockholders, in each case, subject to the Reporting Persons continued service to the Issuer through the applicable vesting date. The award represents the right to receive cash in an amount equal to the value of one share of the Issuers common stock on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M. Dickman as Attorney-in-Fact for John Pagliuca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5729"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3492</Characters>
  <CharactersWithSpaces>4081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