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186055</wp:posOffset>
            </wp:positionV>
            <wp:extent cx="2470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132080</wp:posOffset>
            </wp:positionV>
            <wp:extent cx="2470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July 17, 2019</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3117850</wp:posOffset>
            </wp:positionH>
            <wp:positionV relativeFrom="paragraph">
              <wp:posOffset>32385</wp:posOffset>
            </wp:positionV>
            <wp:extent cx="1029335" cy="488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33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200" w:type="dxa"/>
            <w:vAlign w:val="bottom"/>
          </w:tcPr>
          <w:p>
            <w:pPr>
              <w:spacing w:after="0"/>
              <w:rPr>
                <w:sz w:val="21"/>
                <w:szCs w:val="21"/>
                <w:color w:val="auto"/>
              </w:rPr>
            </w:pPr>
          </w:p>
        </w:tc>
        <w:tc>
          <w:tcPr>
            <w:tcW w:w="2720" w:type="dxa"/>
            <w:vAlign w:val="bottom"/>
            <w:gridSpan w:val="2"/>
          </w:tcPr>
          <w:p>
            <w:pPr>
              <w:jc w:val="center"/>
              <w:ind w:right="1780"/>
              <w:spacing w:after="0"/>
              <w:rPr>
                <w:sz w:val="20"/>
                <w:szCs w:val="20"/>
                <w:color w:val="auto"/>
              </w:rPr>
            </w:pPr>
            <w:r>
              <w:rPr>
                <w:rFonts w:ascii="Arial" w:cs="Arial" w:eastAsia="Arial" w:hAnsi="Arial"/>
                <w:sz w:val="22"/>
                <w:szCs w:val="22"/>
                <w:b w:val="1"/>
                <w:bCs w:val="1"/>
                <w:color w:val="auto"/>
                <w:w w:val="97"/>
              </w:rPr>
              <w:t>Delaware</w:t>
            </w:r>
          </w:p>
        </w:tc>
        <w:tc>
          <w:tcPr>
            <w:tcW w:w="2100" w:type="dxa"/>
            <w:vAlign w:val="bottom"/>
            <w:gridSpan w:val="2"/>
          </w:tcPr>
          <w:p>
            <w:pPr>
              <w:jc w:val="right"/>
              <w:spacing w:after="0"/>
              <w:rPr>
                <w:sz w:val="20"/>
                <w:szCs w:val="20"/>
                <w:color w:val="auto"/>
              </w:rPr>
            </w:pPr>
            <w:r>
              <w:rPr>
                <w:rFonts w:ascii="Arial" w:cs="Arial" w:eastAsia="Arial" w:hAnsi="Arial"/>
                <w:sz w:val="22"/>
                <w:szCs w:val="22"/>
                <w:b w:val="1"/>
                <w:bCs w:val="1"/>
                <w:color w:val="auto"/>
              </w:rPr>
              <w:t>001-38312</w:t>
            </w:r>
          </w:p>
        </w:tc>
        <w:tc>
          <w:tcPr>
            <w:tcW w:w="1160" w:type="dxa"/>
            <w:vAlign w:val="bottom"/>
          </w:tcPr>
          <w:p>
            <w:pPr>
              <w:spacing w:after="0"/>
              <w:rPr>
                <w:sz w:val="21"/>
                <w:szCs w:val="21"/>
                <w:color w:val="auto"/>
              </w:rPr>
            </w:pPr>
          </w:p>
        </w:tc>
        <w:tc>
          <w:tcPr>
            <w:tcW w:w="2720" w:type="dxa"/>
            <w:vAlign w:val="bottom"/>
            <w:gridSpan w:val="2"/>
          </w:tcPr>
          <w:p>
            <w:pPr>
              <w:jc w:val="right"/>
              <w:spacing w:after="0"/>
              <w:rPr>
                <w:sz w:val="20"/>
                <w:szCs w:val="20"/>
                <w:color w:val="auto"/>
              </w:rPr>
            </w:pPr>
            <w:r>
              <w:rPr>
                <w:rFonts w:ascii="Arial" w:cs="Arial" w:eastAsia="Arial" w:hAnsi="Arial"/>
                <w:sz w:val="22"/>
                <w:szCs w:val="22"/>
                <w:b w:val="1"/>
                <w:bCs w:val="1"/>
                <w:color w:val="auto"/>
              </w:rPr>
              <w:t>77-0142404</w:t>
            </w:r>
          </w:p>
        </w:tc>
        <w:tc>
          <w:tcPr>
            <w:tcW w:w="980" w:type="dxa"/>
            <w:vAlign w:val="bottom"/>
          </w:tcPr>
          <w:p>
            <w:pPr>
              <w:spacing w:after="0"/>
              <w:rPr>
                <w:sz w:val="21"/>
                <w:szCs w:val="21"/>
                <w:color w:val="auto"/>
              </w:rPr>
            </w:pPr>
          </w:p>
        </w:tc>
      </w:tr>
      <w:tr>
        <w:trPr>
          <w:trHeight w:val="20"/>
        </w:trPr>
        <w:tc>
          <w:tcPr>
            <w:tcW w:w="1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91"/>
        </w:trPr>
        <w:tc>
          <w:tcPr>
            <w:tcW w:w="3920" w:type="dxa"/>
            <w:vAlign w:val="bottom"/>
            <w:gridSpan w:val="3"/>
          </w:tcPr>
          <w:p>
            <w:pPr>
              <w:jc w:val="center"/>
              <w:ind w:right="520"/>
              <w:spacing w:after="0"/>
              <w:rPr>
                <w:sz w:val="20"/>
                <w:szCs w:val="20"/>
                <w:color w:val="auto"/>
              </w:rPr>
            </w:pPr>
            <w:r>
              <w:rPr>
                <w:rFonts w:ascii="Arial" w:cs="Arial" w:eastAsia="Arial" w:hAnsi="Arial"/>
                <w:sz w:val="18"/>
                <w:szCs w:val="18"/>
                <w:i w:val="1"/>
                <w:iCs w:val="1"/>
                <w:color w:val="auto"/>
                <w:w w:val="99"/>
              </w:rPr>
              <w:t>(State or other jurisdiction of incorporation)</w:t>
            </w:r>
          </w:p>
        </w:tc>
        <w:tc>
          <w:tcPr>
            <w:tcW w:w="3260" w:type="dxa"/>
            <w:vAlign w:val="bottom"/>
            <w:gridSpan w:val="3"/>
          </w:tcPr>
          <w:p>
            <w:pPr>
              <w:jc w:val="center"/>
              <w:ind w:right="40"/>
              <w:spacing w:after="0"/>
              <w:rPr>
                <w:sz w:val="20"/>
                <w:szCs w:val="20"/>
                <w:color w:val="auto"/>
              </w:rPr>
            </w:pPr>
            <w:r>
              <w:rPr>
                <w:rFonts w:ascii="Arial" w:cs="Arial" w:eastAsia="Arial" w:hAnsi="Arial"/>
                <w:sz w:val="18"/>
                <w:szCs w:val="18"/>
                <w:i w:val="1"/>
                <w:iCs w:val="1"/>
                <w:color w:val="auto"/>
                <w:w w:val="99"/>
              </w:rPr>
              <w:t>(Commission File Number)</w:t>
            </w:r>
          </w:p>
        </w:tc>
        <w:tc>
          <w:tcPr>
            <w:tcW w:w="3700" w:type="dxa"/>
            <w:vAlign w:val="bottom"/>
            <w:gridSpan w:val="3"/>
          </w:tcPr>
          <w:p>
            <w:pPr>
              <w:jc w:val="center"/>
              <w:ind w:left="481"/>
              <w:spacing w:after="0"/>
              <w:rPr>
                <w:sz w:val="20"/>
                <w:szCs w:val="20"/>
                <w:color w:val="auto"/>
              </w:rPr>
            </w:pPr>
            <w:r>
              <w:rPr>
                <w:rFonts w:ascii="Arial" w:cs="Arial" w:eastAsia="Arial" w:hAnsi="Arial"/>
                <w:sz w:val="18"/>
                <w:szCs w:val="18"/>
                <w:i w:val="1"/>
                <w:iCs w:val="1"/>
                <w:color w:val="auto"/>
                <w:w w:val="99"/>
              </w:rPr>
              <w:t>(I.R.S. Employer Identification Number)</w:t>
            </w:r>
          </w:p>
        </w:tc>
      </w:tr>
    </w:tbl>
    <w:p>
      <w:pPr>
        <w:spacing w:after="0" w:line="10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2125 O'Nel Drive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San Jose, CA 95131</w:t>
      </w: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(408) 727-1885</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Not Applicable</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16"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4"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1000" w:type="dxa"/>
            <w:vAlign w:val="bottom"/>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Title of each class</w:t>
            </w:r>
          </w:p>
        </w:tc>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w:t>
            </w:r>
          </w:p>
        </w:tc>
        <w:tc>
          <w:tcPr>
            <w:tcW w:w="820" w:type="dxa"/>
            <w:vAlign w:val="bottom"/>
          </w:tcPr>
          <w:p>
            <w:pPr>
              <w:spacing w:after="0"/>
              <w:rPr>
                <w:sz w:val="18"/>
                <w:szCs w:val="18"/>
                <w:color w:val="auto"/>
              </w:rPr>
            </w:pPr>
          </w:p>
        </w:tc>
        <w:tc>
          <w:tcPr>
            <w:tcW w:w="3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317"/>
        </w:trPr>
        <w:tc>
          <w:tcPr>
            <w:tcW w:w="394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COMMON STOCK, PAR VALUE $.001 PER</w:t>
            </w:r>
          </w:p>
        </w:tc>
        <w:tc>
          <w:tcPr>
            <w:tcW w:w="400" w:type="dxa"/>
            <w:vAlign w:val="bottom"/>
          </w:tcPr>
          <w:p>
            <w:pPr>
              <w:spacing w:after="0"/>
              <w:rPr>
                <w:sz w:val="24"/>
                <w:szCs w:val="24"/>
                <w:color w:val="auto"/>
              </w:rPr>
            </w:pPr>
          </w:p>
        </w:tc>
        <w:tc>
          <w:tcPr>
            <w:tcW w:w="2180" w:type="dxa"/>
            <w:vAlign w:val="bottom"/>
            <w:gridSpan w:val="2"/>
          </w:tcPr>
          <w:p>
            <w:pPr>
              <w:jc w:val="center"/>
              <w:ind w:right="840"/>
              <w:spacing w:after="0"/>
              <w:rPr>
                <w:sz w:val="20"/>
                <w:szCs w:val="20"/>
                <w:color w:val="auto"/>
              </w:rPr>
            </w:pPr>
            <w:r>
              <w:rPr>
                <w:rFonts w:ascii="Arial" w:cs="Arial" w:eastAsia="Arial" w:hAnsi="Arial"/>
                <w:sz w:val="18"/>
                <w:szCs w:val="18"/>
                <w:color w:val="auto"/>
                <w:w w:val="99"/>
              </w:rPr>
              <w:t>EGHT</w:t>
            </w:r>
          </w:p>
        </w:tc>
        <w:tc>
          <w:tcPr>
            <w:tcW w:w="3800" w:type="dxa"/>
            <w:vAlign w:val="bottom"/>
          </w:tcPr>
          <w:p>
            <w:pPr>
              <w:jc w:val="center"/>
              <w:spacing w:after="0"/>
              <w:rPr>
                <w:sz w:val="20"/>
                <w:szCs w:val="20"/>
                <w:color w:val="auto"/>
              </w:rPr>
            </w:pPr>
            <w:r>
              <w:rPr>
                <w:rFonts w:ascii="Arial" w:cs="Arial" w:eastAsia="Arial" w:hAnsi="Arial"/>
                <w:sz w:val="18"/>
                <w:szCs w:val="18"/>
                <w:color w:val="auto"/>
                <w:w w:val="98"/>
              </w:rPr>
              <w:t>New York Stock Exchange</w:t>
            </w:r>
          </w:p>
        </w:tc>
      </w:tr>
      <w:tr>
        <w:trPr>
          <w:trHeight w:val="217"/>
        </w:trPr>
        <w:tc>
          <w:tcPr>
            <w:tcW w:w="1000" w:type="dxa"/>
            <w:vAlign w:val="bottom"/>
          </w:tcPr>
          <w:p>
            <w:pPr>
              <w:spacing w:after="0"/>
              <w:rPr>
                <w:sz w:val="18"/>
                <w:szCs w:val="18"/>
                <w:color w:val="auto"/>
              </w:rPr>
            </w:pPr>
          </w:p>
        </w:tc>
        <w:tc>
          <w:tcPr>
            <w:tcW w:w="2940" w:type="dxa"/>
            <w:vAlign w:val="bottom"/>
            <w:gridSpan w:val="2"/>
          </w:tcPr>
          <w:p>
            <w:pPr>
              <w:jc w:val="center"/>
              <w:ind w:right="1400"/>
              <w:spacing w:after="0"/>
              <w:rPr>
                <w:sz w:val="20"/>
                <w:szCs w:val="20"/>
                <w:color w:val="auto"/>
              </w:rPr>
            </w:pPr>
            <w:r>
              <w:rPr>
                <w:rFonts w:ascii="Arial" w:cs="Arial" w:eastAsia="Arial" w:hAnsi="Arial"/>
                <w:sz w:val="18"/>
                <w:szCs w:val="18"/>
                <w:color w:val="auto"/>
                <w:w w:val="99"/>
              </w:rPr>
              <w:t>SHARE</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0" w:type="dxa"/>
            <w:vAlign w:val="bottom"/>
          </w:tcPr>
          <w:p>
            <w:pPr>
              <w:spacing w:after="0"/>
              <w:rPr>
                <w:sz w:val="18"/>
                <w:szCs w:val="18"/>
                <w:color w:val="auto"/>
              </w:rPr>
            </w:pPr>
          </w:p>
        </w:tc>
      </w:tr>
    </w:tbl>
    <w:p>
      <w:pPr>
        <w:spacing w:after="0" w:line="256" w:lineRule="exact"/>
        <w:rPr>
          <w:sz w:val="24"/>
          <w:szCs w:val="24"/>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180" w:hanging="172"/>
        <w:spacing w:after="0"/>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79" w:lineRule="exact"/>
        <w:rPr>
          <w:sz w:val="24"/>
          <w:szCs w:val="24"/>
          <w:color w:val="auto"/>
        </w:rPr>
      </w:pPr>
    </w:p>
    <w:p>
      <w:pPr>
        <w:ind w:right="180"/>
        <w:spacing w:after="0" w:line="26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20" w:lineRule="exact"/>
        <w:rPr>
          <w:sz w:val="24"/>
          <w:szCs w:val="24"/>
          <w:color w:val="auto"/>
        </w:rPr>
      </w:pPr>
    </w:p>
    <w:p>
      <w:pPr>
        <w:ind w:left="8680"/>
        <w:spacing w:after="0"/>
        <w:tabs>
          <w:tab w:leader="none" w:pos="110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7"/>
          <w:szCs w:val="17"/>
          <w:color w:val="auto"/>
        </w:rPr>
        <w:t>o</w:t>
      </w:r>
    </w:p>
    <w:p>
      <w:pPr>
        <w:spacing w:after="0" w:line="333" w:lineRule="exact"/>
        <w:rPr>
          <w:sz w:val="24"/>
          <w:szCs w:val="24"/>
          <w:color w:val="auto"/>
        </w:rPr>
      </w:pPr>
    </w:p>
    <w:p>
      <w:pPr>
        <w:spacing w:after="0" w:line="32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82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2.01 of this Current Report on Form 8-K is incorporated herein by reference into this Item 1.01.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Completion of Acquisition of Assets.</w:t>
      </w:r>
    </w:p>
    <w:p>
      <w:pPr>
        <w:spacing w:after="0" w:line="24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On July 17, 2019, 8x8, Inc. (“</w:t>
      </w:r>
      <w:r>
        <w:rPr>
          <w:rFonts w:ascii="Arial" w:cs="Arial" w:eastAsia="Arial" w:hAnsi="Arial"/>
          <w:sz w:val="18"/>
          <w:szCs w:val="18"/>
          <w:u w:val="single" w:color="auto"/>
          <w:color w:val="auto"/>
        </w:rPr>
        <w:t>8x8</w:t>
      </w:r>
      <w:r>
        <w:rPr>
          <w:rFonts w:ascii="Arial" w:cs="Arial" w:eastAsia="Arial" w:hAnsi="Arial"/>
          <w:sz w:val="18"/>
          <w:szCs w:val="18"/>
          <w:color w:val="auto"/>
        </w:rPr>
        <w:t>” or the “</w:t>
      </w:r>
      <w:r>
        <w:rPr>
          <w:rFonts w:ascii="Arial" w:cs="Arial" w:eastAsia="Arial" w:hAnsi="Arial"/>
          <w:sz w:val="18"/>
          <w:szCs w:val="18"/>
          <w:u w:val="single" w:color="auto"/>
          <w:color w:val="auto"/>
        </w:rPr>
        <w:t>Company</w:t>
      </w:r>
      <w:r>
        <w:rPr>
          <w:rFonts w:ascii="Arial" w:cs="Arial" w:eastAsia="Arial" w:hAnsi="Arial"/>
          <w:sz w:val="18"/>
          <w:szCs w:val="18"/>
          <w:color w:val="auto"/>
        </w:rPr>
        <w:t>”) entered into a Share Purchase Agreement (the “</w:t>
      </w:r>
      <w:r>
        <w:rPr>
          <w:rFonts w:ascii="Arial" w:cs="Arial" w:eastAsia="Arial" w:hAnsi="Arial"/>
          <w:sz w:val="18"/>
          <w:szCs w:val="18"/>
          <w:u w:val="single" w:color="auto"/>
          <w:color w:val="auto"/>
        </w:rPr>
        <w:t>Share Purchase Agreement</w:t>
      </w:r>
      <w:r>
        <w:rPr>
          <w:rFonts w:ascii="Arial" w:cs="Arial" w:eastAsia="Arial" w:hAnsi="Arial"/>
          <w:sz w:val="18"/>
          <w:szCs w:val="18"/>
          <w:color w:val="auto"/>
        </w:rPr>
        <w:t>”) with Wavecell Pte. Ltd., a corporation incorporated under the laws of the Republic of Singapore (“</w:t>
      </w:r>
      <w:r>
        <w:rPr>
          <w:rFonts w:ascii="Arial" w:cs="Arial" w:eastAsia="Arial" w:hAnsi="Arial"/>
          <w:sz w:val="18"/>
          <w:szCs w:val="18"/>
          <w:u w:val="single" w:color="auto"/>
          <w:color w:val="auto"/>
        </w:rPr>
        <w:t>Wavecell</w:t>
      </w:r>
      <w:r>
        <w:rPr>
          <w:rFonts w:ascii="Arial" w:cs="Arial" w:eastAsia="Arial" w:hAnsi="Arial"/>
          <w:sz w:val="18"/>
          <w:szCs w:val="18"/>
          <w:color w:val="auto"/>
        </w:rPr>
        <w:t>”), the equityholders of Wavecell (collectively, the “</w:t>
      </w:r>
      <w:r>
        <w:rPr>
          <w:rFonts w:ascii="Arial" w:cs="Arial" w:eastAsia="Arial" w:hAnsi="Arial"/>
          <w:sz w:val="18"/>
          <w:szCs w:val="18"/>
          <w:u w:val="single" w:color="auto"/>
          <w:color w:val="auto"/>
        </w:rPr>
        <w:t>Sellers</w:t>
      </w:r>
      <w:r>
        <w:rPr>
          <w:rFonts w:ascii="Arial" w:cs="Arial" w:eastAsia="Arial" w:hAnsi="Arial"/>
          <w:sz w:val="18"/>
          <w:szCs w:val="18"/>
          <w:color w:val="auto"/>
        </w:rPr>
        <w:t>”), and Qualgro Partners Pte. Ltd., in its capacity as the representative of the equityholders of Wavecell. Pursuant to the Share Purchase Agreement, 8x8 acquired all of the outstanding shares and other equity interests of Wavecell (the “</w:t>
      </w:r>
      <w:r>
        <w:rPr>
          <w:rFonts w:ascii="Arial" w:cs="Arial" w:eastAsia="Arial" w:hAnsi="Arial"/>
          <w:sz w:val="18"/>
          <w:szCs w:val="18"/>
          <w:u w:val="single" w:color="auto"/>
          <w:color w:val="auto"/>
        </w:rPr>
        <w:t>Transaction</w:t>
      </w:r>
      <w:r>
        <w:rPr>
          <w:rFonts w:ascii="Arial" w:cs="Arial" w:eastAsia="Arial" w:hAnsi="Arial"/>
          <w:sz w:val="18"/>
          <w:szCs w:val="18"/>
          <w:color w:val="auto"/>
        </w:rPr>
        <w:t>”) for total consideration of approximately $125 million in cash and stock, subject to customary purchase price adjustments and escrow and holdback arrangements in accordance with the Share Purchase Agreement, and Wavecell became a wholly-owned subsidiary of 8x8. The Share Purchase Agreement contains representations, warranties and covenants customary for acquisitions of this type.</w:t>
      </w:r>
    </w:p>
    <w:p>
      <w:pPr>
        <w:spacing w:after="0" w:line="20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8x8 issued an aggregate of 2,628,761 shares of its common stock in connection with the closing of the Transaction, including certain shares for employee retention purposes subject to vesting based on time-based and performance-based criteria for Wavecell employees.</w:t>
      </w:r>
    </w:p>
    <w:p>
      <w:pPr>
        <w:spacing w:after="0" w:line="19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foregoing descriptions of the Share Purchase Agreement and the Transaction do not purport to be complete and are qualified in their entirety by the full text of the Share Purchase Agreement, which the Company intends to file as an exhibit to 8x8’s Quarterly Report on Form 10-Q for the quarter ending September 30, 2019.</w:t>
      </w:r>
    </w:p>
    <w:p>
      <w:pPr>
        <w:spacing w:after="0" w:line="202" w:lineRule="exact"/>
        <w:rPr>
          <w:sz w:val="20"/>
          <w:szCs w:val="20"/>
          <w:color w:val="auto"/>
        </w:rPr>
      </w:pPr>
    </w:p>
    <w:p>
      <w:pPr>
        <w:ind w:right="140"/>
        <w:spacing w:after="0" w:line="216" w:lineRule="exact"/>
        <w:rPr>
          <w:sz w:val="20"/>
          <w:szCs w:val="20"/>
          <w:color w:val="auto"/>
        </w:rPr>
      </w:pPr>
      <w:r>
        <w:rPr>
          <w:rFonts w:ascii="Arial" w:cs="Arial" w:eastAsia="Arial" w:hAnsi="Arial"/>
          <w:sz w:val="18"/>
          <w:szCs w:val="18"/>
          <w:color w:val="auto"/>
        </w:rPr>
        <w:t>In connection with the Transaction, 8x8 obtained from the Securities and Exchange Commission, pursuant to its authority under Rule 3-13 under Regulation S-X, a waiver from the requirements of Rule 3-05 and Article 11 of Regulation S-X to provide certain financial statements of Wavecell and pro forma financial information relating to the Transaction. As a result, 8x8 will not provide such financial statements under Item 9.01(a) and (b) of Form 8</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2.01 of this Current Report on Form 8-K is incorporated herein by reference into this Item 3.02.</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shares of 8x8 common stock issued in connection with the Transaction were not subject to registration under Regulation S promulgated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Each of the Sellers represented that they are not U.S. Persons within the meaning of Regulation S under the Securities Act and that such Sellers are acquiring such shares in a transaction that does not require registration under the Securities Act.</w:t>
      </w:r>
    </w:p>
    <w:p>
      <w:pPr>
        <w:sectPr>
          <w:pgSz w:w="11900" w:h="16838" w:orient="portrait"/>
          <w:cols w:equalWidth="0" w:num="1">
            <w:col w:w="11380"/>
          </w:cols>
          <w:pgMar w:left="240" w:top="1170" w:right="27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30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Date: July 17, 2019</w:t>
      </w:r>
    </w:p>
    <w:p>
      <w:pPr>
        <w:spacing w:after="0" w:line="306"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8X8, INC.</w:t>
      </w:r>
    </w:p>
    <w:p>
      <w:pPr>
        <w:spacing w:after="0" w:line="387" w:lineRule="exact"/>
        <w:rPr>
          <w:sz w:val="20"/>
          <w:szCs w:val="20"/>
          <w:color w:val="auto"/>
        </w:rPr>
      </w:pPr>
    </w:p>
    <w:p>
      <w:pPr>
        <w:ind w:left="5060"/>
        <w:spacing w:after="0"/>
        <w:tabs>
          <w:tab w:leader="none" w:pos="5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23495</wp:posOffset>
            </wp:positionV>
            <wp:extent cx="2975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Steven Gatoff</w:t>
      </w:r>
    </w:p>
    <w:p>
      <w:pPr>
        <w:spacing w:after="0" w:line="32" w:lineRule="exact"/>
        <w:rPr>
          <w:sz w:val="20"/>
          <w:szCs w:val="20"/>
          <w:color w:val="auto"/>
        </w:rPr>
      </w:pPr>
    </w:p>
    <w:p>
      <w:pPr>
        <w:ind w:left="542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200"/>
      </w:cols>
      <w:pgMar w:left="240" w:top="71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2019-11-30T23:40:26Z</dcterms:created>
  <dcterms:modified xsi:type="dcterms:W3CDTF">2019-11-30T23:40:26Z</dcterms:modified>
</cp:coreProperties>
</file>