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038061.xml.htm"/>
      <w:bookmarkStart w:id="1" w:name="kswkform4_17810380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Middleton Hunter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8X8 INC. 675 CREEKSIDE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8X8 INC /DE/</w:t>
              </w:r>
            </w:hyperlink>
            <w:r>
              <w:rPr/>
              <w:t xml:space="preserve"> [ </w:t>
            </w:r>
            <w:r>
              <w:rPr>
                <w:rFonts w:ascii="Times;serif" w:hAnsi="Times;serif"/>
                <w:color w:val="0000FF"/>
                <w:sz w:val="24"/>
                <w:shd w:fill="FFFFFF" w:val="clear"/>
              </w:rPr>
              <w:t>EGHT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40,907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909,802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the vested restricted stock units and does not represent a sale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Cheriese M. Dickman as Attorney-in-Fact for Hunter Middleton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5510" TargetMode="External"/><Relationship Id="rId5" Type="http://schemas.openxmlformats.org/officeDocument/2006/relationships/hyperlink" Target="http://www.sec.gov/cgi-bin/browse-edgar?action=getcompany&amp;CIK=00010237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3321</Characters>
  <CharactersWithSpaces>3875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