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175895</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89"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133350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32" w:lineRule="exact"/>
        <w:rPr>
          <w:sz w:val="24"/>
          <w:szCs w:val="24"/>
          <w:color w:val="auto"/>
        </w:rPr>
      </w:pPr>
    </w:p>
    <w:p>
      <w:pPr>
        <w:ind w:left="3760" w:right="2920" w:hanging="3752"/>
        <w:spacing w:after="0" w:line="600"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89" w:lineRule="exact"/>
        <w:rPr>
          <w:sz w:val="24"/>
          <w:szCs w:val="24"/>
          <w:color w:val="auto"/>
        </w:rPr>
      </w:pPr>
    </w:p>
    <w:p>
      <w:pPr>
        <w:ind w:right="2920" w:firstLine="8"/>
        <w:spacing w:after="0" w:line="6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jc w:val="center"/>
        <w:ind w:right="20"/>
        <w:spacing w:after="0"/>
        <w:rPr>
          <w:sz w:val="20"/>
          <w:szCs w:val="20"/>
          <w:color w:val="auto"/>
        </w:rPr>
      </w:pPr>
      <w:r>
        <w:rPr>
          <w:rFonts w:ascii="Arial" w:cs="Arial" w:eastAsia="Arial" w:hAnsi="Arial"/>
          <w:sz w:val="16"/>
          <w:szCs w:val="16"/>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187325</wp:posOffset>
            </wp:positionV>
            <wp:extent cx="209232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0000FF"/>
        </w:rPr>
        <w:t>8X8, INC.</w:t>
      </w: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79" w:lineRule="exact"/>
        <w:rPr>
          <w:sz w:val="24"/>
          <w:szCs w:val="24"/>
          <w:color w:val="auto"/>
        </w:rPr>
      </w:pPr>
    </w:p>
    <w:tbl>
      <w:tblPr>
        <w:tblLayout w:type="fixed"/>
        <w:tblInd w:w="940" w:type="dxa"/>
        <w:tblCellMar>
          <w:top w:w="0" w:type="dxa"/>
          <w:left w:w="0" w:type="dxa"/>
          <w:bottom w:w="0" w:type="dxa"/>
          <w:right w:w="0" w:type="dxa"/>
        </w:tblCellMar>
      </w:tblPr>
      <w:tr>
        <w:trPr>
          <w:trHeight w:val="164"/>
        </w:trPr>
        <w:tc>
          <w:tcPr>
            <w:tcW w:w="1600" w:type="dxa"/>
            <w:vAlign w:val="bottom"/>
          </w:tcPr>
          <w:p>
            <w:pPr>
              <w:spacing w:after="0"/>
              <w:rPr>
                <w:sz w:val="14"/>
                <w:szCs w:val="14"/>
                <w:color w:val="auto"/>
              </w:rPr>
            </w:pPr>
          </w:p>
        </w:tc>
        <w:tc>
          <w:tcPr>
            <w:tcW w:w="3500" w:type="dxa"/>
            <w:vAlign w:val="bottom"/>
            <w:gridSpan w:val="2"/>
          </w:tcPr>
          <w:p>
            <w:pPr>
              <w:jc w:val="center"/>
              <w:ind w:right="2860"/>
              <w:spacing w:after="0"/>
              <w:rPr>
                <w:sz w:val="20"/>
                <w:szCs w:val="20"/>
                <w:color w:val="auto"/>
              </w:rPr>
            </w:pPr>
            <w:r>
              <w:rPr>
                <w:rFonts w:ascii="Arial" w:cs="Arial" w:eastAsia="Arial" w:hAnsi="Arial"/>
                <w:sz w:val="14"/>
                <w:szCs w:val="14"/>
                <w:b w:val="1"/>
                <w:bCs w:val="1"/>
                <w:color w:val="auto"/>
              </w:rPr>
              <w:t>Delaware</w:t>
            </w:r>
          </w:p>
        </w:tc>
        <w:tc>
          <w:tcPr>
            <w:tcW w:w="37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77-0142404</w:t>
            </w: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9"/>
        </w:trPr>
        <w:tc>
          <w:tcPr>
            <w:tcW w:w="5100" w:type="dxa"/>
            <w:vAlign w:val="bottom"/>
            <w:gridSpan w:val="3"/>
          </w:tcPr>
          <w:p>
            <w:pPr>
              <w:jc w:val="center"/>
              <w:ind w:right="1280"/>
              <w:spacing w:after="0"/>
              <w:rPr>
                <w:sz w:val="20"/>
                <w:szCs w:val="20"/>
                <w:color w:val="auto"/>
              </w:rPr>
            </w:pPr>
            <w:r>
              <w:rPr>
                <w:rFonts w:ascii="Arial" w:cs="Arial" w:eastAsia="Arial" w:hAnsi="Arial"/>
                <w:sz w:val="14"/>
                <w:szCs w:val="14"/>
                <w:color w:val="auto"/>
              </w:rPr>
              <w:t>(State or Other Jurisdiction of Incorporation or Organization)</w:t>
            </w:r>
          </w:p>
        </w:tc>
        <w:tc>
          <w:tcPr>
            <w:tcW w:w="3780" w:type="dxa"/>
            <w:vAlign w:val="bottom"/>
            <w:gridSpan w:val="3"/>
          </w:tcPr>
          <w:p>
            <w:pPr>
              <w:jc w:val="center"/>
              <w:ind w:left="1208"/>
              <w:spacing w:after="0"/>
              <w:rPr>
                <w:sz w:val="20"/>
                <w:szCs w:val="20"/>
                <w:color w:val="auto"/>
              </w:rPr>
            </w:pPr>
            <w:r>
              <w:rPr>
                <w:rFonts w:ascii="Arial" w:cs="Arial" w:eastAsia="Arial" w:hAnsi="Arial"/>
                <w:sz w:val="14"/>
                <w:szCs w:val="14"/>
                <w:color w:val="auto"/>
              </w:rPr>
              <w:t>(I.R.S. Employer Identification Number)</w:t>
            </w:r>
          </w:p>
        </w:tc>
      </w:tr>
    </w:tbl>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2125 O'Nel Drive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San Jose, CA 95131</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53"/>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4"/>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54" w:lineRule="exact"/>
        <w:rPr>
          <w:sz w:val="24"/>
          <w:szCs w:val="24"/>
          <w:color w:val="auto"/>
        </w:rPr>
      </w:pPr>
    </w:p>
    <w:p>
      <w:pPr>
        <w:ind w:right="200" w:firstLine="270"/>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97" w:lineRule="exact"/>
        <w:rPr>
          <w:sz w:val="24"/>
          <w:szCs w:val="24"/>
          <w:color w:val="auto"/>
        </w:rPr>
      </w:pPr>
    </w:p>
    <w:p>
      <w:pPr>
        <w:ind w:right="620" w:firstLine="270"/>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jc w:val="both"/>
        <w:ind w:right="420" w:firstLine="270"/>
        <w:spacing w:after="0" w:line="3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55" w:lineRule="exact"/>
        <w:rPr>
          <w:sz w:val="24"/>
          <w:szCs w:val="24"/>
          <w:color w:val="auto"/>
        </w:rPr>
      </w:pPr>
    </w:p>
    <w:p>
      <w:pPr>
        <w:ind w:left="40"/>
        <w:spacing w:after="0" w:line="181" w:lineRule="exact"/>
        <w:tabs>
          <w:tab w:leader="none" w:pos="1900" w:val="left"/>
          <w:tab w:leader="none" w:pos="3480" w:val="left"/>
          <w:tab w:leader="none" w:pos="5360" w:val="left"/>
          <w:tab w:leader="none" w:pos="7680" w:val="left"/>
          <w:tab w:leader="none" w:pos="99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8" w:lineRule="exact"/>
        <w:rPr>
          <w:sz w:val="24"/>
          <w:szCs w:val="24"/>
          <w:color w:val="auto"/>
        </w:rPr>
      </w:pPr>
    </w:p>
    <w:p>
      <w:pPr>
        <w:ind w:right="220" w:firstLine="27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720" w:firstLine="270"/>
        <w:spacing w:after="0" w:line="24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October 21, 2019 was 100,225,912.</w:t>
      </w:r>
    </w:p>
    <w:p>
      <w:pPr>
        <w:sectPr>
          <w:pgSz w:w="11900" w:h="16838" w:orient="portrait"/>
          <w:cols w:equalWidth="0" w:num="1">
            <w:col w:w="11440"/>
          </w:cols>
          <w:pgMar w:left="240" w:top="790" w:right="2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Page No.</w:t>
            </w:r>
          </w:p>
        </w:tc>
      </w:tr>
      <w:tr>
        <w:trPr>
          <w:trHeight w:val="220"/>
        </w:trPr>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0000EE"/>
            </w:tcBorders>
            <w:gridSpan w:val="11"/>
            <w:shd w:val="clear" w:color="auto" w:fill="CCEEFF"/>
          </w:tcPr>
          <w:p>
            <w:pPr>
              <w:spacing w:after="0" w:line="153" w:lineRule="exact"/>
              <w:rPr>
                <w:rFonts w:ascii="Arial" w:cs="Arial" w:eastAsia="Arial" w:hAnsi="Arial"/>
                <w:sz w:val="16"/>
                <w:szCs w:val="16"/>
                <w:b w:val="1"/>
                <w:bCs w:val="1"/>
                <w:color w:val="0000EE"/>
                <w:w w:val="99"/>
              </w:rPr>
            </w:pPr>
            <w:hyperlink w:anchor="page4">
              <w:r>
                <w:rPr>
                  <w:rFonts w:ascii="Arial" w:cs="Arial" w:eastAsia="Arial" w:hAnsi="Arial"/>
                  <w:sz w:val="16"/>
                  <w:szCs w:val="16"/>
                  <w:b w:val="1"/>
                  <w:bCs w:val="1"/>
                  <w:color w:val="0000EE"/>
                  <w:w w:val="99"/>
                </w:rPr>
                <w:t>PART I. FINANCIAL INFORMATION</w:t>
              </w:r>
            </w:hyperlink>
          </w:p>
        </w:tc>
        <w:tc>
          <w:tcPr>
            <w:tcW w:w="7700" w:type="dxa"/>
            <w:vAlign w:val="bottom"/>
            <w:tcBorders>
              <w:bottom w:val="single" w:sz="8" w:color="CCEEFF"/>
            </w:tcBorders>
            <w:gridSpan w:val="12"/>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jc w:val="center"/>
              <w:spacing w:after="0" w:line="155"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420" w:type="dxa"/>
            <w:vAlign w:val="bottom"/>
            <w:tcBorders>
              <w:bottom w:val="single" w:sz="8" w:color="CCEEFF"/>
            </w:tcBorders>
            <w:shd w:val="clear" w:color="auto" w:fill="CCEEFF"/>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10360" w:type="dxa"/>
            <w:vAlign w:val="bottom"/>
            <w:gridSpan w:val="2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 Financial Statements (unaudited)</w:t>
              </w:r>
            </w:hyperlink>
            <w:r>
              <w:rPr>
                <w:rFonts w:ascii="Arial" w:cs="Arial" w:eastAsia="Arial" w:hAnsi="Arial"/>
                <w:sz w:val="16"/>
                <w:szCs w:val="16"/>
                <w:color w:val="000000"/>
              </w:rPr>
              <w:t>:</w:t>
            </w:r>
          </w:p>
        </w:tc>
        <w:tc>
          <w:tcPr>
            <w:tcW w:w="600" w:type="dxa"/>
            <w:vAlign w:val="bottom"/>
            <w:gridSpan w:val="2"/>
          </w:tcPr>
          <w:p>
            <w:pPr>
              <w:jc w:val="center"/>
              <w:ind w:left="339"/>
              <w:spacing w:after="0"/>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0000EE"/>
            </w:tcBorders>
            <w:gridSpan w:val="15"/>
            <w:shd w:val="clear" w:color="auto" w:fill="CCEEFF"/>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 at September 30, 2019 and March 31, 2019</w:t>
              </w:r>
            </w:hyperlink>
          </w:p>
        </w:tc>
        <w:tc>
          <w:tcPr>
            <w:tcW w:w="4040" w:type="dxa"/>
            <w:vAlign w:val="bottom"/>
            <w:tcBorders>
              <w:bottom w:val="single" w:sz="8" w:color="CCEEFF"/>
            </w:tcBorders>
            <w:gridSpan w:val="6"/>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420" w:type="dxa"/>
            <w:vAlign w:val="bottom"/>
            <w:tcBorders>
              <w:bottom w:val="single" w:sz="8" w:color="CCEEFF"/>
            </w:tcBorders>
            <w:shd w:val="clear" w:color="auto" w:fill="CCEEFF"/>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20" w:type="dxa"/>
            <w:vAlign w:val="bottom"/>
            <w:gridSpan w:val="21"/>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 for the three and six months ended September 30, 2019 and 2018</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5">
              <w:r>
                <w:rPr>
                  <w:rFonts w:ascii="Arial" w:cs="Arial" w:eastAsia="Arial" w:hAnsi="Arial"/>
                  <w:sz w:val="16"/>
                  <w:szCs w:val="16"/>
                  <w:color w:val="0000EE"/>
                </w:rPr>
                <w:t>4</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20" w:type="dxa"/>
            <w:vAlign w:val="bottom"/>
            <w:gridSpan w:val="21"/>
            <w:shd w:val="clear" w:color="auto" w:fill="CCEEFF"/>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Loss for the three and six months ended September 30, 2019 and 2018</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tc>
        <w:tc>
          <w:tcPr>
            <w:tcW w:w="420" w:type="dxa"/>
            <w:vAlign w:val="bottom"/>
            <w:shd w:val="clear" w:color="auto" w:fill="CCEEFF"/>
          </w:tcPr>
          <w:p>
            <w:pPr>
              <w:spacing w:after="0"/>
              <w:rPr>
                <w:sz w:val="19"/>
                <w:szCs w:val="19"/>
                <w:color w:val="auto"/>
              </w:rPr>
            </w:pPr>
          </w:p>
        </w:tc>
      </w:tr>
      <w:tr>
        <w:trPr>
          <w:trHeight w:val="189"/>
        </w:trPr>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200" w:type="dxa"/>
            <w:vAlign w:val="bottom"/>
            <w:tcBorders>
              <w:top w:val="single" w:sz="8" w:color="0000EE"/>
            </w:tcBorders>
            <w:gridSpan w:val="2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Stockholders Equity for the three and six months ended September 30, 2019 and 2018</w:t>
              </w:r>
            </w:hyperlink>
          </w:p>
        </w:tc>
        <w:tc>
          <w:tcPr>
            <w:tcW w:w="10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jc w:val="center"/>
              <w:spacing w:after="0"/>
              <w:rPr>
                <w:rFonts w:ascii="Arial" w:cs="Arial" w:eastAsia="Arial" w:hAnsi="Arial"/>
                <w:sz w:val="16"/>
                <w:szCs w:val="16"/>
                <w:color w:val="0000EE"/>
              </w:rPr>
            </w:pPr>
            <w:hyperlink w:anchor="page7">
              <w:r>
                <w:rPr>
                  <w:rFonts w:ascii="Arial" w:cs="Arial" w:eastAsia="Arial" w:hAnsi="Arial"/>
                  <w:sz w:val="16"/>
                  <w:szCs w:val="16"/>
                  <w:color w:val="0000EE"/>
                </w:rPr>
                <w:t>6</w:t>
              </w:r>
            </w:hyperlink>
          </w:p>
        </w:tc>
        <w:tc>
          <w:tcPr>
            <w:tcW w:w="420" w:type="dxa"/>
            <w:vAlign w:val="bottom"/>
            <w:tcBorders>
              <w:top w:val="single" w:sz="8" w:color="CCEEFF"/>
            </w:tcBorders>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20" w:type="dxa"/>
            <w:vAlign w:val="bottom"/>
            <w:tcBorders>
              <w:bottom w:val="single" w:sz="8" w:color="0000EE"/>
            </w:tcBorders>
            <w:gridSpan w:val="18"/>
            <w:shd w:val="clear" w:color="auto" w:fill="CCEEFF"/>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Cash Flows for the six months ended September 30, 2019 and 2018</w:t>
              </w:r>
            </w:hyperlink>
          </w:p>
        </w:tc>
        <w:tc>
          <w:tcPr>
            <w:tcW w:w="2460" w:type="dxa"/>
            <w:vAlign w:val="bottom"/>
            <w:tcBorders>
              <w:bottom w:val="single" w:sz="8" w:color="CCEEFF"/>
            </w:tcBorders>
            <w:gridSpan w:val="4"/>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6"/>
                <w:szCs w:val="16"/>
                <w:color w:val="0000EE"/>
              </w:rPr>
            </w:pPr>
            <w:hyperlink w:anchor="page8">
              <w:r>
                <w:rPr>
                  <w:rFonts w:ascii="Arial" w:cs="Arial" w:eastAsia="Arial" w:hAnsi="Arial"/>
                  <w:sz w:val="16"/>
                  <w:szCs w:val="16"/>
                  <w:color w:val="0000EE"/>
                </w:rPr>
                <w:t>7</w:t>
              </w:r>
            </w:hyperlink>
          </w:p>
        </w:tc>
        <w:tc>
          <w:tcPr>
            <w:tcW w:w="420" w:type="dxa"/>
            <w:vAlign w:val="bottom"/>
            <w:tcBorders>
              <w:bottom w:val="single" w:sz="8" w:color="CCEEFF"/>
            </w:tcBorders>
            <w:shd w:val="clear" w:color="auto" w:fill="CCEEFF"/>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20" w:type="dxa"/>
            <w:vAlign w:val="bottom"/>
            <w:gridSpan w:val="21"/>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Unaudited Condensed Consolidated Financial Statements</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9">
              <w:r>
                <w:rPr>
                  <w:rFonts w:ascii="Arial" w:cs="Arial" w:eastAsia="Arial" w:hAnsi="Arial"/>
                  <w:sz w:val="16"/>
                  <w:szCs w:val="16"/>
                  <w:color w:val="0000EE"/>
                </w:rPr>
                <w:t>8</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Item 2. Management's Discussion and Analysis of Financial Condition and Results of Operations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6900" w:type="dxa"/>
            <w:vAlign w:val="bottom"/>
            <w:gridSpan w:val="18"/>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3. Quantitative and Qualitative Disclosures About Market Risk</w:t>
              </w:r>
            </w:hyperlink>
          </w:p>
        </w:tc>
        <w:tc>
          <w:tcPr>
            <w:tcW w:w="3460" w:type="dxa"/>
            <w:vAlign w:val="bottom"/>
            <w:gridSpan w:val="5"/>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27">
              <w:r>
                <w:rPr>
                  <w:rFonts w:ascii="Arial" w:cs="Arial" w:eastAsia="Arial" w:hAnsi="Arial"/>
                  <w:sz w:val="16"/>
                  <w:szCs w:val="16"/>
                  <w:color w:val="0000EE"/>
                </w:rPr>
                <w:t>26</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4. Controls and Procedures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7">
              <w:r>
                <w:rPr>
                  <w:rFonts w:ascii="Arial" w:cs="Arial" w:eastAsia="Arial" w:hAnsi="Arial"/>
                  <w:sz w:val="16"/>
                  <w:szCs w:val="16"/>
                  <w:color w:val="0000EE"/>
                </w:rPr>
                <w:t>26</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0360" w:type="dxa"/>
            <w:vAlign w:val="bottom"/>
            <w:gridSpan w:val="23"/>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PART II. OTHER INFORMATION</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880" w:type="dxa"/>
            <w:vAlign w:val="bottom"/>
            <w:gridSpan w:val="7"/>
            <w:shd w:val="clear" w:color="auto" w:fill="CCEEFF"/>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1. Legal Proceedings</w:t>
              </w:r>
            </w:hyperlink>
          </w:p>
        </w:tc>
        <w:tc>
          <w:tcPr>
            <w:tcW w:w="8480" w:type="dxa"/>
            <w:vAlign w:val="bottom"/>
            <w:gridSpan w:val="16"/>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880" w:type="dxa"/>
            <w:vAlign w:val="bottom"/>
            <w:gridSpan w:val="7"/>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1A. Risk Factors</w:t>
              </w:r>
            </w:hyperlink>
          </w:p>
        </w:tc>
        <w:tc>
          <w:tcPr>
            <w:tcW w:w="8480" w:type="dxa"/>
            <w:vAlign w:val="bottom"/>
            <w:gridSpan w:val="16"/>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2. Unregistered Sales of Equity Securities and Use of Proceeds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4900" w:type="dxa"/>
            <w:vAlign w:val="bottom"/>
            <w:gridSpan w:val="15"/>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3. Defaults Upon Senior Securities</w:t>
              </w:r>
            </w:hyperlink>
          </w:p>
        </w:tc>
        <w:tc>
          <w:tcPr>
            <w:tcW w:w="5460" w:type="dxa"/>
            <w:vAlign w:val="bottom"/>
            <w:gridSpan w:val="8"/>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2280" w:type="dxa"/>
            <w:vAlign w:val="bottom"/>
            <w:gridSpan w:val="8"/>
            <w:shd w:val="clear" w:color="auto" w:fill="CCEEFF"/>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4. Mine Safety Disclosures</w:t>
              </w:r>
            </w:hyperlink>
          </w:p>
        </w:tc>
        <w:tc>
          <w:tcPr>
            <w:tcW w:w="8080" w:type="dxa"/>
            <w:vAlign w:val="bottom"/>
            <w:gridSpan w:val="15"/>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2280" w:type="dxa"/>
            <w:vAlign w:val="bottom"/>
            <w:gridSpan w:val="8"/>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5. Other Information</w:t>
              </w:r>
            </w:hyperlink>
          </w:p>
        </w:tc>
        <w:tc>
          <w:tcPr>
            <w:tcW w:w="8080" w:type="dxa"/>
            <w:vAlign w:val="bottom"/>
            <w:gridSpan w:val="15"/>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3"/>
            <w:shd w:val="clear" w:color="auto" w:fill="CCEEFF"/>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Item 6. Exhibits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100" w:type="dxa"/>
            <w:vAlign w:val="bottom"/>
            <w:gridSpan w:val="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Signature</w:t>
              </w:r>
            </w:hyperlink>
          </w:p>
        </w:tc>
        <w:tc>
          <w:tcPr>
            <w:tcW w:w="9260" w:type="dxa"/>
            <w:vAlign w:val="bottom"/>
            <w:gridSpan w:val="19"/>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30">
              <w:r>
                <w:rPr>
                  <w:rFonts w:ascii="Arial" w:cs="Arial" w:eastAsia="Arial" w:hAnsi="Arial"/>
                  <w:sz w:val="16"/>
                  <w:szCs w:val="16"/>
                  <w:color w:val="0000EE"/>
                </w:rPr>
                <w:t>29</w:t>
              </w:r>
            </w:hyperlink>
          </w:p>
        </w:tc>
        <w:tc>
          <w:tcPr>
            <w:tcW w:w="4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23"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new or existing services and features we may offer from time to time;</w:t>
      </w:r>
    </w:p>
    <w:p>
      <w:pPr>
        <w:spacing w:after="0" w:line="117" w:lineRule="exact"/>
        <w:rPr>
          <w:rFonts w:ascii="Arial" w:cs="Arial" w:eastAsia="Arial" w:hAnsi="Arial"/>
          <w:sz w:val="18"/>
          <w:szCs w:val="18"/>
          <w:color w:val="auto"/>
        </w:rPr>
      </w:pPr>
    </w:p>
    <w:p>
      <w:pPr>
        <w:ind w:left="660" w:right="480" w:hanging="247"/>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 including voice, contact center, video, messaging, and communication APIs;</w:t>
      </w:r>
    </w:p>
    <w:p>
      <w:pPr>
        <w:spacing w:after="0" w:line="36"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market pressures, and any changes in the competitive dynamics of the markets in which we compete;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quality and reliability of our services;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cancellations and rate of customer churn;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defects or bugs in our software;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117" w:lineRule="exact"/>
        <w:rPr>
          <w:rFonts w:ascii="Arial" w:cs="Arial" w:eastAsia="Arial" w:hAnsi="Arial"/>
          <w:sz w:val="18"/>
          <w:szCs w:val="18"/>
          <w:color w:val="auto"/>
        </w:rPr>
      </w:pPr>
    </w:p>
    <w:p>
      <w:pPr>
        <w:ind w:left="660" w:hanging="247"/>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 in the United States and foreign countries in which we make our cloud software and services solutions available, and the costs of such compliance;</w:t>
      </w:r>
    </w:p>
    <w:p>
      <w:pPr>
        <w:spacing w:after="0" w:line="36" w:lineRule="exact"/>
        <w:rPr>
          <w:rFonts w:ascii="Arial" w:cs="Arial" w:eastAsia="Arial" w:hAnsi="Arial"/>
          <w:sz w:val="18"/>
          <w:szCs w:val="18"/>
          <w:color w:val="auto"/>
        </w:rPr>
      </w:pPr>
    </w:p>
    <w:p>
      <w:pPr>
        <w:ind w:left="660" w:right="240" w:hanging="247"/>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acquisition and integration of businesses we have acquired (most recently, Wavecell Pte. Ltd.) or may acquire in the future, particularly if the acquired business operates in a different product market space from us or is based in a region where we do not have significant operations;</w:t>
      </w:r>
    </w:p>
    <w:p>
      <w:pPr>
        <w:spacing w:after="0" w:line="5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cybersecurity breaches;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senior convertible notes and the related capped call transactions;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that could adversely affect our business and operating results;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117" w:lineRule="exact"/>
        <w:rPr>
          <w:rFonts w:ascii="Arial" w:cs="Arial" w:eastAsia="Arial" w:hAnsi="Arial"/>
          <w:sz w:val="18"/>
          <w:szCs w:val="18"/>
          <w:color w:val="auto"/>
        </w:rPr>
      </w:pPr>
    </w:p>
    <w:p>
      <w:pPr>
        <w:ind w:left="660" w:right="380" w:hanging="247"/>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intellectual property infringement claims and other litigation that could adversely impact our business and operating results.</w:t>
      </w:r>
    </w:p>
    <w:p>
      <w:pPr>
        <w:spacing w:after="0" w:line="9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Please refer to the "Risk Factors" section of our annual report on Form 10-K for the fiscal year ended March 31, 2019,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78"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Our fiscal year ends on March 31 of each calendar year. Each reference to a fiscal year in this Quarterly Report, refers to the fiscal year ended March 31 of the calendar year indicated (for example, fiscal 2020 refers to the fiscal year ended March 31, 2020). Unless the context requires otherwise, references to "we," "us," "our," "8x8" and the "Company" refer to 8x8, Inc. and its consolidated subsidiaries.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2019</w:t>
            </w:r>
          </w:p>
        </w:tc>
        <w:tc>
          <w:tcPr>
            <w:tcW w:w="300" w:type="dxa"/>
            <w:vAlign w:val="bottom"/>
          </w:tcPr>
          <w:p>
            <w:pPr>
              <w:spacing w:after="0"/>
              <w:rPr>
                <w:sz w:val="21"/>
                <w:szCs w:val="21"/>
                <w:color w:val="auto"/>
              </w:rPr>
            </w:pPr>
          </w:p>
        </w:tc>
        <w:tc>
          <w:tcPr>
            <w:tcW w:w="186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53"/>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162,219</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276,583</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Restricted cash, current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29,324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69,899</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20,181</w:t>
            </w: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Deferred sales commission costs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18,572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15,601</w:t>
            </w:r>
          </w:p>
        </w:tc>
        <w:tc>
          <w:tcPr>
            <w:tcW w:w="0" w:type="dxa"/>
            <w:vAlign w:val="bottom"/>
          </w:tcPr>
          <w:p>
            <w:pPr>
              <w:spacing w:after="0"/>
              <w:rPr>
                <w:sz w:val="1"/>
                <w:szCs w:val="1"/>
                <w:color w:val="auto"/>
              </w:rPr>
            </w:pPr>
          </w:p>
        </w:tc>
      </w:tr>
      <w:tr>
        <w:trPr>
          <w:trHeight w:val="271"/>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15,127</w:t>
            </w:r>
          </w:p>
        </w:tc>
        <w:tc>
          <w:tcPr>
            <w:tcW w:w="0" w:type="dxa"/>
            <w:vAlign w:val="bottom"/>
          </w:tcPr>
          <w:p>
            <w:pPr>
              <w:spacing w:after="0"/>
              <w:rPr>
                <w:sz w:val="1"/>
                <w:szCs w:val="1"/>
                <w:color w:val="auto"/>
              </w:rPr>
            </w:pPr>
          </w:p>
        </w:tc>
      </w:tr>
      <w:tr>
        <w:trPr>
          <w:trHeight w:val="249"/>
        </w:trPr>
        <w:tc>
          <w:tcPr>
            <w:tcW w:w="70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1"/>
                <w:szCs w:val="21"/>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267,120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397,391</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64,776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52,835</w:t>
            </w:r>
          </w:p>
        </w:tc>
        <w:tc>
          <w:tcPr>
            <w:tcW w:w="0" w:type="dxa"/>
            <w:vAlign w:val="bottom"/>
          </w:tcPr>
          <w:p>
            <w:pPr>
              <w:spacing w:after="0"/>
              <w:rPr>
                <w:sz w:val="1"/>
                <w:szCs w:val="1"/>
                <w:color w:val="auto"/>
              </w:rPr>
            </w:pPr>
          </w:p>
        </w:tc>
      </w:tr>
      <w:tr>
        <w:trPr>
          <w:trHeight w:val="262"/>
        </w:trPr>
        <w:tc>
          <w:tcPr>
            <w:tcW w:w="700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78,147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11,680</w:t>
            </w:r>
          </w:p>
        </w:tc>
        <w:tc>
          <w:tcPr>
            <w:tcW w:w="0" w:type="dxa"/>
            <w:vAlign w:val="bottom"/>
          </w:tcPr>
          <w:p>
            <w:pPr>
              <w:spacing w:after="0"/>
              <w:rPr>
                <w:sz w:val="1"/>
                <w:szCs w:val="1"/>
                <w:color w:val="auto"/>
              </w:rPr>
            </w:pPr>
          </w:p>
        </w:tc>
      </w:tr>
      <w:tr>
        <w:trPr>
          <w:trHeight w:val="262"/>
        </w:trPr>
        <w:tc>
          <w:tcPr>
            <w:tcW w:w="70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131,879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39,694</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7000" w:type="dxa"/>
            <w:vAlign w:val="bottom"/>
          </w:tcPr>
          <w:p>
            <w:pPr>
              <w:ind w:left="40"/>
              <w:spacing w:after="0"/>
              <w:rPr>
                <w:sz w:val="20"/>
                <w:szCs w:val="20"/>
                <w:color w:val="auto"/>
              </w:rPr>
            </w:pPr>
            <w:r>
              <w:rPr>
                <w:rFonts w:ascii="Arial" w:cs="Arial" w:eastAsia="Arial" w:hAnsi="Arial"/>
                <w:sz w:val="16"/>
                <w:szCs w:val="16"/>
                <w:color w:val="auto"/>
              </w:rPr>
              <w:t>Restricted cash, non-current</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15,558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sales commission costs, non-current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33,693</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18,133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242"/>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666,610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546,358</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42,134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32,280</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18,437</w:t>
            </w: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12,175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13,862</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3,336</w:t>
            </w:r>
          </w:p>
        </w:tc>
        <w:tc>
          <w:tcPr>
            <w:tcW w:w="0" w:type="dxa"/>
            <w:vAlign w:val="bottom"/>
          </w:tcPr>
          <w:p>
            <w:pPr>
              <w:spacing w:after="0"/>
              <w:rPr>
                <w:sz w:val="1"/>
                <w:szCs w:val="1"/>
                <w:color w:val="auto"/>
              </w:rPr>
            </w:pPr>
          </w:p>
        </w:tc>
      </w:tr>
      <w:tr>
        <w:trPr>
          <w:trHeight w:val="271"/>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49"/>
        </w:trPr>
        <w:tc>
          <w:tcPr>
            <w:tcW w:w="70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21"/>
                <w:szCs w:val="21"/>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109,047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74,705</w:t>
            </w:r>
          </w:p>
        </w:tc>
        <w:tc>
          <w:tcPr>
            <w:tcW w:w="0" w:type="dxa"/>
            <w:vAlign w:val="bottom"/>
          </w:tcPr>
          <w:p>
            <w:pPr>
              <w:spacing w:after="0"/>
              <w:rPr>
                <w:sz w:val="1"/>
                <w:szCs w:val="1"/>
                <w:color w:val="auto"/>
              </w:rPr>
            </w:pPr>
          </w:p>
        </w:tc>
      </w:tr>
      <w:tr>
        <w:trPr>
          <w:trHeight w:val="291"/>
        </w:trPr>
        <w:tc>
          <w:tcPr>
            <w:tcW w:w="7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4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75,221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 net</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222,432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216,035</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 non-current</w:t>
            </w: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21,033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6,228</w:t>
            </w:r>
          </w:p>
        </w:tc>
        <w:tc>
          <w:tcPr>
            <w:tcW w:w="0" w:type="dxa"/>
            <w:vAlign w:val="bottom"/>
          </w:tcPr>
          <w:p>
            <w:pPr>
              <w:spacing w:after="0"/>
              <w:rPr>
                <w:sz w:val="1"/>
                <w:szCs w:val="1"/>
                <w:color w:val="auto"/>
              </w:rPr>
            </w:pPr>
          </w:p>
        </w:tc>
      </w:tr>
      <w:tr>
        <w:trPr>
          <w:trHeight w:val="262"/>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427,733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296,968</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575,416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506,949</w:t>
            </w:r>
          </w:p>
        </w:tc>
        <w:tc>
          <w:tcPr>
            <w:tcW w:w="0" w:type="dxa"/>
            <w:vAlign w:val="bottom"/>
          </w:tcPr>
          <w:p>
            <w:pPr>
              <w:spacing w:after="0"/>
              <w:rPr>
                <w:sz w:val="1"/>
                <w:szCs w:val="1"/>
                <w:color w:val="auto"/>
              </w:rPr>
            </w:pPr>
          </w:p>
        </w:tc>
      </w:tr>
      <w:tr>
        <w:trPr>
          <w:trHeight w:val="262"/>
        </w:trPr>
        <w:tc>
          <w:tcPr>
            <w:tcW w:w="70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271"/>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(250,302)</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238,877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249,390</w:t>
            </w:r>
          </w:p>
        </w:tc>
        <w:tc>
          <w:tcPr>
            <w:tcW w:w="0" w:type="dxa"/>
            <w:vAlign w:val="bottom"/>
          </w:tcPr>
          <w:p>
            <w:pPr>
              <w:spacing w:after="0"/>
              <w:rPr>
                <w:sz w:val="1"/>
                <w:szCs w:val="1"/>
                <w:color w:val="auto"/>
              </w:rPr>
            </w:pPr>
          </w:p>
        </w:tc>
      </w:tr>
      <w:tr>
        <w:trPr>
          <w:trHeight w:val="242"/>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666,610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546,358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16"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6"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8X8,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21"/>
                <w:szCs w:val="21"/>
                <w:color w:val="auto"/>
              </w:rPr>
            </w:pPr>
          </w:p>
        </w:tc>
        <w:tc>
          <w:tcPr>
            <w:tcW w:w="32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104,529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81,346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196,901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159,467</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 revenue</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9,440</w:t>
            </w:r>
          </w:p>
        </w:tc>
        <w:tc>
          <w:tcPr>
            <w:tcW w:w="0" w:type="dxa"/>
            <w:vAlign w:val="bottom"/>
          </w:tcPr>
          <w:p>
            <w:pPr>
              <w:spacing w:after="0"/>
              <w:rPr>
                <w:sz w:val="1"/>
                <w:szCs w:val="1"/>
                <w:color w:val="auto"/>
              </w:rPr>
            </w:pPr>
          </w:p>
        </w:tc>
      </w:tr>
      <w:tr>
        <w:trPr>
          <w:trHeight w:val="262"/>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109,517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85,682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206,192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168,907</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Cost of revenue and operating expenses: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43,195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50,751</w:t>
            </w:r>
          </w:p>
        </w:tc>
        <w:tc>
          <w:tcPr>
            <w:tcW w:w="0" w:type="dxa"/>
            <w:vAlign w:val="bottom"/>
          </w:tcPr>
          <w:p>
            <w:pPr>
              <w:spacing w:after="0"/>
              <w:rPr>
                <w:sz w:val="1"/>
                <w:szCs w:val="1"/>
                <w:color w:val="auto"/>
              </w:rPr>
            </w:pPr>
          </w:p>
        </w:tc>
      </w:tr>
      <w:tr>
        <w:trPr>
          <w:trHeight w:val="262"/>
        </w:trPr>
        <w:tc>
          <w:tcPr>
            <w:tcW w:w="4240" w:type="dxa"/>
            <w:vAlign w:val="bottom"/>
          </w:tcPr>
          <w:p>
            <w:pPr>
              <w:ind w:left="280"/>
              <w:spacing w:after="0"/>
              <w:rPr>
                <w:sz w:val="20"/>
                <w:szCs w:val="20"/>
                <w:color w:val="auto"/>
              </w:rPr>
            </w:pPr>
            <w:r>
              <w:rPr>
                <w:rFonts w:ascii="Arial" w:cs="Arial" w:eastAsia="Arial" w:hAnsi="Arial"/>
                <w:sz w:val="16"/>
                <w:szCs w:val="16"/>
                <w:color w:val="auto"/>
              </w:rPr>
              <w:t>Cost of product revenue</w:t>
            </w:r>
          </w:p>
        </w:tc>
        <w:tc>
          <w:tcPr>
            <w:tcW w:w="2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6,502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12,226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11,678</w:t>
            </w: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27,114</w:t>
            </w:r>
          </w:p>
        </w:tc>
        <w:tc>
          <w:tcPr>
            <w:tcW w:w="0" w:type="dxa"/>
            <w:vAlign w:val="bottom"/>
          </w:tcPr>
          <w:p>
            <w:pPr>
              <w:spacing w:after="0"/>
              <w:rPr>
                <w:sz w:val="1"/>
                <w:szCs w:val="1"/>
                <w:color w:val="auto"/>
              </w:rPr>
            </w:pPr>
          </w:p>
        </w:tc>
      </w:tr>
      <w:tr>
        <w:trPr>
          <w:trHeight w:val="262"/>
        </w:trPr>
        <w:tc>
          <w:tcPr>
            <w:tcW w:w="424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57,895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41,680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111,494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82,175</w:t>
            </w:r>
          </w:p>
        </w:tc>
        <w:tc>
          <w:tcPr>
            <w:tcW w:w="0" w:type="dxa"/>
            <w:vAlign w:val="bottom"/>
          </w:tcPr>
          <w:p>
            <w:pPr>
              <w:spacing w:after="0"/>
              <w:rPr>
                <w:sz w:val="1"/>
                <w:szCs w:val="1"/>
                <w:color w:val="auto"/>
              </w:rPr>
            </w:pPr>
          </w:p>
        </w:tc>
      </w:tr>
      <w:tr>
        <w:trPr>
          <w:trHeight w:val="271"/>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20,326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35,159</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147,461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107,669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276,689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206,877</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(36,616)</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6"/>
                <w:szCs w:val="16"/>
                <w:color w:val="auto"/>
              </w:rPr>
              <w:t>Net loss per share:</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62"/>
        </w:trPr>
        <w:tc>
          <w:tcPr>
            <w:tcW w:w="424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98,353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93,831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97,356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93,449</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6"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8X8, Inc.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unaudited)</w:t>
      </w:r>
    </w:p>
    <w:p>
      <w:pPr>
        <w:sectPr>
          <w:pgSz w:w="11900" w:h="16838" w:orient="portrait"/>
          <w:cols w:equalWidth="0" w:num="1">
            <w:col w:w="11360"/>
          </w:cols>
          <w:pgMar w:left="240" w:top="115" w:right="299" w:bottom="1440" w:gutter="0" w:footer="0" w:header="0"/>
        </w:sectPr>
      </w:pPr>
    </w:p>
    <w:p>
      <w:pPr>
        <w:spacing w:after="0" w:line="165"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33020</wp:posOffset>
            </wp:positionV>
            <wp:extent cx="23241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93" w:lineRule="exact"/>
        <w:rPr>
          <w:sz w:val="20"/>
          <w:szCs w:val="20"/>
          <w:color w:val="auto"/>
        </w:rPr>
      </w:pPr>
    </w:p>
    <w:p>
      <w:pPr>
        <w:ind w:left="4800"/>
        <w:spacing w:after="0"/>
        <w:tabs>
          <w:tab w:leader="none" w:pos="66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33020</wp:posOffset>
            </wp:positionV>
            <wp:extent cx="2212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93"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45" w:lineRule="exact"/>
        <w:rPr>
          <w:sz w:val="20"/>
          <w:szCs w:val="20"/>
          <w:color w:val="auto"/>
        </w:rPr>
      </w:pPr>
    </w:p>
    <w:p>
      <w:pPr>
        <w:sectPr>
          <w:pgSz w:w="11900" w:h="16838" w:orient="portrait"/>
          <w:cols w:equalWidth="0" w:num="2">
            <w:col w:w="7640" w:space="720"/>
            <w:col w:w="3000"/>
          </w:cols>
          <w:pgMar w:left="240" w:top="115" w:right="299" w:bottom="144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(40,932)</w:t>
            </w: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(21,482)</w:t>
            </w:r>
          </w:p>
        </w:tc>
        <w:tc>
          <w:tcPr>
            <w:tcW w:w="100" w:type="dxa"/>
            <w:vAlign w:val="bottom"/>
            <w:tcBorders>
              <w:top w:val="single" w:sz="8" w:color="CCEEFF"/>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(75,197)</w:t>
            </w:r>
          </w:p>
        </w:tc>
        <w:tc>
          <w:tcPr>
            <w:tcW w:w="12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(36,837)</w:t>
            </w:r>
          </w:p>
        </w:tc>
      </w:tr>
      <w:tr>
        <w:trPr>
          <w:trHeight w:val="262"/>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investments in securities</w:t>
            </w: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w:t>
            </w:r>
          </w:p>
        </w:tc>
      </w:tr>
      <w:tr>
        <w:trPr>
          <w:trHeight w:val="242"/>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(78,984)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(38,626)</w:t>
            </w:r>
          </w:p>
        </w:tc>
      </w:tr>
      <w:tr>
        <w:trPr>
          <w:trHeight w:val="20"/>
        </w:trPr>
        <w:tc>
          <w:tcPr>
            <w:tcW w:w="4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15" w:right="2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20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68"/>
              <w:spacing w:after="0" w:line="131"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1300" w:type="dxa"/>
            <w:vAlign w:val="bottom"/>
          </w:tcPr>
          <w:p>
            <w:pPr>
              <w:jc w:val="center"/>
              <w:ind w:right="48"/>
              <w:spacing w:after="0" w:line="131"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8"/>
              <w:spacing w:after="0" w:line="147"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300" w:type="dxa"/>
            <w:vAlign w:val="bottom"/>
          </w:tcPr>
          <w:p>
            <w:pPr>
              <w:jc w:val="center"/>
              <w:ind w:right="68"/>
              <w:spacing w:after="0" w:line="147"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18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96,119,888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506,949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(250,302)</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249,390</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451,308</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1,493</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14,059</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Unrealized investment gain</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(34,265)</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(34,265)</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2019</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96,571,196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522,501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(284,567)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230,147</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1,761,483</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(790)</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17,867</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related to acquisitions</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1,476,009</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35,838</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35,839</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investment loss</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(3,253)</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(40,932)</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(40,932)</w:t>
            </w:r>
          </w:p>
        </w:tc>
        <w:tc>
          <w:tcPr>
            <w:tcW w:w="0" w:type="dxa"/>
            <w:vAlign w:val="bottom"/>
          </w:tcPr>
          <w:p>
            <w:pPr>
              <w:spacing w:after="0"/>
              <w:rPr>
                <w:sz w:val="1"/>
                <w:szCs w:val="1"/>
                <w:color w:val="auto"/>
              </w:rPr>
            </w:pPr>
          </w:p>
        </w:tc>
      </w:tr>
      <w:tr>
        <w:trPr>
          <w:trHeight w:val="206"/>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2019</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99,808,688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575,416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(325,499)</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238,877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360" w:type="dxa"/>
            <w:vAlign w:val="bottom"/>
          </w:tcPr>
          <w:p>
            <w:pPr>
              <w:spacing w:after="0"/>
              <w:rPr>
                <w:sz w:val="24"/>
                <w:szCs w:val="24"/>
                <w:color w:val="auto"/>
              </w:rPr>
            </w:pPr>
          </w:p>
        </w:tc>
        <w:tc>
          <w:tcPr>
            <w:tcW w:w="220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68"/>
              <w:spacing w:after="0" w:line="131"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1300" w:type="dxa"/>
            <w:vAlign w:val="bottom"/>
          </w:tcPr>
          <w:p>
            <w:pPr>
              <w:jc w:val="center"/>
              <w:ind w:right="48"/>
              <w:spacing w:after="0" w:line="131"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8"/>
              <w:spacing w:after="0" w:line="147"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300" w:type="dxa"/>
            <w:vAlign w:val="bottom"/>
          </w:tcPr>
          <w:p>
            <w:pPr>
              <w:jc w:val="center"/>
              <w:ind w:right="68"/>
              <w:spacing w:after="0" w:line="147"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18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2018</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92,847,354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425,790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(201,464)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218,774</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403,377</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9,304</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Unrealized investment gain</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Adjustment from adoption of ASU 2016-9</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39,901</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39,901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(15,355)</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(15,355)</w:t>
            </w:r>
          </w:p>
        </w:tc>
        <w:tc>
          <w:tcPr>
            <w:tcW w:w="0" w:type="dxa"/>
            <w:vAlign w:val="bottom"/>
          </w:tcPr>
          <w:p>
            <w:pPr>
              <w:spacing w:after="0"/>
              <w:rPr>
                <w:sz w:val="1"/>
                <w:szCs w:val="1"/>
                <w:color w:val="auto"/>
              </w:rPr>
            </w:pPr>
          </w:p>
        </w:tc>
      </w:tr>
      <w:tr>
        <w:trPr>
          <w:trHeight w:val="206"/>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Balance at June 30, 2018</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93,250,731</w:t>
            </w:r>
          </w:p>
        </w:tc>
        <w:tc>
          <w:tcPr>
            <w:tcW w:w="2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435,871</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(7,204)</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(176,918)</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251,842</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stock plans, less withholding</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1,840,387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9,829</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9,829</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investment gain</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12"/>
        </w:trPr>
        <w:tc>
          <w:tcPr>
            <w:tcW w:w="436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(379)</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0" w:type="dxa"/>
            <w:vAlign w:val="bottom"/>
          </w:tcPr>
          <w:p>
            <w:pPr>
              <w:spacing w:after="0"/>
              <w:rPr>
                <w:sz w:val="1"/>
                <w:szCs w:val="1"/>
                <w:color w:val="auto"/>
              </w:rPr>
            </w:pPr>
          </w:p>
        </w:tc>
      </w:tr>
      <w:tr>
        <w:trPr>
          <w:trHeight w:val="206"/>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2018</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95,091,118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445,104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(198,400)</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239,364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3"/>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(36,837)</w:t>
            </w:r>
          </w:p>
        </w:tc>
        <w:tc>
          <w:tcPr>
            <w:tcW w:w="0" w:type="dxa"/>
            <w:vAlign w:val="bottom"/>
          </w:tcPr>
          <w:p>
            <w:pPr>
              <w:spacing w:after="0"/>
              <w:rPr>
                <w:sz w:val="1"/>
                <w:szCs w:val="1"/>
                <w:color w:val="auto"/>
              </w:rPr>
            </w:pPr>
          </w:p>
        </w:tc>
      </w:tr>
      <w:tr>
        <w:trPr>
          <w:trHeight w:val="262"/>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4,231</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capitalized software</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3,749</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6,397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deferred sales commission costs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Operating lease expense, net of accretion</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Non-cash lease expenses</w:t>
            </w:r>
          </w:p>
        </w:tc>
        <w:tc>
          <w:tcPr>
            <w:tcW w:w="2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30,988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19,040</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62"/>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Deferred sales commission costs</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(11,339)</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and non-current assets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accruals</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8,131</w:t>
            </w:r>
          </w:p>
        </w:tc>
        <w:tc>
          <w:tcPr>
            <w:tcW w:w="0" w:type="dxa"/>
            <w:vAlign w:val="bottom"/>
          </w:tcPr>
          <w:p>
            <w:pPr>
              <w:spacing w:after="0"/>
              <w:rPr>
                <w:sz w:val="1"/>
                <w:szCs w:val="1"/>
                <w:color w:val="auto"/>
              </w:rPr>
            </w:pPr>
          </w:p>
        </w:tc>
      </w:tr>
      <w:tr>
        <w:trPr>
          <w:trHeight w:val="276"/>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tcPr>
          <w:p>
            <w:pPr>
              <w:spacing w:after="0"/>
              <w:rPr>
                <w:sz w:val="21"/>
                <w:szCs w:val="21"/>
                <w:color w:val="auto"/>
              </w:rPr>
            </w:pPr>
          </w:p>
        </w:tc>
        <w:tc>
          <w:tcPr>
            <w:tcW w:w="8080" w:type="dxa"/>
            <w:vAlign w:val="bottom"/>
            <w:tcBorders>
              <w:top w:val="single" w:sz="8" w:color="CCEEFF"/>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(44,515)</w:t>
            </w:r>
          </w:p>
        </w:tc>
        <w:tc>
          <w:tcPr>
            <w:tcW w:w="100" w:type="dxa"/>
            <w:vAlign w:val="bottom"/>
            <w:tcBorders>
              <w:top w:val="single" w:sz="8" w:color="CCEEFF"/>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businesses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(11,386)</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maturities of investments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35,455</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Proceeds from sales of investments</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30,639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23,604</w:t>
            </w:r>
          </w:p>
        </w:tc>
        <w:tc>
          <w:tcPr>
            <w:tcW w:w="0" w:type="dxa"/>
            <w:vAlign w:val="bottom"/>
          </w:tcPr>
          <w:p>
            <w:pPr>
              <w:spacing w:after="0"/>
              <w:rPr>
                <w:sz w:val="1"/>
                <w:szCs w:val="1"/>
                <w:color w:val="auto"/>
              </w:rPr>
            </w:pPr>
          </w:p>
        </w:tc>
      </w:tr>
      <w:tr>
        <w:trPr>
          <w:trHeight w:val="271"/>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Purchases of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Finance lease payments</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Tax-related withholding of common stock</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6,720</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 and restricted cash</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284,683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39,803</w:t>
            </w: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32,777</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Interest paid</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1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8X8, Inc.</w:t>
      </w:r>
    </w:p>
    <w:p>
      <w:pPr>
        <w:spacing w:after="0" w:line="33" w:lineRule="exact"/>
        <w:rPr>
          <w:sz w:val="20"/>
          <w:szCs w:val="20"/>
          <w:color w:val="auto"/>
        </w:rPr>
      </w:pPr>
    </w:p>
    <w:p>
      <w:pPr>
        <w:ind w:right="2200" w:firstLine="2223"/>
        <w:spacing w:after="0" w:line="401" w:lineRule="auto"/>
        <w:rPr>
          <w:sz w:val="20"/>
          <w:szCs w:val="20"/>
          <w:color w:val="auto"/>
        </w:rPr>
      </w:pPr>
      <w:r>
        <w:rPr>
          <w:rFonts w:ascii="Arial" w:cs="Arial" w:eastAsia="Arial" w:hAnsi="Arial"/>
          <w:sz w:val="18"/>
          <w:szCs w:val="18"/>
          <w:b w:val="1"/>
          <w:bCs w:val="1"/>
          <w:color w:val="auto"/>
        </w:rPr>
        <w:t>NOTES TO UNAUDITED CONDENSED CONSOLIDATED FINANCIAL STATEMENTS 1. DESCRIPTION OF BUSINESS</w:t>
      </w:r>
    </w:p>
    <w:p>
      <w:pPr>
        <w:spacing w:after="0" w:line="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8x8, Inc. ("8x8" or the "Company") was incorporated in California in February 1987 and was reincorporated in Delaware in December 1996. The unaudited interim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a leading cloud provider of enterprise Software-as-a-Service (SaaS) communications solutions, that enable businesses of all sizes to communicate faster and smarter across voice, contact center, video meetings, messaging, and communication APIs,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communication APIs, and other services. Since fiscal 2004, substantially all revenue has been generated from the sale of communications services and related hardware. Prior to fiscal 2003, the Company's main business was Voice over Internet Protocol semiconductors.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Company's fiscal year ends on March 31 of each calendar year. Each reference to a fiscal year in these notes to the condensed consolidated financial statements refers to the fiscal year ended March 31 of the calendar year indicated (for example, fiscal 2020 refers to the fiscal year ending March 31, 2020).</w:t>
      </w:r>
    </w:p>
    <w:p>
      <w:pPr>
        <w:spacing w:after="0" w:line="16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accompanying interim condensed consolidated financial statements are unaudited and have been prepared on substantially the same basis as our annual consolidated financial statements for the fiscal year ended March 31, 2019 with the exception of new lease accounting guidance discussed in the recently adopted accounting principles section below. Certain information and note disclosures normally included in the financial statements prepared in accordance with U.S. generally accepted accounting principles ("GAAP") have been condensed or omitted pursuant to the rules and regulations of the SEC, regarding interim financial reporting.</w:t>
      </w:r>
    </w:p>
    <w:p>
      <w:pPr>
        <w:spacing w:after="0" w:line="17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the opinion of the Company's management, these interim condensed consolidated financial statements reflect all adjustments (consisting only of normal recurring adjustments) considered necessary for a fair statement of our financial position, results of operations, and cash flows for the periods presented. The preparation of financial statements in conformity with GAAP requires management to make estimates and assumptions that affect the reported amounts of assets, liabilities, disclosure of contingent assets and liabilities at the date of the condensed consolidated financial statements, and the reported amounts of revenue and expenses during the reporting periods. Actual results could differ from these estimates.</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March 31, 2019 year-end condensed consolidated balance sheet data in this document were derived from audited consolidated financial statements and does not include all of the disclosures required by GAAP. These condensed consolidated financial statements should be read in conjunction with the Company's audited consolidated financial statements as of and for the fiscal year ended March 31, 2019 and notes thereto included in the Company's fiscal 2019 Annual Report on Form 10-K.</w:t>
      </w:r>
    </w:p>
    <w:p>
      <w:pPr>
        <w:spacing w:after="0" w:line="170"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The results of operations and cash flows for the interim periods included in these condensed consolidated financial statements are not necessarily indicative of the results to be expected for any future period or the entire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bad debts, returns reserve for expected cancellations, income and sales tax liabilities, stock-based compensation, litigation and other contingencies. The Company bases its estimates on historical experience and on various other assumptions. Actual results could differ from those estimates under different assumptions or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AND OTHER CHANGES</w:t>
      </w:r>
    </w:p>
    <w:p>
      <w:pPr>
        <w:sectPr>
          <w:pgSz w:w="11900" w:h="16838" w:orient="portrait"/>
          <w:cols w:equalWidth="0" w:num="1">
            <w:col w:w="11400"/>
          </w:cols>
          <w:pgMar w:left="240" w:top="11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15"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in the statement of cash flows have been reclassified to conform with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 xml:space="preserve">The significant accounting policies used in preparation of these condensed consolidated financial statements are disclosed in our Annual Report on Form 10-K for the fiscal year ended March 31, 2019 filed with the SEC on May 21, 2019, and there have been no changes to the Company's significant accounting policies during the three and six months ended September 30, 2019 except for the accounting policies described below that were updated as a result of adopting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All amounts and disclosures set forth herein are in compliance with this standard.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Effective April 1, 2019, the Company adopted ASU No.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transition approach utilizing the effective date as the date of initial application. ASU 2016-02 establishes a new lease accounting model for leases, which requires lessees to recognize right-of-use assets and lease liabilities on the balance sheet, but lease expense will be recognized on the income statement in a manner similar to previous requirements. Prior years presented have not been adjusted for ASU 2016-02 and continue to be reported in accordance with our historical accounting policy.</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new standard provides a number of optional practical expedients in transition. The Company has elected the package of practical expedients permitted under the new lease standard, which among other things, allows the carryforward of the historical lease classification. As a result, there was no impact to opening retained earnings. The new standard also provides a practical expedient for an entity’s ongoing accounting. The Company has elected such practical expedient to not separate lease and non-lease components for all leases. It also made an accounting policy election to not recognize right-of-use assets and lease liabilities on the balance sheet for leases with a term of 12 months or less and will recognize lease payments as an expense on a straight-line basis over the lease term.</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adoption of the new lease standard resulted in the recognition of right-of-use assets and lease liabilities of approximately $20.0 million and $21.4 million, respectively, for existing operating leases. The Company does not have significant finance lease right-of-use assets or liabilities. The adoption of the new lease standard did not have a material impact on the Company's accumulated deficit as of April 1, 2019. For additional information on leases and the impact of the new lease standard, refer to Note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In August 2018, the Financial Accounting Standards Board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makes modifications to disclosure requirements on fair value measurements. The amendment is effective for public companies with fiscal years beginning after December 15, 2019. Early adoption is permitted. The Company is currently assessing the impact of this pronouncement to its condensed consolidated financial statements.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 Use Software (Subtopic 350-40)</w:t>
      </w:r>
      <w:r>
        <w:rPr>
          <w:rFonts w:ascii="Arial" w:cs="Arial" w:eastAsia="Arial" w:hAnsi="Arial"/>
          <w:sz w:val="18"/>
          <w:szCs w:val="18"/>
          <w:color w:val="auto"/>
        </w:rPr>
        <w:t>, which reduces complexity for the accounting for costs of implementing a cloud computing service arrangement. The amendment is effective for public companies with fiscal years beginning after December 15, 2019. Early adoption is permitted. The Company is currently assessing the impact of this pronouncement to its condensed consolidated financial statements.</w:t>
      </w:r>
    </w:p>
    <w:p>
      <w:pPr>
        <w:spacing w:after="0" w:line="146"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In June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changes the impairment model for most financial assets. The new model uses a forward</w:t>
      </w:r>
      <w:r>
        <w:rPr>
          <w:rFonts w:ascii="MS PGothic" w:cs="MS PGothic" w:eastAsia="MS PGothic" w:hAnsi="MS PGothic"/>
          <w:sz w:val="18"/>
          <w:szCs w:val="18"/>
          <w:color w:val="auto"/>
        </w:rPr>
        <w:t>‑</w:t>
      </w:r>
      <w:r>
        <w:rPr>
          <w:rFonts w:ascii="Arial" w:cs="Arial" w:eastAsia="Arial" w:hAnsi="Arial"/>
          <w:sz w:val="18"/>
          <w:szCs w:val="18"/>
          <w:color w:val="auto"/>
        </w:rPr>
        <w:t>looking expected loss method, which will generally result in earlier recognition of allowances for losses. In November 2018, the FASB issued ASU 2018</w:t>
      </w:r>
      <w:r>
        <w:rPr>
          <w:rFonts w:ascii="MS PGothic" w:cs="MS PGothic" w:eastAsia="MS PGothic" w:hAnsi="MS PGothic"/>
          <w:sz w:val="18"/>
          <w:szCs w:val="18"/>
          <w:color w:val="auto"/>
        </w:rPr>
        <w:t>‑</w:t>
      </w:r>
      <w:r>
        <w:rPr>
          <w:rFonts w:ascii="Arial" w:cs="Arial" w:eastAsia="Arial" w:hAnsi="Arial"/>
          <w:sz w:val="18"/>
          <w:szCs w:val="18"/>
          <w:color w:val="auto"/>
        </w:rPr>
        <w:t>19, Codification Improvements to Topic 326, Financial Instruments—Credit Losses, which clarifies that receivables arising from operating leases are not within the scope of Topic 326, Financial Instruments—Credit Losses. Instead, impairment of receivables arising from operating leases should be accounted for in accordance with Topic 842, Leases. In April 2019, the FASB issued ASU 2019-04, Codification Improvements to Topic 326, Financial Instruments—Credit Losses, Topic 815, Derivatives and Hedging, and Topic 825, Financial Instruments, which clarifies treatment of certain credit losses. In May 2019, the FASB issued ASU 2019-05, Financial Instruments — Credit Losses (Topic 326): Targeted Transition Relief, which permits an entity, upon adoption of ASU 2016-13, to irrevocably elect the fair value option (on an instrument-by-instrument basis) for eligible financial assets measured at amortized cost basis. These ASUs are effective for annual and interim periods beginning after December 15, 2019, and early adoption is permitted. The Company is currently assessing the impact of this pronouncement to its condensed consolidated financial statements.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Company recognizes service revenue, mainly from subscription services to its cloud-based voice, call center, video, collaboration and communication APIs solutions using the five-step model as prescribed by ASC 606:</w:t>
      </w:r>
    </w:p>
    <w:p>
      <w:pPr>
        <w:spacing w:after="0" w:line="14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Identification of the contract, or contracts, with a customer;</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identifies performance obligations in contracts with customers, which may include subscription services and related usage, product revenue and professional services. The transaction price is determined based on the amount the Company expects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30-days or less. The Company occasionally allows a 30-day period to cancel a subscription and return products shipped for a full refund.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and Estimates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Service revenue from subscriptions to the Company's cloud-based technology platform is recognized over time on a ratable basis over the contractual subscription term beginning on the date that the platform is made available to the customer. Payments received in advance of subscription services being rendered are recorded as a deferred revenue. Usage fees for our UCaaS and CCaaS offerings, either bundled or not bundled, are recognized as</w:t>
      </w:r>
    </w:p>
    <w:p>
      <w:pPr>
        <w:sectPr>
          <w:pgSz w:w="11900" w:h="16838" w:orient="portrait"/>
          <w:cols w:equalWidth="0" w:num="1">
            <w:col w:w="11420"/>
          </w:cols>
          <w:pgMar w:left="240" w:top="116" w:right="2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16"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revenue when earned. Usage fees for our CPaaS offerings are typically invoiced monthly in arrears and recognized as revenues when earned. Professional services for configuration, system integration, optimization, customer training or education are primarily billed on a fixed-fee basis and are performed by the Company directly or, alternatively, customers may also choose to perform these services themselves or engage their own third-party service providers. Professional services revenue is recognized over time as the services are rendered.</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When a contract with a customer is signed, the Company assesses whether collection of the fees under the arrangement is probable. The Company estimates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the Company records revenue reductions for customer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Company recognizes product revenue for telephony equipment at a point in time, when transfer of control has occurred, which is generally upon shipment. Sales returns are recorded as a reduction to revenue estimated based on historical experience.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2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Contract assets are recorded for those parts of the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or non-current assets in the condensed consolidated balance sheets, depending on if their reduction will be recognized during the succeeding twelve-month period or beyond.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twelve-month period are recorded as current deferred revenues in the condensed consolidated balance sheets, with the remainder recorded as other non-current liabilities in the condensed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Customer Contract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commissions and related expenses are considered incremental and recoverable costs of acquiring customer contracts. These costs are capitalized as current or non-current assets and amortized on a straight-line basis over the anticipated benefit period, which is five years. The benefit period was estimated by taking into consideration the length of customer contracts, technology lifecycle, and other factors. This amortization expense is recorded in sales and marketing expense within the Company's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13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The following table provides information about receivables, contract assets and deferred revenues from contracts with customers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September 30, 2019</w:t>
            </w: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30,743</w:t>
            </w:r>
          </w:p>
        </w:tc>
      </w:tr>
      <w:tr>
        <w:trPr>
          <w:trHeight w:val="235"/>
        </w:trPr>
        <w:tc>
          <w:tcPr>
            <w:tcW w:w="9360" w:type="dxa"/>
            <w:vAlign w:val="bottom"/>
          </w:tcPr>
          <w:p>
            <w:pPr>
              <w:ind w:left="40"/>
              <w:spacing w:after="0"/>
              <w:rPr>
                <w:sz w:val="20"/>
                <w:szCs w:val="20"/>
                <w:color w:val="auto"/>
              </w:rPr>
            </w:pPr>
            <w:r>
              <w:rPr>
                <w:rFonts w:ascii="Arial" w:cs="Arial" w:eastAsia="Arial" w:hAnsi="Arial"/>
                <w:sz w:val="16"/>
                <w:szCs w:val="16"/>
                <w:color w:val="auto"/>
              </w:rPr>
              <w:t>Contract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13,490</w:t>
            </w:r>
          </w:p>
        </w:tc>
      </w:tr>
      <w:tr>
        <w:trPr>
          <w:trHeight w:val="251"/>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 - 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4,270</w:t>
            </w:r>
          </w:p>
        </w:tc>
      </w:tr>
      <w:tr>
        <w:trPr>
          <w:trHeight w:val="228"/>
        </w:trPr>
        <w:tc>
          <w:tcPr>
            <w:tcW w:w="9360" w:type="dxa"/>
            <w:vAlign w:val="bottom"/>
          </w:tcPr>
          <w:p>
            <w:pPr>
              <w:ind w:left="40"/>
              <w:spacing w:after="0"/>
              <w:rPr>
                <w:sz w:val="20"/>
                <w:szCs w:val="20"/>
                <w:color w:val="auto"/>
              </w:rPr>
            </w:pPr>
            <w:r>
              <w:rPr>
                <w:rFonts w:ascii="Arial" w:cs="Arial" w:eastAsia="Arial" w:hAnsi="Arial"/>
                <w:sz w:val="16"/>
                <w:szCs w:val="16"/>
                <w:color w:val="auto"/>
              </w:rPr>
              <w:t>Deferred revenue - non-current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43</w:t>
            </w:r>
          </w:p>
        </w:tc>
      </w:tr>
    </w:tbl>
    <w:p>
      <w:pPr>
        <w:spacing w:after="0" w:line="209"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Changes in the contract assets and the deferred revenue balances during the six months ended September 30, 2019 are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Pr>
          <w:p>
            <w:pPr>
              <w:spacing w:after="0"/>
              <w:rPr>
                <w:sz w:val="21"/>
                <w:szCs w:val="21"/>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21"/>
                <w:szCs w:val="21"/>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13,490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7,773</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971</w:t>
            </w: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change in contract assets was primarily driven by the recognition of revenue that has not yet been billed. The increase in deferred revenues was due to billings in advance of performance obligations being satisfied. Revenues of $2.8 million were recognized during the six months ended September 30, 2019, a portion of which were included in the deferred revenues balance at the beginning of the period, which was offset by additional deferrals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Company's subscription terms typically range from one to four years. Contract revenue as of September 30, 2019 that has not yet been recognized was approximately $220.0 million. This excludes contracts with an original expected length of one year or less. The Company expects to recognize revenue on most of the remaining performance obligation over the next 36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available-for-sale investments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Cash and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9"/>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Amortized</w:t>
            </w:r>
          </w:p>
        </w:tc>
        <w:tc>
          <w:tcPr>
            <w:tcW w:w="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8"/>
              </w:rPr>
              <w:t>Unrealized</w:t>
            </w:r>
          </w:p>
        </w:tc>
        <w:tc>
          <w:tcPr>
            <w:tcW w:w="180" w:type="dxa"/>
            <w:vAlign w:val="bottom"/>
          </w:tcPr>
          <w:p>
            <w:pPr>
              <w:spacing w:after="0"/>
              <w:rPr>
                <w:sz w:val="19"/>
                <w:szCs w:val="19"/>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9"/>
                <w:szCs w:val="19"/>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rPr>
              <w:t>Cash</w:t>
            </w:r>
          </w:p>
        </w:tc>
        <w:tc>
          <w:tcPr>
            <w:tcW w:w="200" w:type="dxa"/>
            <w:vAlign w:val="bottom"/>
          </w:tcPr>
          <w:p>
            <w:pPr>
              <w:spacing w:after="0"/>
              <w:rPr>
                <w:sz w:val="19"/>
                <w:szCs w:val="19"/>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Short-Term</w:t>
            </w:r>
          </w:p>
        </w:tc>
        <w:tc>
          <w:tcPr>
            <w:tcW w:w="200" w:type="dxa"/>
            <w:vAlign w:val="bottom"/>
          </w:tcPr>
          <w:p>
            <w:pPr>
              <w:spacing w:after="0"/>
              <w:rPr>
                <w:sz w:val="19"/>
                <w:szCs w:val="19"/>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Long-Term</w:t>
            </w: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 of September 30, 2019</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Costs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Investments</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7"/>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132,551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132,551</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132,551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securities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6,578</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6,580</w:t>
            </w: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Subtotal</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164,802</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164,804</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158,224</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6,580</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7"/>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37,858</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24,110</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13,868</w:t>
            </w:r>
          </w:p>
        </w:tc>
      </w:tr>
      <w:tr>
        <w:trPr>
          <w:trHeight w:val="235"/>
        </w:trPr>
        <w:tc>
          <w:tcPr>
            <w:tcW w:w="28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5,592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5,592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3,995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1,597</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securities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2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Subtotal</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47,048</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47,187</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29,324</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13,868</w:t>
            </w:r>
          </w:p>
        </w:tc>
      </w:tr>
      <w:tr>
        <w:trPr>
          <w:trHeight w:val="230"/>
        </w:trPr>
        <w:tc>
          <w:tcPr>
            <w:tcW w:w="28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20,448</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Gross</w:t>
            </w:r>
          </w:p>
        </w:tc>
        <w:tc>
          <w:tcPr>
            <w:tcW w:w="200" w:type="dxa"/>
            <w:vAlign w:val="bottom"/>
          </w:tcPr>
          <w:p>
            <w:pPr>
              <w:spacing w:after="0"/>
              <w:rPr>
                <w:sz w:val="16"/>
                <w:szCs w:val="16"/>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rPr>
              <w:t>Cash and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9"/>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Amortized</w:t>
            </w:r>
          </w:p>
        </w:tc>
        <w:tc>
          <w:tcPr>
            <w:tcW w:w="180" w:type="dxa"/>
            <w:vAlign w:val="bottom"/>
          </w:tcPr>
          <w:p>
            <w:pPr>
              <w:spacing w:after="0"/>
              <w:rPr>
                <w:sz w:val="19"/>
                <w:szCs w:val="19"/>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9"/>
                <w:szCs w:val="19"/>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Estimated</w:t>
            </w:r>
          </w:p>
        </w:tc>
        <w:tc>
          <w:tcPr>
            <w:tcW w:w="200" w:type="dxa"/>
            <w:vAlign w:val="bottom"/>
          </w:tcPr>
          <w:p>
            <w:pPr>
              <w:spacing w:after="0"/>
              <w:rPr>
                <w:sz w:val="19"/>
                <w:szCs w:val="19"/>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rPr>
              <w:t>Cash</w:t>
            </w:r>
          </w:p>
        </w:tc>
        <w:tc>
          <w:tcPr>
            <w:tcW w:w="200" w:type="dxa"/>
            <w:vAlign w:val="bottom"/>
          </w:tcPr>
          <w:p>
            <w:pPr>
              <w:spacing w:after="0"/>
              <w:rPr>
                <w:sz w:val="19"/>
                <w:szCs w:val="19"/>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Short-Term</w:t>
            </w:r>
          </w:p>
        </w:tc>
      </w:tr>
      <w:tr>
        <w:trPr>
          <w:trHeight w:val="25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Costs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251,219</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251,219</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251,219</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Subtotal</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276,583</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276,583</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276,583</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5"/>
        </w:trPr>
        <w:tc>
          <w:tcPr>
            <w:tcW w:w="4000" w:type="dxa"/>
            <w:vAlign w:val="bottom"/>
          </w:tcPr>
          <w:p>
            <w:pPr>
              <w:ind w:left="280"/>
              <w:spacing w:after="0"/>
              <w:rPr>
                <w:sz w:val="20"/>
                <w:szCs w:val="20"/>
                <w:color w:val="auto"/>
              </w:rPr>
            </w:pPr>
            <w:r>
              <w:rPr>
                <w:rFonts w:ascii="Arial" w:cs="Arial" w:eastAsia="Arial" w:hAnsi="Arial"/>
                <w:sz w:val="16"/>
                <w:szCs w:val="16"/>
                <w:color w:val="auto"/>
              </w:rPr>
              <w:t>Corporate debt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46,516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46,538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46,538</w:t>
            </w:r>
          </w:p>
        </w:tc>
      </w:tr>
      <w:tr>
        <w:trPr>
          <w:trHeight w:val="251"/>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securities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5,528</w:t>
            </w:r>
          </w:p>
        </w:tc>
      </w:tr>
      <w:tr>
        <w:trPr>
          <w:trHeight w:val="235"/>
        </w:trPr>
        <w:tc>
          <w:tcPr>
            <w:tcW w:w="4000" w:type="dxa"/>
            <w:vAlign w:val="bottom"/>
          </w:tcPr>
          <w:p>
            <w:pPr>
              <w:ind w:left="280"/>
              <w:spacing w:after="0"/>
              <w:rPr>
                <w:sz w:val="20"/>
                <w:szCs w:val="20"/>
                <w:color w:val="auto"/>
              </w:rPr>
            </w:pPr>
            <w:r>
              <w:rPr>
                <w:rFonts w:ascii="Arial" w:cs="Arial" w:eastAsia="Arial" w:hAnsi="Arial"/>
                <w:sz w:val="16"/>
                <w:szCs w:val="16"/>
                <w:color w:val="auto"/>
              </w:rPr>
              <w:t>Asset backed securities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13,596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13,588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13,588</w:t>
            </w:r>
          </w:p>
        </w:tc>
      </w:tr>
      <w:tr>
        <w:trPr>
          <w:trHeight w:val="251"/>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Agency bonds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4,260</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4,245</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Subtotal</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69,883</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69,899</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69,899</w:t>
            </w:r>
          </w:p>
        </w:tc>
      </w:tr>
      <w:tr>
        <w:trPr>
          <w:trHeight w:val="23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69,899</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Historically, the Company had maintained all investments as short-term investments on its balance sheet, as the Company could liquidate these investments at any time and did not limit its liquidation of investments by contractual maturity date. Given the recent issuance of the convertible senior notes, and the associated increased cash, cash equivalents and investment balances, the Company expects to hold certain investments for at least 12 months from the reporting date and records these investments in long-term investments in accordance with the contractual maturity dates.</w:t>
      </w:r>
    </w:p>
    <w:p>
      <w:pPr>
        <w:sectPr>
          <w:pgSz w:w="11900" w:h="16838" w:orient="portrait"/>
          <w:cols w:equalWidth="0" w:num="1">
            <w:col w:w="11420"/>
          </w:cols>
          <w:pgMar w:left="240" w:top="116" w:right="2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16"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September 30, 2019, the estimated fair value of the Company's outstanding convertible senior notes (the Notes) was $302.7 million. The fair value of the Notes was determined based on the closing price for the Notes on the last trading day of the reporting period and is considered as Level 2 in the fair value hierarchy.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Wavecell Acquisition</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July 17, 2019, the Company entered into a Share Purchase Agreement (the “Share Purchase Agreement”) with Wavecell Pte. Ltd., a corporation incorporated under the laws of the Republic of Singapore (“Wavecell”), the equity holders of Wavecell (collectively, the “Sellers”), and Qualgro Partners Pte. Ltd., in its capacity as the representative of the equity holders of Wavecell. Pursuant to the Share Purchase Agreement, the Company acquired all of the outstanding shares and other equity interests of Wavecell (the “Transaction”). This acquisition extends 8x8’s technology advantage as a fully-owned, cloud technology platform with unified communications ("UCaaS"), contact center ("CCaaS"), video ("VCaaS") and platform communication APIs ("CPaaS") solutions able to natively offer pre-packaged communications, contact center and video solutions and open APIs to embed these and other communications into an organization’s core business processes.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total fair value of the purchase consideration of approximately $117.1 million was comprised of approximately $72.8 million in cash and $44.3 million in shares of common stock of the Company, of which approximately $10.4 million in cash and $8.5 million in equity have been heldback to cover potential indemnity claims made by the Company after the closing date. One-third of these heldback amounts are eligible to be released in twelve months from the date of acquisition and the remainder in eighteen months from the date of the acquisition. The heldback cash of $3.5 million and $6.9 million are recorded in restricted cash, current and restricted cash, non-current, respectively and other accrued liabilities and other liabilities, non-current, respectively, in the Company's condensed consolidated balance sheet. The holdback of $8.5 million in equity is included in other liabilities, non-current in the Company's condensed consolidated balance sheet. Additionally, in connection with the acquisition, the Company issued $13.2 million in time-based restricted stock awards and $6.6 million in performance based restricted stock awards all of which vest over the next three years, and which the Company will expense over the same such period.</w:t>
      </w:r>
    </w:p>
    <w:p>
      <w:pPr>
        <w:spacing w:after="0" w:line="182"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major classes of assets and liabilities to which the Company has preliminarily allocated the fair value of purchase consideration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July 17, 2019</w:t>
            </w:r>
          </w:p>
        </w:tc>
      </w:tr>
      <w:tr>
        <w:trPr>
          <w:trHeight w:val="254"/>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4,473</w:t>
            </w:r>
          </w:p>
        </w:tc>
      </w:tr>
      <w:tr>
        <w:trPr>
          <w:trHeight w:val="262"/>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22"/>
                <w:szCs w:val="22"/>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9,438</w:t>
            </w:r>
          </w:p>
        </w:tc>
      </w:tr>
      <w:tr>
        <w:trPr>
          <w:trHeight w:val="278"/>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21,010</w:t>
            </w:r>
          </w:p>
        </w:tc>
      </w:tr>
      <w:tr>
        <w:trPr>
          <w:trHeight w:val="262"/>
        </w:trPr>
        <w:tc>
          <w:tcPr>
            <w:tcW w:w="9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22"/>
                <w:szCs w:val="22"/>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787</w:t>
            </w:r>
          </w:p>
        </w:tc>
      </w:tr>
      <w:tr>
        <w:trPr>
          <w:trHeight w:val="278"/>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94,584</w:t>
            </w:r>
          </w:p>
        </w:tc>
      </w:tr>
      <w:tr>
        <w:trPr>
          <w:trHeight w:val="262"/>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(13,072)</w:t>
            </w:r>
          </w:p>
        </w:tc>
      </w:tr>
      <w:tr>
        <w:trPr>
          <w:trHeight w:val="271"/>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42"/>
        </w:trPr>
        <w:tc>
          <w:tcPr>
            <w:tcW w:w="9020" w:type="dxa"/>
            <w:vAlign w:val="bottom"/>
          </w:tcPr>
          <w:p>
            <w:pPr>
              <w:ind w:left="600"/>
              <w:spacing w:after="0"/>
              <w:rPr>
                <w:sz w:val="20"/>
                <w:szCs w:val="20"/>
                <w:color w:val="auto"/>
              </w:rPr>
            </w:pPr>
            <w:r>
              <w:rPr>
                <w:rFonts w:ascii="Arial" w:cs="Arial" w:eastAsia="Arial" w:hAnsi="Arial"/>
                <w:sz w:val="16"/>
                <w:szCs w:val="16"/>
                <w:color w:val="auto"/>
              </w:rPr>
              <w:t>Total consideration</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117,130</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Company will continue to collect information and reevaluate the estimates and assumptions and will record any adjustments to the Company’s preliminary estimates provided that the Company is within the measurement period. The goodwill recognized was primarily attributed to increased synergies that are expected to be achieved from the integration of Wavecell and is not expected to be deductible for income tax purposes. The Company determined the fair values of intangible assets acquired and liabilities assumed with the assistance of third-party valuation consultants. Based on this valuation, the intangible assets acquired are preliminarily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Useful life (in</w:t>
            </w:r>
          </w:p>
        </w:tc>
      </w:tr>
      <w:tr>
        <w:trPr>
          <w:trHeight w:val="232"/>
        </w:trPr>
        <w:tc>
          <w:tcPr>
            <w:tcW w:w="8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Years)</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and domain names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w:t>
            </w:r>
          </w:p>
        </w:tc>
        <w:tc>
          <w:tcPr>
            <w:tcW w:w="14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w:t>
            </w: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3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13,830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w:t>
            </w: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6,190</w:t>
            </w:r>
          </w:p>
        </w:tc>
        <w:tc>
          <w:tcPr>
            <w:tcW w:w="14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w:t>
            </w:r>
          </w:p>
        </w:tc>
      </w:tr>
      <w:tr>
        <w:trPr>
          <w:trHeight w:val="242"/>
        </w:trPr>
        <w:tc>
          <w:tcPr>
            <w:tcW w:w="8120" w:type="dxa"/>
            <w:vAlign w:val="bottom"/>
          </w:tcPr>
          <w:p>
            <w:pPr>
              <w:ind w:left="500"/>
              <w:spacing w:after="0"/>
              <w:rPr>
                <w:sz w:val="20"/>
                <w:szCs w:val="20"/>
                <w:color w:val="auto"/>
              </w:rPr>
            </w:pPr>
            <w:r>
              <w:rPr>
                <w:rFonts w:ascii="Arial" w:cs="Arial" w:eastAsia="Arial" w:hAnsi="Arial"/>
                <w:sz w:val="16"/>
                <w:szCs w:val="16"/>
                <w:color w:val="auto"/>
              </w:rPr>
              <w:t>Total intangible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21,010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16"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The Company incurred costs related to this acquisition of approximately $1.6 million during the six months ended September 30, 2019. All acquisition related costs were expensed as incurred and have been recorded in general and administrative expenses in the accompanying consolidated statements of operations.</w:t>
      </w:r>
    </w:p>
    <w:p>
      <w:pPr>
        <w:spacing w:after="0" w:line="163"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and are not material to the Company’s condensed consolidated financial results. Pro forma results of operations for this acquisition have not been presented, as the financial impact to the Company’s condensed consolidated financial statements is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33,466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10,293</w:t>
            </w:r>
          </w:p>
        </w:tc>
        <w:tc>
          <w:tcPr>
            <w:tcW w:w="0" w:type="dxa"/>
            <w:vAlign w:val="bottom"/>
          </w:tcPr>
          <w:p>
            <w:pPr>
              <w:spacing w:after="0"/>
              <w:rPr>
                <w:sz w:val="1"/>
                <w:szCs w:val="1"/>
                <w:color w:val="auto"/>
              </w:rPr>
            </w:pPr>
          </w:p>
        </w:tc>
      </w:tr>
      <w:tr>
        <w:trPr>
          <w:trHeight w:val="262"/>
        </w:trPr>
        <w:tc>
          <w:tcPr>
            <w:tcW w:w="34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78"/>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and domain names</w:t>
            </w: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3460" w:type="dxa"/>
            <w:vAlign w:val="bottom"/>
          </w:tcPr>
          <w:p>
            <w:pPr>
              <w:ind w:left="280"/>
              <w:spacing w:after="0" w:line="178" w:lineRule="exact"/>
              <w:rPr>
                <w:sz w:val="20"/>
                <w:szCs w:val="20"/>
                <w:color w:val="auto"/>
              </w:rPr>
            </w:pPr>
            <w:r>
              <w:rPr>
                <w:rFonts w:ascii="Arial" w:cs="Arial" w:eastAsia="Arial" w:hAnsi="Arial"/>
                <w:sz w:val="16"/>
                <w:szCs w:val="16"/>
                <w:color w:val="auto"/>
              </w:rPr>
              <w:t>Total acquired identifiable intangible</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45,731</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(17,321)</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28,410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37,277</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(25,597)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11,680</w:t>
            </w:r>
          </w:p>
        </w:tc>
        <w:tc>
          <w:tcPr>
            <w:tcW w:w="0" w:type="dxa"/>
            <w:vAlign w:val="bottom"/>
          </w:tcPr>
          <w:p>
            <w:pPr>
              <w:spacing w:after="0"/>
              <w:rPr>
                <w:sz w:val="1"/>
                <w:szCs w:val="1"/>
                <w:color w:val="auto"/>
              </w:rPr>
            </w:pPr>
          </w:p>
        </w:tc>
      </w:tr>
      <w:tr>
        <w:trPr>
          <w:trHeight w:val="220"/>
        </w:trPr>
        <w:tc>
          <w:tcPr>
            <w:tcW w:w="3460" w:type="dxa"/>
            <w:vAlign w:val="bottom"/>
          </w:tcPr>
          <w:p>
            <w:pPr>
              <w:ind w:left="280"/>
              <w:spacing w:after="0"/>
              <w:rPr>
                <w:sz w:val="20"/>
                <w:szCs w:val="20"/>
                <w:color w:val="auto"/>
              </w:rPr>
            </w:pPr>
            <w:r>
              <w:rPr>
                <w:rFonts w:ascii="Arial" w:cs="Arial" w:eastAsia="Arial" w:hAnsi="Arial"/>
                <w:sz w:val="16"/>
                <w:szCs w:val="16"/>
                <w:color w:val="auto"/>
              </w:rPr>
              <w:t>assets</w:t>
            </w:r>
          </w:p>
        </w:tc>
        <w:tc>
          <w:tcPr>
            <w:tcW w:w="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During the six months ended September 30, 2019 the Company wrote off approximately $11.3 million of fully amortized intangible assets and the corresponding accumulated amortization.</w:t>
      </w:r>
    </w:p>
    <w:p>
      <w:pPr>
        <w:spacing w:after="0" w:line="199"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At September 30, 2019, annual amortization of intangible assets, based upon our existing intangible assets and current useful lives, is estimated to be the following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4,603</w:t>
            </w:r>
          </w:p>
        </w:tc>
      </w:tr>
      <w:tr>
        <w:trPr>
          <w:trHeight w:val="235"/>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6,673</w:t>
            </w:r>
          </w:p>
        </w:tc>
      </w:tr>
      <w:tr>
        <w:trPr>
          <w:trHeight w:val="251"/>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4,896</w:t>
            </w:r>
          </w:p>
        </w:tc>
      </w:tr>
      <w:tr>
        <w:trPr>
          <w:trHeight w:val="235"/>
        </w:trPr>
        <w:tc>
          <w:tcPr>
            <w:tcW w:w="9480" w:type="dxa"/>
            <w:vAlign w:val="bottom"/>
          </w:tcPr>
          <w:p>
            <w:pPr>
              <w:ind w:left="40"/>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3,116</w:t>
            </w:r>
          </w:p>
        </w:tc>
      </w:tr>
      <w:tr>
        <w:trPr>
          <w:trHeight w:val="251"/>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2,807</w:t>
            </w:r>
          </w:p>
        </w:tc>
      </w:tr>
      <w:tr>
        <w:trPr>
          <w:trHeight w:val="23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6,315</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28,410</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39,694</w:t>
            </w:r>
          </w:p>
        </w:tc>
      </w:tr>
      <w:tr>
        <w:trPr>
          <w:trHeight w:val="235"/>
        </w:trPr>
        <w:tc>
          <w:tcPr>
            <w:tcW w:w="9480" w:type="dxa"/>
            <w:vAlign w:val="bottom"/>
          </w:tcPr>
          <w:p>
            <w:pPr>
              <w:ind w:left="280"/>
              <w:spacing w:after="0"/>
              <w:rPr>
                <w:sz w:val="20"/>
                <w:szCs w:val="20"/>
                <w:color w:val="auto"/>
              </w:rPr>
            </w:pPr>
            <w:r>
              <w:rPr>
                <w:rFonts w:ascii="Arial" w:cs="Arial" w:eastAsia="Arial" w:hAnsi="Arial"/>
                <w:sz w:val="16"/>
                <w:szCs w:val="16"/>
                <w:color w:val="auto"/>
              </w:rPr>
              <w:t>Additions due to acquisitions</w:t>
            </w:r>
          </w:p>
        </w:tc>
        <w:tc>
          <w:tcPr>
            <w:tcW w:w="4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94,584</w:t>
            </w:r>
          </w:p>
        </w:tc>
      </w:tr>
      <w:tr>
        <w:trPr>
          <w:trHeight w:val="26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r>
      <w:tr>
        <w:trPr>
          <w:trHeight w:val="230"/>
        </w:trPr>
        <w:tc>
          <w:tcPr>
            <w:tcW w:w="9480" w:type="dxa"/>
            <w:vAlign w:val="bottom"/>
          </w:tcPr>
          <w:p>
            <w:pPr>
              <w:ind w:left="40"/>
              <w:spacing w:after="0"/>
              <w:rPr>
                <w:sz w:val="20"/>
                <w:szCs w:val="20"/>
                <w:color w:val="auto"/>
              </w:rPr>
            </w:pPr>
            <w:r>
              <w:rPr>
                <w:rFonts w:ascii="Arial" w:cs="Arial" w:eastAsia="Arial" w:hAnsi="Arial"/>
                <w:sz w:val="16"/>
                <w:szCs w:val="16"/>
                <w:color w:val="auto"/>
              </w:rPr>
              <w:t>Balance at September 30, 2019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131,879</w:t>
            </w:r>
          </w:p>
        </w:tc>
      </w:tr>
      <w:tr>
        <w:trPr>
          <w:trHeight w:val="20"/>
        </w:trPr>
        <w:tc>
          <w:tcPr>
            <w:tcW w:w="9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RIGHT-OF-USE ASSETS AND LEASES</w:t>
      </w:r>
    </w:p>
    <w:p>
      <w:pPr>
        <w:spacing w:after="0" w:line="25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primarily leases facilities for office and data center space under non-cancellable operating leases for its U.S. and international locations that expire at various dates through 2030. For leases with a term greater than 12 months, the Company recognizes a right-of-use asset and a lease liability based on the present value of lease payments over the lease term. Variable lease payments are not included in the lease payments to measure the lease liability and are expensed as incurred. The Company’s leases have remaining terms of one to eleven years and some of the leases include a Company option to extend the lease term for one to five years, or more, which if reasonably certain to exercise, the Company includes in the determination of lease payments. The lease agreements do not contain any material residual value guarantees or material restrictive covenants.</w:t>
      </w:r>
    </w:p>
    <w:p>
      <w:pPr>
        <w:spacing w:after="0" w:line="17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most of the Company's leases do not provide a readily determinable implicit rate, the Company uses the incremental borrowing rate at lease commencement, which was determined using a portfolio approach, based on</w:t>
      </w:r>
    </w:p>
    <w:p>
      <w:pPr>
        <w:sectPr>
          <w:pgSz w:w="11900" w:h="16838" w:orient="portrait"/>
          <w:cols w:equalWidth="0" w:num="1">
            <w:col w:w="11420"/>
          </w:cols>
          <w:pgMar w:left="240" w:top="116" w:right="239" w:bottom="144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16"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w:t>
      </w:r>
    </w:p>
    <w:p>
      <w:pPr>
        <w:spacing w:after="0" w:line="1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Leases with an initial term of 12 months or less are not recognized on the balance sheet and the expense for these short-term leases is recognized on a straight-line basis over the lease term. Common area maintenance fees (or CAMs) and other charges related to these leases continue to be expensed as incurred. The following table provides balance sheet information related to leases as of September 30, 2019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36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2019</w:t>
            </w:r>
          </w:p>
        </w:tc>
      </w:tr>
      <w:tr>
        <w:trPr>
          <w:trHeight w:val="267"/>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2"/>
        </w:trPr>
        <w:tc>
          <w:tcPr>
            <w:tcW w:w="9360" w:type="dxa"/>
            <w:vAlign w:val="bottom"/>
          </w:tcPr>
          <w:p>
            <w:pPr>
              <w:ind w:left="380"/>
              <w:spacing w:after="0"/>
              <w:rPr>
                <w:sz w:val="20"/>
                <w:szCs w:val="20"/>
                <w:color w:val="auto"/>
              </w:rPr>
            </w:pPr>
            <w:r>
              <w:rPr>
                <w:rFonts w:ascii="Arial" w:cs="Arial" w:eastAsia="Arial" w:hAnsi="Arial"/>
                <w:sz w:val="16"/>
                <w:szCs w:val="16"/>
                <w:color w:val="auto"/>
              </w:rPr>
              <w:t>Operating lease, right-of-use assets</w:t>
            </w:r>
          </w:p>
        </w:tc>
        <w:tc>
          <w:tcPr>
            <w:tcW w:w="80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78,147</w:t>
            </w:r>
          </w:p>
        </w:tc>
      </w:tr>
      <w:tr>
        <w:trPr>
          <w:trHeight w:val="332"/>
        </w:trPr>
        <w:tc>
          <w:tcPr>
            <w:tcW w:w="9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6"/>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4"/>
        </w:trPr>
        <w:tc>
          <w:tcPr>
            <w:tcW w:w="9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 liabilities, current</w:t>
            </w:r>
          </w:p>
        </w:tc>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5,292</w:t>
            </w:r>
          </w:p>
        </w:tc>
      </w:tr>
      <w:tr>
        <w:trPr>
          <w:trHeight w:val="264"/>
        </w:trPr>
        <w:tc>
          <w:tcPr>
            <w:tcW w:w="9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Operating lease liabilities, non-current</w:t>
            </w: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75,221</w:t>
            </w:r>
          </w:p>
        </w:tc>
      </w:tr>
      <w:tr>
        <w:trPr>
          <w:trHeight w:val="237"/>
        </w:trPr>
        <w:tc>
          <w:tcPr>
            <w:tcW w:w="9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lease liabilities</w:t>
            </w:r>
          </w:p>
        </w:tc>
        <w:tc>
          <w:tcPr>
            <w:tcW w:w="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80,513</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620"/>
        <w:spacing w:after="0" w:line="323" w:lineRule="auto"/>
        <w:rPr>
          <w:sz w:val="20"/>
          <w:szCs w:val="20"/>
          <w:color w:val="auto"/>
        </w:rPr>
      </w:pPr>
      <w:r>
        <w:rPr>
          <w:rFonts w:ascii="Arial" w:cs="Arial" w:eastAsia="Arial" w:hAnsi="Arial"/>
          <w:sz w:val="17"/>
          <w:szCs w:val="17"/>
          <w:color w:val="auto"/>
        </w:rPr>
        <w:t>During the three and six months ended September 30, 2019, operating lease expense was approximately $ 4.2 million and $6.2 million, respectively. Variable lease cost and short-term lease cost were immaterial during the three and six months ended September 30, 2019.</w:t>
      </w:r>
    </w:p>
    <w:p>
      <w:pPr>
        <w:spacing w:after="0" w:line="122"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following table presents supplemental information for the six months ended September 30, 2019 (in thousands, except for weighted average):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remaining lease term</w:t>
            </w:r>
          </w:p>
        </w:tc>
        <w:tc>
          <w:tcPr>
            <w:tcW w:w="25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9.1 years</w:t>
            </w:r>
          </w:p>
        </w:tc>
      </w:tr>
      <w:tr>
        <w:trPr>
          <w:trHeight w:val="262"/>
        </w:trPr>
        <w:tc>
          <w:tcPr>
            <w:tcW w:w="7220" w:type="dxa"/>
            <w:vAlign w:val="bottom"/>
          </w:tcPr>
          <w:p>
            <w:pPr>
              <w:ind w:left="40"/>
              <w:spacing w:after="0"/>
              <w:rPr>
                <w:sz w:val="20"/>
                <w:szCs w:val="20"/>
                <w:color w:val="auto"/>
              </w:rPr>
            </w:pPr>
            <w:r>
              <w:rPr>
                <w:rFonts w:ascii="Arial" w:cs="Arial" w:eastAsia="Arial" w:hAnsi="Arial"/>
                <w:sz w:val="16"/>
                <w:szCs w:val="16"/>
                <w:color w:val="auto"/>
              </w:rPr>
              <w:t>Weighted average discount rate</w:t>
            </w:r>
          </w:p>
        </w:tc>
        <w:tc>
          <w:tcPr>
            <w:tcW w:w="2540" w:type="dxa"/>
            <w:vAlign w:val="bottom"/>
          </w:tcPr>
          <w:p>
            <w:pPr>
              <w:spacing w:after="0"/>
              <w:rPr>
                <w:sz w:val="22"/>
                <w:szCs w:val="22"/>
                <w:color w:val="auto"/>
              </w:rPr>
            </w:pPr>
          </w:p>
        </w:tc>
        <w:tc>
          <w:tcPr>
            <w:tcW w:w="1660" w:type="dxa"/>
            <w:vAlign w:val="bottom"/>
          </w:tcPr>
          <w:p>
            <w:pPr>
              <w:jc w:val="right"/>
              <w:ind w:right="757"/>
              <w:spacing w:after="0"/>
              <w:rPr>
                <w:sz w:val="20"/>
                <w:szCs w:val="20"/>
                <w:color w:val="auto"/>
              </w:rPr>
            </w:pPr>
            <w:r>
              <w:rPr>
                <w:rFonts w:ascii="Arial" w:cs="Arial" w:eastAsia="Arial" w:hAnsi="Arial"/>
                <w:sz w:val="16"/>
                <w:szCs w:val="16"/>
                <w:color w:val="auto"/>
              </w:rPr>
              <w:t>4.0%</w:t>
            </w:r>
          </w:p>
        </w:tc>
      </w:tr>
      <w:tr>
        <w:trPr>
          <w:trHeight w:val="278"/>
        </w:trPr>
        <w:tc>
          <w:tcPr>
            <w:tcW w:w="7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4,487</w:t>
            </w:r>
          </w:p>
        </w:tc>
      </w:tr>
      <w:tr>
        <w:trPr>
          <w:trHeight w:val="255"/>
        </w:trPr>
        <w:tc>
          <w:tcPr>
            <w:tcW w:w="7220" w:type="dxa"/>
            <w:vAlign w:val="bottom"/>
          </w:tcPr>
          <w:p>
            <w:pPr>
              <w:ind w:left="180"/>
              <w:spacing w:after="0"/>
              <w:rPr>
                <w:sz w:val="20"/>
                <w:szCs w:val="20"/>
                <w:color w:val="auto"/>
              </w:rPr>
            </w:pPr>
            <w:r>
              <w:rPr>
                <w:rFonts w:ascii="Arial" w:cs="Arial" w:eastAsia="Arial" w:hAnsi="Arial"/>
                <w:sz w:val="16"/>
                <w:szCs w:val="16"/>
                <w:color w:val="auto"/>
              </w:rPr>
              <w:t>Operating cash flow from operating leases</w:t>
            </w:r>
          </w:p>
        </w:tc>
        <w:tc>
          <w:tcPr>
            <w:tcW w:w="2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7"/>
              <w:spacing w:after="0"/>
              <w:rPr>
                <w:sz w:val="20"/>
                <w:szCs w:val="20"/>
                <w:color w:val="auto"/>
              </w:rPr>
            </w:pPr>
            <w:r>
              <w:rPr>
                <w:rFonts w:ascii="Arial" w:cs="Arial" w:eastAsia="Arial" w:hAnsi="Arial"/>
                <w:sz w:val="16"/>
                <w:szCs w:val="16"/>
                <w:color w:val="auto"/>
              </w:rPr>
              <w:t>4,487</w:t>
            </w:r>
          </w:p>
        </w:tc>
      </w:tr>
    </w:tbl>
    <w:p>
      <w:pPr>
        <w:spacing w:after="0" w:line="200" w:lineRule="exact"/>
        <w:rPr>
          <w:sz w:val="20"/>
          <w:szCs w:val="20"/>
          <w:color w:val="auto"/>
        </w:rPr>
      </w:pPr>
    </w:p>
    <w:p>
      <w:pPr>
        <w:spacing w:after="0" w:line="225"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following table presents maturity of lease liabilities under the Company's non-cancellable operating leases as of September 30, 2019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5,298</w:t>
            </w:r>
          </w:p>
        </w:tc>
      </w:tr>
      <w:tr>
        <w:trPr>
          <w:trHeight w:val="262"/>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7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8,103</w:t>
            </w:r>
          </w:p>
        </w:tc>
      </w:tr>
      <w:tr>
        <w:trPr>
          <w:trHeight w:val="278"/>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13,768</w:t>
            </w:r>
          </w:p>
        </w:tc>
      </w:tr>
      <w:tr>
        <w:trPr>
          <w:trHeight w:val="262"/>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7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11,189</w:t>
            </w:r>
          </w:p>
        </w:tc>
      </w:tr>
      <w:tr>
        <w:trPr>
          <w:trHeight w:val="278"/>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11,224</w:t>
            </w: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68,839</w:t>
            </w:r>
          </w:p>
        </w:tc>
      </w:tr>
      <w:tr>
        <w:trPr>
          <w:trHeight w:val="242"/>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lease payments</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118,421</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7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(22,486)</w:t>
            </w:r>
          </w:p>
        </w:tc>
      </w:tr>
      <w:tr>
        <w:trPr>
          <w:trHeight w:val="271"/>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lease incentives receivable</w:t>
            </w:r>
          </w:p>
        </w:tc>
        <w:tc>
          <w:tcPr>
            <w:tcW w:w="7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(15,422)</w:t>
            </w:r>
          </w:p>
        </w:tc>
      </w:tr>
      <w:tr>
        <w:trPr>
          <w:trHeight w:val="242"/>
        </w:trPr>
        <w:tc>
          <w:tcPr>
            <w:tcW w:w="9360" w:type="dxa"/>
            <w:vAlign w:val="bottom"/>
          </w:tcPr>
          <w:p>
            <w:pPr>
              <w:ind w:left="380"/>
              <w:spacing w:after="0"/>
              <w:rPr>
                <w:sz w:val="20"/>
                <w:szCs w:val="20"/>
                <w:color w:val="auto"/>
              </w:rPr>
            </w:pPr>
            <w:r>
              <w:rPr>
                <w:rFonts w:ascii="Arial" w:cs="Arial" w:eastAsia="Arial" w:hAnsi="Arial"/>
                <w:sz w:val="16"/>
                <w:szCs w:val="16"/>
                <w:color w:val="auto"/>
              </w:rPr>
              <w:t>Present value of lease liabilities</w:t>
            </w: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80,513</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Company has an operating lease for an office space that has not yet commenced and as such, have not yet been recognized on the Company's condensed consolidated balance sheet as of September 30, 2019. The contractual obligation for this lease is $2.2 million.</w:t>
      </w:r>
    </w:p>
    <w:p>
      <w:pPr>
        <w:spacing w:after="0" w:line="14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Company's lease agreement (the "Agreement") with CAP Phase I, a Delaware limited liability company (the "Landlord") for the Coleman property is not included in the right-of-use assets and operating lease liabilities as of September 30, 2019. On April 30, 2019, the Company entered into an assignment and assumption of the Company's previously executed lease agreement with the Landlord, and Roku Inc., a Delaware corporation ("Roku"), whereby the Company assigned to Roku this lease that had been executed between the Company and the Landlord on January 23, 2018. Pursuant to the Agreement, the Company expects to be released from all of its obligations under the lease and related standby letter of credit by the end of the Company’s fiscal year ending March 31, 2022 or shortly thereafter.</w:t>
      </w:r>
    </w:p>
    <w:p>
      <w:pPr>
        <w:sectPr>
          <w:pgSz w:w="11900" w:h="16838" w:orient="portrait"/>
          <w:cols w:equalWidth="0" w:num="1">
            <w:col w:w="11420"/>
          </w:cols>
          <w:pgMar w:left="240" w:top="116"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16"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On July 3, 2019, the Company entered into a lease for a new company headquarters to rent 177,815 square feet of office space as the sole tenant in a new five-story office building located in Campbell, California.</w:t>
      </w:r>
    </w:p>
    <w:p>
      <w:pPr>
        <w:spacing w:after="0" w:line="1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lease is for a 132-month term, anticipated to begin on January 1, 2020. The Company has the option to extend the lease for two additional five-year terms, on substantially the same terms and conditions as the prior term, with the base rent rate adjusted to fair market value at that time. The Company recognized an operating lease right-of-use asset and operating lease liability during second quarter of fiscal 2020, when the Company was given full access to the leased property.</w:t>
      </w:r>
    </w:p>
    <w:p>
      <w:pPr>
        <w:spacing w:after="0" w:line="17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Base rent is approximately $0.7 million per month for the first 12 months of the lease, with the rate increasing by approximately 3% on each anniversary of the lease. The Company is responsible for paying its share of building and common area expenses. The Company is entitled to full rent abatement during the first 12 months of the lease term. The Company is also entitled to a tenant improvement allowance of approximately $15.4 million. The Company paid to the landlord a security deposit in the amount of $2.0 million, which may be drawn down in the event the Company defaults under the lease. This new lease increased our operating lease right-of-use assets by $56.8 million and our operating lease liabilities by $56.1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Indemnifications and Contingencies</w:t>
      </w:r>
    </w:p>
    <w:p>
      <w:pPr>
        <w:spacing w:after="0" w:line="22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From time to time the Company receives inquiries from various state and municipal taxing agencies with respect to the remittance of sales, use, telecommunications, excise, and income taxes. Several jurisdictions currently are conducting tax audits of the Company's records. The Company collects from its customers or has accrued for taxes that it believes are required to be remitted. The amounts that have been remitted have historically been within the accruals established by the Company. The Company adjusts its accrued taxes when facts relating to specific exposures warrant such adjustment.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 The Company accrues a liability when management believes information available prior to the issuance of the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17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of September 30, 2019, the Company has not recorded any provisions for any such lawsuits, claims and proceedings and believes it is not probable that a loss had been incurred. Litigation is inherently unpredictable and subject to significant uncertainties. While there can be no assurances that favorable final outcomes will be obtained, the Company believes it has valid defenses with respect to legal matters pending against it. Future litigation could be costly to defend, could impose significant burdens on employees and cause the diversion of management's attention, and could upon resolution have a material adverse effect on the Company's business, results of operations, financial condition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AND CAPPED CALL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February 2019, the Company issued $287.5 million aggregate principal amount of 0.50% convertible senior notes (the "Notes") due 2024 in a private placement, including the exercise in full of the initial purchasers' option to purchase additional notes. The Notes are senior unsecured obligations of the Company and interest is payable semiannually in arrears on February 1 and August 1 of each year, beginning on August 1, 2019. The Notes will mature on February 1, 2024, unless earlier repurchased, redeemed, or converted. The total net proceeds from the debt offering, after deducting initial purchase discounts, debt issuance costs, and costs of the capped call transactions described below, were approximately $245.8 million.</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6"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Indenture, the Company will, in certain circumstances, increase the conversion rate for a holder that elects to convert its Notes in connection with such a corporate event or during the relevant redemption period.</w:t>
      </w:r>
    </w:p>
    <w:p>
      <w:pPr>
        <w:spacing w:after="0" w:line="14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Notes will be convertible at certain times and upon the occurrence of certain events in the future. Further, on or after October 1, 2023, until the close of business on the second scheduled trading day immediately preceding the maturity date, holders may convert all or any portion of their Notes, regardless of the foregoing circumstances.</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September 30, 2019, the conditions allowing holders of the Notes to convert were not met.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178"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Pr>
          <w:p>
            <w:pPr>
              <w:spacing w:after="0"/>
              <w:rPr>
                <w:sz w:val="20"/>
                <w:szCs w:val="20"/>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2019</w:t>
            </w:r>
          </w:p>
        </w:tc>
      </w:tr>
      <w:tr>
        <w:trPr>
          <w:trHeight w:val="254"/>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287,500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287,500</w:t>
            </w:r>
          </w:p>
        </w:tc>
      </w:tr>
      <w:tr>
        <w:trPr>
          <w:trHeight w:val="262"/>
        </w:trPr>
        <w:tc>
          <w:tcPr>
            <w:tcW w:w="7320" w:type="dxa"/>
            <w:vAlign w:val="bottom"/>
          </w:tcPr>
          <w:p>
            <w:pPr>
              <w:ind w:left="40"/>
              <w:spacing w:after="0"/>
              <w:rPr>
                <w:sz w:val="20"/>
                <w:szCs w:val="20"/>
                <w:color w:val="auto"/>
              </w:rPr>
            </w:pPr>
            <w:r>
              <w:rPr>
                <w:rFonts w:ascii="Arial" w:cs="Arial" w:eastAsia="Arial" w:hAnsi="Arial"/>
                <w:sz w:val="16"/>
                <w:szCs w:val="16"/>
                <w:color w:val="auto"/>
              </w:rPr>
              <w:t>Unamortized debt discount</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(64,532)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(70,876)</w:t>
            </w:r>
          </w:p>
        </w:tc>
      </w:tr>
      <w:tr>
        <w:trPr>
          <w:trHeight w:val="271"/>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issuance costs</w:t>
            </w:r>
          </w:p>
        </w:tc>
        <w:tc>
          <w:tcPr>
            <w:tcW w:w="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41"/>
        </w:trPr>
        <w:tc>
          <w:tcPr>
            <w:tcW w:w="7320" w:type="dxa"/>
            <w:vAlign w:val="bottom"/>
          </w:tcPr>
          <w:p>
            <w:pPr>
              <w:ind w:left="280"/>
              <w:spacing w:after="0"/>
              <w:rPr>
                <w:sz w:val="20"/>
                <w:szCs w:val="20"/>
                <w:color w:val="auto"/>
              </w:rPr>
            </w:pPr>
            <w:r>
              <w:rPr>
                <w:rFonts w:ascii="Arial" w:cs="Arial" w:eastAsia="Arial" w:hAnsi="Arial"/>
                <w:sz w:val="16"/>
                <w:szCs w:val="16"/>
                <w:color w:val="auto"/>
              </w:rPr>
              <w:t>Net carrying amount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222,432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216,035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1270</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 related to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-125095</wp:posOffset>
            </wp:positionV>
            <wp:extent cx="2598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20" w:type="dxa"/>
            <w:vAlign w:val="bottom"/>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32"/>
        </w:trPr>
        <w:tc>
          <w:tcPr>
            <w:tcW w:w="470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 2019</w:t>
            </w:r>
          </w:p>
        </w:tc>
        <w:tc>
          <w:tcPr>
            <w:tcW w:w="7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September 30, 2019</w:t>
            </w:r>
          </w:p>
        </w:tc>
      </w:tr>
      <w:tr>
        <w:trPr>
          <w:trHeight w:val="26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620" w:type="dxa"/>
            <w:vAlign w:val="bottom"/>
            <w:shd w:val="clear" w:color="auto" w:fill="CCEEFF"/>
          </w:tcPr>
          <w:p>
            <w:pPr>
              <w:jc w:val="right"/>
              <w:ind w:right="24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6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3,198</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6,344</w:t>
            </w: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issuance costs</w:t>
            </w:r>
          </w:p>
        </w:tc>
        <w:tc>
          <w:tcPr>
            <w:tcW w:w="26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6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9"/>
        </w:trPr>
        <w:tc>
          <w:tcPr>
            <w:tcW w:w="4700" w:type="dxa"/>
            <w:vAlign w:val="bottom"/>
          </w:tcPr>
          <w:p>
            <w:pPr>
              <w:ind w:left="280"/>
              <w:spacing w:after="0"/>
              <w:rPr>
                <w:sz w:val="20"/>
                <w:szCs w:val="20"/>
                <w:color w:val="auto"/>
              </w:rPr>
            </w:pPr>
            <w:r>
              <w:rPr>
                <w:rFonts w:ascii="Arial" w:cs="Arial" w:eastAsia="Arial" w:hAnsi="Arial"/>
                <w:sz w:val="16"/>
                <w:szCs w:val="16"/>
                <w:color w:val="auto"/>
              </w:rPr>
              <w:t>Total interest expense</w:t>
            </w:r>
          </w:p>
        </w:tc>
        <w:tc>
          <w:tcPr>
            <w:tcW w:w="2620" w:type="dxa"/>
            <w:vAlign w:val="bottom"/>
            <w:tcBorders>
              <w:bottom w:val="single" w:sz="8" w:color="auto"/>
            </w:tcBorders>
          </w:tcPr>
          <w:p>
            <w:pPr>
              <w:jc w:val="right"/>
              <w:ind w:right="2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3,585</w:t>
            </w:r>
          </w:p>
        </w:tc>
        <w:tc>
          <w:tcPr>
            <w:tcW w:w="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2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7,116</w:t>
            </w:r>
          </w:p>
        </w:tc>
      </w:tr>
      <w:tr>
        <w:trPr>
          <w:trHeight w:val="20"/>
        </w:trPr>
        <w:tc>
          <w:tcPr>
            <w:tcW w:w="47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with the pricing of the Notes, the Company entered into privately negotiated capped call transactions ("Capped Calls") with certain counterparties. The Capped Calls each have an initial strike price of approximately $ 25.68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11.2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w:t>
      </w:r>
    </w:p>
    <w:p>
      <w:pPr>
        <w:sectPr>
          <w:pgSz w:w="11900" w:h="16838" w:orient="portrait"/>
          <w:cols w:equalWidth="0" w:num="1">
            <w:col w:w="11420"/>
          </w:cols>
          <w:pgMar w:left="240" w:top="116" w:right="2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16"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For accounting purposes, the Capped Calls are separate transactions, and not part of the terms of the Notes. As these transactions meet certain accounting criteria, the Capped Calls are recorded in stockholders' equity and are not accounted for as derivatives. The cost of $33.7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7"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The following tables summarize information pertaining to the stock-based compensation expense from stock options and stock awards (in thousands, except weighted-average grant-date fair value and recognition period):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tcPr>
          <w:p>
            <w:pPr>
              <w:spacing w:after="0"/>
              <w:rPr>
                <w:sz w:val="21"/>
                <w:szCs w:val="21"/>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September 30,</w:t>
            </w:r>
          </w:p>
        </w:tc>
      </w:tr>
      <w:tr>
        <w:trPr>
          <w:trHeight w:val="264"/>
        </w:trPr>
        <w:tc>
          <w:tcPr>
            <w:tcW w:w="33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2018</w:t>
            </w: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1,939</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2,405</w:t>
            </w:r>
          </w:p>
        </w:tc>
      </w:tr>
      <w:tr>
        <w:trPr>
          <w:trHeight w:val="262"/>
        </w:trPr>
        <w:tc>
          <w:tcPr>
            <w:tcW w:w="3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26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4,217</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8,081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5,017</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4,604</w:t>
            </w:r>
          </w:p>
        </w:tc>
      </w:tr>
      <w:tr>
        <w:trPr>
          <w:trHeight w:val="228"/>
        </w:trPr>
        <w:tc>
          <w:tcPr>
            <w:tcW w:w="33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2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5,895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3,721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9,976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7,014</w:t>
            </w:r>
          </w:p>
        </w:tc>
      </w:tr>
      <w:tr>
        <w:trPr>
          <w:trHeight w:val="36"/>
        </w:trPr>
        <w:tc>
          <w:tcPr>
            <w:tcW w:w="33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2"/>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17,391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10,129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19,040</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September 30,</w:t>
            </w:r>
          </w:p>
        </w:tc>
      </w:tr>
      <w:tr>
        <w:trPr>
          <w:trHeight w:val="264"/>
        </w:trPr>
        <w:tc>
          <w:tcPr>
            <w:tcW w:w="8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at the beginning of the period:</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2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Options canceled and forfeited</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the end of the period:</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3,522</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fair value of grants during the period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8.47</w:t>
            </w: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intrinsic value of options exercised during the period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8,525</w:t>
            </w: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remaining recognition period at period-end (in years)</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91"/>
        </w:trPr>
        <w:tc>
          <w:tcPr>
            <w:tcW w:w="8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Stock awards outstanding at the beginning of the period:</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7,820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5,939</w:t>
            </w: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awards granted</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2,112</w:t>
            </w: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Stock awards vested</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(1,720)</w:t>
            </w:r>
          </w:p>
        </w:tc>
      </w:tr>
      <w:tr>
        <w:trPr>
          <w:trHeight w:val="276"/>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awards canceled and forfeited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82"/>
        </w:trPr>
        <w:tc>
          <w:tcPr>
            <w:tcW w:w="8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Stock awards outstanding at the end of the period:</w:t>
            </w:r>
          </w:p>
        </w:tc>
        <w:tc>
          <w:tcPr>
            <w:tcW w:w="2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10,335</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5,898</w:t>
            </w:r>
          </w:p>
        </w:tc>
      </w:tr>
      <w:tr>
        <w:trPr>
          <w:trHeight w:val="225"/>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fair value of grants during the period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22.01</w:t>
            </w: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remaining recognition period at period-end (in years)</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2.44</w:t>
            </w: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unrecognized compensation expense at period-end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129,136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79,121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May 2017, the Company's board of directors authorized the Company to purchase up to $25.0 million of its common stock from time to time (the "2017 Repurchase Plan"). The 2017 Repurchase Plan expires when the maximum purchase amount is reached, or upon the earlier revocation or termination by the board of directors. The remaining amount available under the 2017 Repurchase Plan at September 30, 2019 was approximately $7.1 million. There were no stock repurchases under the 2017 Repurchase Plan during the three and six months ended September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Company's effective tax rate was -0.6% for the three months ended September 30, 2019 and 2018, and -0.5% and -0.6% for the six months ended September 30, 2019 and 2018, respectively. The difference in the effective tax rate and the U.S. federal statutory rate was primarily due to the full valuation allowance the Company continues to maintain against its deferred tax assets. The effective tax rate is calculated by dividing the income tax provision by net loss before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ectPr>
          <w:pgSz w:w="11900" w:h="16838" w:orient="portrait"/>
          <w:cols w:equalWidth="0" w:num="1">
            <w:col w:w="11420"/>
          </w:cols>
          <w:pgMar w:left="240" w:top="116" w:right="2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16"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21"/>
                <w:szCs w:val="21"/>
                <w:color w:val="auto"/>
              </w:rPr>
            </w:pPr>
          </w:p>
        </w:tc>
        <w:tc>
          <w:tcPr>
            <w:tcW w:w="32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4240" w:type="dxa"/>
            <w:vAlign w:val="bottom"/>
          </w:tcPr>
          <w:p>
            <w:pPr>
              <w:ind w:left="40"/>
              <w:spacing w:after="0"/>
              <w:rPr>
                <w:sz w:val="20"/>
                <w:szCs w:val="20"/>
                <w:color w:val="auto"/>
              </w:rPr>
            </w:pPr>
            <w:r>
              <w:rPr>
                <w:rFonts w:ascii="Arial" w:cs="Arial" w:eastAsia="Arial" w:hAnsi="Arial"/>
                <w:sz w:val="16"/>
                <w:szCs w:val="16"/>
                <w:color w:val="auto"/>
              </w:rPr>
              <w:t>Net loss available to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(40,932)</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(21,482)</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(75,197)</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(36,837)</w:t>
            </w:r>
          </w:p>
        </w:tc>
      </w:tr>
      <w:tr>
        <w:trPr>
          <w:trHeight w:val="69"/>
        </w:trPr>
        <w:tc>
          <w:tcPr>
            <w:tcW w:w="42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8"/>
        </w:trPr>
        <w:tc>
          <w:tcPr>
            <w:tcW w:w="4240" w:type="dxa"/>
            <w:vAlign w:val="bottom"/>
          </w:tcPr>
          <w:p>
            <w:pPr>
              <w:ind w:left="40"/>
              <w:spacing w:after="0"/>
              <w:rPr>
                <w:sz w:val="20"/>
                <w:szCs w:val="20"/>
                <w:color w:val="auto"/>
              </w:rPr>
            </w:pPr>
            <w:r>
              <w:rPr>
                <w:rFonts w:ascii="Arial" w:cs="Arial" w:eastAsia="Arial" w:hAnsi="Arial"/>
                <w:sz w:val="16"/>
                <w:szCs w:val="16"/>
                <w:color w:val="auto"/>
              </w:rPr>
              <w:t>Common shares - basic and diluted</w:t>
            </w:r>
          </w:p>
        </w:tc>
        <w:tc>
          <w:tcPr>
            <w:tcW w:w="28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98,353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97,356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93,449</w:t>
            </w:r>
          </w:p>
        </w:tc>
      </w:tr>
      <w:tr>
        <w:trPr>
          <w:trHeight w:val="69"/>
        </w:trPr>
        <w:tc>
          <w:tcPr>
            <w:tcW w:w="42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5"/>
        </w:trPr>
        <w:tc>
          <w:tcPr>
            <w:tcW w:w="42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(0.39)</w:t>
            </w:r>
          </w:p>
        </w:tc>
      </w:tr>
    </w:tbl>
    <w:p>
      <w:pPr>
        <w:spacing w:after="0" w:line="344"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Pr>
          <w:p>
            <w:pPr>
              <w:spacing w:after="0"/>
              <w:rPr>
                <w:sz w:val="21"/>
                <w:szCs w:val="21"/>
                <w:color w:val="auto"/>
              </w:rPr>
            </w:pPr>
          </w:p>
        </w:tc>
        <w:tc>
          <w:tcPr>
            <w:tcW w:w="300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Six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3,496</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r>
      <w:tr>
        <w:trPr>
          <w:trHeight w:val="228"/>
        </w:trPr>
        <w:tc>
          <w:tcPr>
            <w:tcW w:w="5620" w:type="dxa"/>
            <w:vAlign w:val="bottom"/>
          </w:tcPr>
          <w:p>
            <w:pPr>
              <w:ind w:left="40"/>
              <w:spacing w:after="0"/>
              <w:rPr>
                <w:sz w:val="20"/>
                <w:szCs w:val="20"/>
                <w:color w:val="auto"/>
              </w:rPr>
            </w:pPr>
            <w:r>
              <w:rPr>
                <w:rFonts w:ascii="Arial" w:cs="Arial" w:eastAsia="Arial" w:hAnsi="Arial"/>
                <w:sz w:val="16"/>
                <w:szCs w:val="16"/>
                <w:color w:val="auto"/>
              </w:rPr>
              <w:t>Stock awards</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10,334</w:t>
            </w:r>
          </w:p>
        </w:tc>
        <w:tc>
          <w:tcPr>
            <w:tcW w:w="1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5,854</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10,334</w:t>
            </w:r>
          </w:p>
        </w:tc>
        <w:tc>
          <w:tcPr>
            <w:tcW w:w="1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5,854</w:t>
            </w:r>
          </w:p>
        </w:tc>
      </w:tr>
      <w:tr>
        <w:trPr>
          <w:trHeight w:val="43"/>
        </w:trPr>
        <w:tc>
          <w:tcPr>
            <w:tcW w:w="5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Contingently issuable shares (hold-back shares)</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5620" w:type="dxa"/>
            <w:vAlign w:val="bottom"/>
          </w:tcPr>
          <w:p>
            <w:pPr>
              <w:ind w:left="40"/>
              <w:spacing w:after="0"/>
              <w:rPr>
                <w:sz w:val="20"/>
                <w:szCs w:val="20"/>
                <w:color w:val="auto"/>
              </w:rPr>
            </w:pPr>
            <w:r>
              <w:rPr>
                <w:rFonts w:ascii="Arial" w:cs="Arial" w:eastAsia="Arial" w:hAnsi="Arial"/>
                <w:sz w:val="16"/>
                <w:szCs w:val="16"/>
                <w:color w:val="auto"/>
              </w:rPr>
              <w:t>Potential shares to be issued from ESPP</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360</w:t>
            </w:r>
          </w:p>
        </w:tc>
      </w:tr>
      <w:tr>
        <w:trPr>
          <w:trHeight w:val="36"/>
        </w:trPr>
        <w:tc>
          <w:tcPr>
            <w:tcW w:w="56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anti-dilutive shares</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13,859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9,710</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13,859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9,710</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geographic information for each period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Pr>
          <w:p>
            <w:pPr>
              <w:spacing w:after="0"/>
              <w:rPr>
                <w:sz w:val="21"/>
                <w:szCs w:val="21"/>
                <w:color w:val="auto"/>
              </w:rPr>
            </w:pPr>
          </w:p>
        </w:tc>
        <w:tc>
          <w:tcPr>
            <w:tcW w:w="378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September 30,</w:t>
            </w:r>
          </w:p>
        </w:tc>
      </w:tr>
      <w:tr>
        <w:trPr>
          <w:trHeight w:val="264"/>
        </w:trPr>
        <w:tc>
          <w:tcPr>
            <w:tcW w:w="37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66"/>
        </w:trPr>
        <w:tc>
          <w:tcPr>
            <w:tcW w:w="50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 by geographic area:</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4"/>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85,428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74,361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168,676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146,083</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24,089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22,824</w:t>
            </w:r>
          </w:p>
        </w:tc>
      </w:tr>
      <w:tr>
        <w:trPr>
          <w:trHeight w:val="237"/>
        </w:trPr>
        <w:tc>
          <w:tcPr>
            <w:tcW w:w="5080" w:type="dxa"/>
            <w:vAlign w:val="bottom"/>
            <w:gridSpan w:val="2"/>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109,517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206,192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168,907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2019</w:t>
            </w:r>
          </w:p>
        </w:tc>
        <w:tc>
          <w:tcPr>
            <w:tcW w:w="340" w:type="dxa"/>
            <w:vAlign w:val="bottom"/>
          </w:tcPr>
          <w:p>
            <w:pPr>
              <w:spacing w:after="0"/>
              <w:rPr>
                <w:sz w:val="21"/>
                <w:szCs w:val="21"/>
                <w:color w:val="auto"/>
              </w:rPr>
            </w:pPr>
          </w:p>
        </w:tc>
        <w:tc>
          <w:tcPr>
            <w:tcW w:w="194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and equipment by geographic area:</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Americas (principally US)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58,574</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45,639</w:t>
            </w:r>
          </w:p>
        </w:tc>
      </w:tr>
      <w:tr>
        <w:trPr>
          <w:trHeight w:val="27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(principally UK)</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7,196</w:t>
            </w:r>
          </w:p>
        </w:tc>
      </w:tr>
      <w:tr>
        <w:trPr>
          <w:trHeight w:val="237"/>
        </w:trPr>
        <w:tc>
          <w:tcPr>
            <w:tcW w:w="674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64,776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52,835</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We are a leading Software-as-a-Service provider of voice, video, chat, contact center, and enterprise-class API solutions powered by one global cloud communications platform. From our proprietary cloud technology platform, customers have access to unified communications, team collaboration, video conferencing, contact center, data and analytics, communication APIs, and other services.</w:t>
      </w:r>
    </w:p>
    <w:p>
      <w:pPr>
        <w:sectPr>
          <w:pgSz w:w="11900" w:h="16838" w:orient="portrait"/>
          <w:cols w:equalWidth="0" w:num="1">
            <w:col w:w="11420"/>
          </w:cols>
          <w:pgMar w:left="240" w:top="115"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1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As of September 30, 2019, our customers range from small businesses to large enterprises and their users are spread across more than 150 countries. In recent years, we have increased our focus on the mid-market and enterprise customer sectors.</w:t>
      </w:r>
    </w:p>
    <w:p>
      <w:pPr>
        <w:spacing w:after="0" w:line="145"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We generate service revenue from software service subscriptions, platform usage revenue, and professional services revenue. We generate product revenues from the sale of office phones and other hardware equipment. We define a “customer” as one or more legal entities</w:t>
      </w:r>
    </w:p>
    <w:p>
      <w:pPr>
        <w:spacing w:after="0" w:line="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flagship service is our 8x8 X Series, a next generation suite of unified communications as a service ("UCaaS") and contact center as a service ("CCaaS") solutions, which consist of service plans designated X1, X2, etc., through X8. With 8x8 X Series, we provide both UCaaS and CCaaS functionalities from a single platform, with a single interface, in the high-end set of our service plans (X5 through X8). We also offer more basic, cost-efficient UCaaS in X1 through X4 and a stand-alone CCaaS offering called 8x8 Contact Center. During the second quarter of fiscal 2020, we launched a new automated, self-service, e-commerce offering called 8x8 Express. We also sell platform communication APIs ("CPaaS") as part of our existing and new cloud communication solutions. In July 2019, we acquired Wavecell Pte. Ltd., a company selling CPaaS in Asia. Prior to the launch of 8x8 X Series in 2018, our customers subscribed to Virtual Office and Virtual Contact Center solutions. We have now begun migrating these customers from these legacy solutions to our 8x8 X Series, and we intend to accelerate the pace of migrations during the remainder of fiscal 2020 and into fiscal 2021. These migrations may require us to incur professional services costs that we may not be able to recover from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Our second quarter results illustrate the fundamental strength in our cloud communications service revenue, which for the quarter was $104.5 million, including revenue from our CPaaS offerings, and reflects growth of 28.5% year-over-year. We continued to show an increase in our average monthly service revenue per customer ("ARPC"), as we are selling more to mid-market and enterprise customers.</w:t>
      </w:r>
    </w:p>
    <w:p>
      <w:pPr>
        <w:spacing w:after="0" w:line="1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Since the beginning of fiscal 2018, we have de-emphasized profitability as a short-term corporate goal and have focused instead on making investments necessary to accelerate revenue growth. This decision was based, in part, on our belief that the communications market is at an inflection point in the shift of businesses from legacy on-premise solutions to cloud services. We believe that this industry trend will continue in fiscal 2020 and beyond. Accordingly, we believe that it is in the Company's interest to continue to invest in our business -- in particular, to further build our technology platform, add new service offerings, grow our international presence and operations, and expand our sales and marketing activities, particularly in the channel--in order to allow us to scale efficiently and capture market share during this phase of industry disruption.</w:t>
      </w:r>
    </w:p>
    <w:p>
      <w:pPr>
        <w:spacing w:after="0" w:line="17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plan to continue making significant investments in activities to acquire more customers. We plan to continue investing in our direct marketing efforts, sales force, e-commerce, and outbound marketing efforts. We also intend to continue investing in our indirect channel to acquire more third-party selling agents to help sell our solutions, including investments in value added resellers ("VARs") and master agents. Should these upfront investments not result in additional revenue from new or existing customers, our operating results may be adversely impacted.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Service revenue consists of software service subscriptions, platform usage revenue, and professional services revenue from our UCaaS, CCaaS and CPaaS offerings.</w:t>
      </w:r>
    </w:p>
    <w:p>
      <w:pPr>
        <w:spacing w:after="0" w:line="14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 plan to continue to drive our business to increase service revenue through a combination of increased sales and marketing efforts, geographic expansion of our customer base outside the United States, and through strategic acquisitions of technologies and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Product revenue consists primarily of revenues from hardware sales of IP telephones in conjunction with our cloud telephony service. Product revenue is dependent on the number of customers who choose to purchase an IP telephone in conjunction with our service instead of using the solution on their cell phone, computer or other compatible devices.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1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Cost of service revenue consists primarily of costs associated with network operations and related personnel, technology licenses, amortization of internally developed software, and other costs such as customer service, which includes deployment and technical support costs. Cost of service revenue also includes other communication origination and termination services provided by third-party carriers and outsourced customer service call center operations. We expect that cost of service revenue will increase in absolute dollars in future periods and vary from period-to-period as a percentage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Cost of product revenue consists primarily of IP telephones, estimated warranty obligations and direct and indirect costs associated with product purchasing, scheduling, shipping and handling.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Research and development expenses consist primarily of personnel and related costs, consulting, third-party development work and equipment costs necessary for us to conduct our development and engineering efforts.</w:t>
      </w:r>
    </w:p>
    <w:p>
      <w:pPr>
        <w:spacing w:after="0" w:line="145"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plan to continue to hire employees to support our research and development efforts to expand the capabilities and scope of our platform and enhance the user experience. We expect that research and development expenses will increase in absolute dollars in future periods and vary from period-to-period as a percentage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and marketing expenses consist primarily of personnel and related costs, sales commissions, trade shows, advertising and other marketing, demand generation, channel, and promotional expenses. We plan to continue to invest in sales and marketing to attract and retain customers on our platform and increase our brand awareness. We expect that sales and marketing expenses will increase in absolute dollars in future periods and vary from period-to-period as a percentage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General and administrative expenses consist primarily of personnel and related costs for finance, human resources, legal and general management, as well as professional fees. We expect that our general and administrative expenses will increase in absolute dollars in future periods as we grow our business and vary from period-to-period as a percentage of revenue.</w:t>
      </w:r>
    </w:p>
    <w:p>
      <w:pPr>
        <w:spacing w:after="0" w:line="163"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General and administrative expenses also include costs for facilities and IT. Our facilities costs primarily include lease and related expenses and IT costs include costs for IT infrastructure and compensation of IT personnel. Facilities and IT costs are allocated to other cost centers based on headcount.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Other (expense) income, net, consists primarily of interest expense related to the convertible notes, offset by income earned on our cash, cash equivalents and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Provision for income taxes consists primarily of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or NOLs.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1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Service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104,529</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81,346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23,183</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62"/>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95.4%</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94.9%</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196,901</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159,467</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37,434</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55"/>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95.5%</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94.4%</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Service revenue increased for the three and six months ended September 30, 2019 compared with the same periods of the previous fiscal year primarily due to an increase in our business customer subscriber base (net of customer churn), an increase in the average service revenue from each customer on a monthly basis and, to a lesser extent, revenue associated with our newly acquired CPaaS product as compared to the same prior year period.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Product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38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Change</w:t>
            </w: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2"/>
        </w:trPr>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0" w:type="dxa"/>
            <w:vAlign w:val="bottom"/>
            <w:gridSpan w:val="4"/>
          </w:tcPr>
          <w:p>
            <w:pPr>
              <w:ind w:left="1380"/>
              <w:spacing w:after="0"/>
              <w:rPr>
                <w:sz w:val="20"/>
                <w:szCs w:val="20"/>
                <w:color w:val="auto"/>
              </w:rPr>
            </w:pPr>
            <w:r>
              <w:rPr>
                <w:rFonts w:ascii="Arial" w:cs="Arial" w:eastAsia="Arial" w:hAnsi="Arial"/>
                <w:sz w:val="16"/>
                <w:szCs w:val="16"/>
                <w:color w:val="auto"/>
              </w:rPr>
              <w:t>(dollar amounts in thousands)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8"/>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4,988</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62"/>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w:t>
            </w:r>
          </w:p>
        </w:tc>
        <w:tc>
          <w:tcPr>
            <w:tcW w:w="7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8"/>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9,291</w:t>
            </w: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5"/>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w:t>
            </w:r>
          </w:p>
        </w:tc>
        <w:tc>
          <w:tcPr>
            <w:tcW w:w="7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Product revenue increased during the three months ended September 30, 2019 compared with the same period in the prior fiscal year primarily due to increased equipment unit sales to customers combined with product discounts and promotions during the three months ended September 30, 2019.</w:t>
      </w:r>
    </w:p>
    <w:p>
      <w:pPr>
        <w:spacing w:after="0" w:line="163"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Product revenue remained relatively flat during the six months ended September 30, 2019 compared with the same period in the prior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greater than 10% of the Company's total revenue for the three and six months ended September 30, 2019 or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 of service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43,195</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26,202</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16,993</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62"/>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service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41.3%</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32.2%</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75,162</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50,751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24,411</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55"/>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service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38.2%</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31.8%</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 revenue for the three months ended September 30, 2019 increased over the same prior year period and faster than revenue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growth due to increases related to our newly acquired CPaaS products combined with increased overhead allocation expense, as well as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million increase in personnel and related costs, a $2.4 million increase in amortization of intangibles and capitalized software expenses,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million increase in consulting and outside services and a $0.6 million increase in stock-based compensation costs, as well as other smaller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increases.</w:t>
      </w:r>
    </w:p>
    <w:p>
      <w:pPr>
        <w:spacing w:after="0" w:line="20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Cost of service revenue for the six months ended September 30, 2019 increased over the same prior year period and faster than revenue growth due to increases related to our newly acquired CPaaS products combined with increased overhead allocation expense, a $4.8 million increase in personnel and related costs, a $4.1 million increase in amortization of intangibles and capitalized software expenses, and a $1.9 million increase in consulting and outside services and a $1.0 million increase in stock-based compensation costs, as well as other smaller increases.</w:t>
      </w:r>
    </w:p>
    <w:p>
      <w:pPr>
        <w:sectPr>
          <w:pgSz w:w="11900" w:h="16838" w:orient="portrait"/>
          <w:cols w:equalWidth="0" w:num="1">
            <w:col w:w="11420"/>
          </w:cols>
          <w:pgMar w:left="240" w:top="115" w:right="2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1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 of product revenue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6,502</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5,397</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62"/>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product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130.4%</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124.5%</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12,226</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11,678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5"/>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product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131.6%</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123.7%</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Cost of product revenue for the three and six months ended September 30, 2019 increased over the same prior year periods primarily due to the increase in the number of telephones shipped to customers. The increase in negative margin was due to the product discounts and promotions during the three and six months ended September 30,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Research and development</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19,434</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14,064</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62"/>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17.7%</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37,765</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27,114</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10,651</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55"/>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Research and development expenses for the three months ended September 30, 2019 increased over the same prior year period primarily due to a $2.4 million increase in personnel and related costs, a $1.4 million increase in stock-based compensation expense, and a $0.7 million increase in amortization of capitalized software expenses, as well as other smaller cost increases.</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expenses for the six months ended September 30, 2019 increased over the same prior year period primarily due to a $6.4 million increase in personnel and related costs, a $3.1 million increase in stock-based compensation expense, and a $1.2 million increase in amortization of capitalized software expenses, as well as other smaller cost increases. These increases were partially offset by capitalization of internally developed software costs.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Sales and marketing</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57,895</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41,680</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16,215</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62"/>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52.9%</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48.6%</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111,494</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82,175</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29,319</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55"/>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54.1%</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48.7%</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Sales and marketing expenses for the three months ended September 30, 2019 increased over the same prior year period primarily due to a $10.0 million increase in personnel and related costs, a $2.9 million increase in advertising and marketing expenses, a $3.1 million increase in third-party commission expenses, and a $ 3.1 million increase in stock-based compensation costs, as well as other smaller cost increases. These cost increases were partially offset by $4.3 million commission costs that were capitalized.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for the six months ended September 30, 2019 increased over the same prior year period primarily due to a</w:t>
      </w:r>
    </w:p>
    <w:p>
      <w:pPr>
        <w:spacing w:after="0" w:line="3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$11.7 million increase in personnel and related costs, a $9.9 million increase in advertising and marketing expenses, a $5.9 million increase in third-party commission expenses, and a $ 4.7 million increase in stock-based compensation costs, as well as other smaller cost increases. These cost increases were partially offset by $7.2 million commission costs that were capitalized.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General and administrative</w:t>
            </w:r>
          </w:p>
        </w:tc>
        <w:tc>
          <w:tcPr>
            <w:tcW w:w="460" w:type="dxa"/>
            <w:vAlign w:val="bottom"/>
          </w:tcPr>
          <w:p>
            <w:pPr>
              <w:spacing w:after="0"/>
              <w:rPr>
                <w:sz w:val="18"/>
                <w:szCs w:val="18"/>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20,435</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20,326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62"/>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23.7%</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40,042</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35,159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4,883</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55"/>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19.4%</w:t>
            </w:r>
          </w:p>
        </w:tc>
        <w:tc>
          <w:tcPr>
            <w:tcW w:w="7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1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General and administrative expenses for the three months ended September 30, 2019 increased slightly as compared to the same prior year period due to a $3.0 million increase in personnel and related costs, and a $ 2.2 million increase in stock-based compensation costs. These increases were partially offset by a decrease in sales and use tax expenses of $4.5 million that the company recognized in the three months ended September 30, 2018.</w:t>
      </w: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General and administrative expenses for the six months ended September 30, 2019 increased over the same prior year period primarily due to a $6.0 million increase related to personnel and related costs, a $3.0 million increase in stock-based compensation costs, a $1.6 million increase in costs associated with our recent acquisition, a $0.8 million increase in recruiting related expenses, and a $0.7 million increase in lease expenses, as well as other smaller cost increases. These increases were partially offset by a decrease in sales and use tax expenses of $4.5 million that the company recognized in the six months ended September 30, 2018.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08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480" w:type="dxa"/>
            <w:vAlign w:val="bottom"/>
          </w:tcPr>
          <w:p>
            <w:pPr>
              <w:spacing w:after="0"/>
              <w:rPr>
                <w:sz w:val="18"/>
                <w:szCs w:val="18"/>
                <w:color w:val="auto"/>
              </w:rPr>
            </w:pPr>
          </w:p>
        </w:tc>
        <w:tc>
          <w:tcPr>
            <w:tcW w:w="16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13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Change</w:t>
            </w: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8"/>
        </w:trPr>
        <w:tc>
          <w:tcPr>
            <w:tcW w:w="4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(2,732)</w:t>
            </w:r>
          </w:p>
        </w:tc>
        <w:tc>
          <w:tcPr>
            <w:tcW w:w="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635</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w:t>
            </w:r>
          </w:p>
        </w:tc>
      </w:tr>
      <w:tr>
        <w:trPr>
          <w:trHeight w:val="262"/>
        </w:trPr>
        <w:tc>
          <w:tcPr>
            <w:tcW w:w="408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8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7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8"/>
        </w:trPr>
        <w:tc>
          <w:tcPr>
            <w:tcW w:w="4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(4,296)</w:t>
            </w:r>
          </w:p>
        </w:tc>
        <w:tc>
          <w:tcPr>
            <w:tcW w:w="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1,354</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w:t>
            </w:r>
          </w:p>
        </w:tc>
      </w:tr>
      <w:tr>
        <w:trPr>
          <w:trHeight w:val="255"/>
        </w:trPr>
        <w:tc>
          <w:tcPr>
            <w:tcW w:w="408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48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7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Other (expense) income, net changed for the three and six months ended September 30, 2019 over the same prior year periods primarily due to an increase of $3.5 million and $7.1 million, respectively, related to contractual interest expense, amortization of debt discount, and amortization of issuance costs associated with our convertible notes issued in the fourth quarter of fiscal year 2019. These increases were partially offset by an increase in interest income. Refer to Part 1, Note 9 of Notes to Unaudited Condensed Consolidated Financial Statements. We had no such similar costs in the same prior year period.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Dollar</w:t>
            </w:r>
          </w:p>
        </w:tc>
      </w:tr>
      <w:tr>
        <w:trPr>
          <w:trHeight w:val="216"/>
        </w:trPr>
        <w:tc>
          <w:tcPr>
            <w:tcW w:w="5580" w:type="dxa"/>
            <w:vAlign w:val="bottom"/>
            <w:gridSpan w:val="3"/>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500" w:type="dxa"/>
            <w:vAlign w:val="bottom"/>
          </w:tcPr>
          <w:p>
            <w:pPr>
              <w:spacing w:after="0"/>
              <w:rPr>
                <w:sz w:val="18"/>
                <w:szCs w:val="18"/>
                <w:color w:val="auto"/>
              </w:rPr>
            </w:pPr>
          </w:p>
        </w:tc>
        <w:tc>
          <w:tcPr>
            <w:tcW w:w="170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440" w:type="dxa"/>
            <w:vAlign w:val="bottom"/>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9"/>
        </w:trPr>
        <w:tc>
          <w:tcPr>
            <w:tcW w:w="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80" w:type="dxa"/>
            <w:vAlign w:val="bottom"/>
            <w:gridSpan w:val="3"/>
          </w:tcPr>
          <w:p>
            <w:pPr>
              <w:jc w:val="right"/>
              <w:ind w:right="2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8"/>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256</w:t>
            </w:r>
          </w:p>
        </w:tc>
        <w:tc>
          <w:tcPr>
            <w:tcW w:w="7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2"/>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Percentage of loss before provision for income taxes</w:t>
            </w:r>
          </w:p>
        </w:tc>
        <w:tc>
          <w:tcPr>
            <w:tcW w:w="5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-0.6 %</w:t>
            </w:r>
          </w:p>
        </w:tc>
        <w:tc>
          <w:tcPr>
            <w:tcW w:w="7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-0.6 %</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8"/>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404</w:t>
            </w:r>
          </w:p>
        </w:tc>
        <w:tc>
          <w:tcPr>
            <w:tcW w:w="7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55"/>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Percentage of loss before provision for income taxes</w:t>
            </w:r>
          </w:p>
        </w:tc>
        <w:tc>
          <w:tcPr>
            <w:tcW w:w="5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7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the three months ended September 30, 2019 and 2018, we recorded income tax expense of $0.3 million and $0.1 million, respectively. For the six months ended September 30, 2019 and 2018, we recorded income tax expense of $0.4 million and $0.2 million, respectively. These taxes were related to state minimum taxes and income taxes from our foreign operations.</w:t>
      </w:r>
    </w:p>
    <w:p>
      <w:pPr>
        <w:spacing w:after="0" w:line="163"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Our effective tax rate was -0.6% for each of the three months ended September 30, 2019 and 2018, and -0.5% and -0.6% for the six months ended September 30, 2019 and 2018, respectively.</w:t>
      </w:r>
    </w:p>
    <w:p>
      <w:pPr>
        <w:spacing w:after="0" w:line="14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of September 30, 2019, we had $ 212.0 million of cash, cash equivalents and investments. In addition, we had $19.0 million as restricted cash, $8.6 million in support of letter of credits securing leases for office facilities in California and New York, and $10.4 million held in escrow for our recent acquisition of Wavecell, pursuant to the terms of the acquisition agreement. By comparison, at March 31, 2019, we had $346.5 million of cash, cash equivalents and investments as well as a $ 8.1 million in deposit as restricted cash. We believe that our existing cash, cash equivalents, and investment balances, and our anticipated cash flows from operations will be sufficient to meet our working capital and expenditure requirements for the next 12 months.</w:t>
      </w:r>
    </w:p>
    <w:p>
      <w:pPr>
        <w:sectPr>
          <w:pgSz w:w="11900" w:h="16838" w:orient="portrait"/>
          <w:cols w:equalWidth="0" w:num="1">
            <w:col w:w="11420"/>
          </w:cols>
          <w:pgMar w:left="240" w:top="115"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1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Historically, the Company maintained all investments as short-term investments on its balance sheet, as the Company could liquidate these investments at any time and did not limit its liquidation of investments by contractual maturity date. Given the recent issuance of the convertible senior notes, and the associated increased cash, cash equivalents and investment balances, the Company expects to hold certain investments for at least 12 months from the reporting date and records these investments in long-term investments in alignment with the contractual maturity dates.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Period-over-Period Changes</w:t>
      </w:r>
    </w:p>
    <w:p>
      <w:pPr>
        <w:spacing w:after="0" w:line="223"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Net cash used in operating activities for the six months ended September 30, 2019 was $44.5 million, compared with $4.6 million used in operating activities for the six months ended September 30, 2018. Cash used in operating activities has historically been affected by:</w:t>
      </w:r>
    </w:p>
    <w:p>
      <w:pPr>
        <w:spacing w:after="0" w:line="172"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net income or loss;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non-cash expense items such as depreciation and amortization;</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 associated with stock options and stock-based awards;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working capital accounts, particularly in the timing of collections from receivable and payments of obligations.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cash used in investing activities was $59.9 million in the six months ended September 30, 2019, compared with $0.3 million used in investing activities in six months ended September 30, 2018. The cash used in investing activities during the six months ended September 30, 2019 was primarily related to $57.8 million used in the acquisition of Wavecell, a $0.9 million payment released from escrow held for MarianalQ acquisition in the first quarter of fiscal 2019, combined with purchases of $7.1 million of property and equipment investments and capitalized internal software development costs of $14.3 million. These amounts were partially offset by $20.3 million of proceeds from sales and maturities of investments, net of purchases of investments.</w:t>
      </w:r>
    </w:p>
    <w:p>
      <w:pPr>
        <w:spacing w:after="0" w:line="17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Net cash provided by financing activities was $0.5 million in the six months ended September 30, 2019, compared with $2.0 million used by financing activities in the six months ended September 30, 2018. Our financing activities for the six months ended September 30, 2019 provided cash of $6.1 million from the issuance of common stock under employee incentive plans. These inflows were partially offset by $5.4 million of deemed repurchases of our common stock related to shares withheld for payroll taxes combined with $0.2 million in payments for finance lease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107315</wp:posOffset>
            </wp:positionV>
            <wp:extent cx="5059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Payments due by Period</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9"/>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Less than 1 year</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3-5 years</w:t>
            </w: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More than 5 years</w:t>
            </w:r>
          </w:p>
        </w:tc>
      </w:tr>
      <w:tr>
        <w:trPr>
          <w:trHeight w:val="24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convertible notes</w:t>
            </w:r>
          </w:p>
        </w:tc>
        <w:tc>
          <w:tcPr>
            <w:tcW w:w="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287,500</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5"/>
        </w:trPr>
        <w:tc>
          <w:tcPr>
            <w:tcW w:w="3420" w:type="dxa"/>
            <w:vAlign w:val="bottom"/>
          </w:tcPr>
          <w:p>
            <w:pPr>
              <w:ind w:left="40"/>
              <w:spacing w:after="0"/>
              <w:rPr>
                <w:sz w:val="20"/>
                <w:szCs w:val="20"/>
                <w:color w:val="auto"/>
              </w:rPr>
            </w:pPr>
            <w:r>
              <w:rPr>
                <w:rFonts w:ascii="Arial" w:cs="Arial" w:eastAsia="Arial" w:hAnsi="Arial"/>
                <w:sz w:val="16"/>
                <w:szCs w:val="16"/>
                <w:color w:val="auto"/>
              </w:rPr>
              <w:t>Interest on senior convertible notes</w:t>
            </w: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6,469</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1,438</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2,875</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2,156</w:t>
            </w:r>
          </w:p>
        </w:tc>
        <w:tc>
          <w:tcPr>
            <w:tcW w:w="6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4"/>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6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120,703</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8,717</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24,867</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23,239</w:t>
            </w: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63,880</w:t>
            </w:r>
          </w:p>
        </w:tc>
      </w:tr>
      <w:tr>
        <w:trPr>
          <w:trHeight w:val="242"/>
        </w:trPr>
        <w:tc>
          <w:tcPr>
            <w:tcW w:w="342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312,895</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63,880</w:t>
            </w:r>
          </w:p>
        </w:tc>
      </w:tr>
      <w:tr>
        <w:trPr>
          <w:trHeight w:val="20"/>
        </w:trPr>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There have been no significant changes during the three months ended September 30, 2019 to our critical accounting policies and estimates previously disclosed in our Form 10-K for the fiscal year ended March 31, 2019, except for our adoption of ASU 2016-02 as discussed in Notes 2 and 7 of the Notes to the Unaudited Condensed Consolidated Financial Statements.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"Notes to Unaudited Condensed Consolidated Financial Statements - Note 2 - Significant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"Notes to Unaudited Condensed Consolidated Financial Statements - Note 2 - Significant Accounting Pronouncements."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of short durations in a variety of securities, including commercial paper, money market funds, debt securities and certificates of deposit.</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September 30, 2019, we had $222.4 million outstanding on our 0.50% convertible senior notes due 2024. The values of the Notes are exposed to interest rate risk. Generally, the fair market value of our fixed interest rate Notes will increase as interest rates fall and decrease as interest rates rise. In addition, the fair market value of the Notes is affected by our stock price. The fair market value of the Notes will generally increase as our common stock price increases and will generally decrease as our common stock price declines in value. However, we carry the Notes at face value less unamortized discount on our balance sheet, and we present the fair value for required disclosure purposes only.</w:t>
      </w:r>
    </w:p>
    <w:p>
      <w:pPr>
        <w:spacing w:after="0" w:line="175"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We do not believe that a hypothetical 10% change in interest rates would have a material impact on our interest income or expenses, convertible senior notes, or financial statements for any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1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Gains or losses from the translation of certain cash balances, accounts receivable balances and intercompany balances that are denominated in these currencies impact our other comprehensive income. A hypothetical decrease in all foreign currencies against the US dollar of 10%, would not result in a material foreign currency loss on foreign-denominated balances, at September 30, 2019. As our foreign operations expand, our results may be more impacted by fluctuations in the exchange rates of the currencies in which we do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September 30,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w:t>
      </w:r>
    </w:p>
    <w:p>
      <w:pPr>
        <w:sectPr>
          <w:pgSz w:w="11900" w:h="16838" w:orient="portrait"/>
          <w:cols w:equalWidth="0" w:num="1">
            <w:col w:w="11400"/>
          </w:cols>
          <w:pgMar w:left="240" w:top="115" w:right="259" w:bottom="1440" w:gutter="0" w:footer="0" w:header="0"/>
        </w:sect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1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During the second quarter of fiscal year 2020, there were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Note 8, “Legal Proceedings” of Notes to Unaudited Condensed Consolidated Financial Statements under ITEM 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PART I is incorporated by reference in response to this item.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March 31, 2019 and our quarterly report on Form 10-Q for the quarterly period ended June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July 17, 2019, we issued 2,628,761 shares of our common stock in connection with the purchase of all of the issued and outstanding capital stock held by shareholders of Wavecell Pte. Ltd., a corporation incorporated under the laws of the Republic of Singapore. This transaction was exempt from registration under the Securities Act pursuant to Section 4(a)(2) of the Securities Act and Regulation 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9"/>
              </w:rPr>
              <w:t>(c) Total Number of</w:t>
            </w:r>
          </w:p>
        </w:tc>
        <w:tc>
          <w:tcPr>
            <w:tcW w:w="180" w:type="dxa"/>
            <w:vAlign w:val="bottom"/>
          </w:tcPr>
          <w:p>
            <w:pPr>
              <w:spacing w:after="0"/>
              <w:rPr>
                <w:sz w:val="16"/>
                <w:szCs w:val="16"/>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rPr>
              <w:t>(d) Maximum Number (or</w:t>
            </w:r>
          </w:p>
        </w:tc>
      </w:tr>
      <w:tr>
        <w:trPr>
          <w:trHeight w:val="189"/>
        </w:trPr>
        <w:tc>
          <w:tcPr>
            <w:tcW w:w="4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2320" w:type="dxa"/>
            <w:vAlign w:val="bottom"/>
            <w:gridSpan w:val="2"/>
          </w:tcPr>
          <w:p>
            <w:pPr>
              <w:ind w:left="80"/>
              <w:spacing w:after="0"/>
              <w:rPr>
                <w:sz w:val="20"/>
                <w:szCs w:val="20"/>
                <w:color w:val="auto"/>
              </w:rPr>
            </w:pPr>
            <w:r>
              <w:rPr>
                <w:rFonts w:ascii="Arial" w:cs="Arial" w:eastAsia="Arial" w:hAnsi="Arial"/>
                <w:sz w:val="16"/>
                <w:szCs w:val="16"/>
                <w:b w:val="1"/>
                <w:bCs w:val="1"/>
                <w:color w:val="auto"/>
              </w:rPr>
              <w:t>Approximate Dollar Value) of</w:t>
            </w:r>
          </w:p>
        </w:tc>
      </w:tr>
      <w:tr>
        <w:trPr>
          <w:trHeight w:val="189"/>
        </w:trPr>
        <w:tc>
          <w:tcPr>
            <w:tcW w:w="4040" w:type="dxa"/>
            <w:vAlign w:val="bottom"/>
          </w:tcPr>
          <w:p>
            <w:pPr>
              <w:spacing w:after="0"/>
              <w:rPr>
                <w:sz w:val="16"/>
                <w:szCs w:val="16"/>
                <w:color w:val="auto"/>
              </w:rPr>
            </w:pPr>
          </w:p>
        </w:tc>
        <w:tc>
          <w:tcPr>
            <w:tcW w:w="1880" w:type="dxa"/>
            <w:vAlign w:val="bottom"/>
          </w:tcPr>
          <w:p>
            <w:pPr>
              <w:jc w:val="center"/>
              <w:ind w:left="359"/>
              <w:spacing w:after="0"/>
              <w:rPr>
                <w:sz w:val="20"/>
                <w:szCs w:val="20"/>
                <w:color w:val="auto"/>
              </w:rPr>
            </w:pPr>
            <w:r>
              <w:rPr>
                <w:rFonts w:ascii="Arial" w:cs="Arial" w:eastAsia="Arial" w:hAnsi="Arial"/>
                <w:sz w:val="16"/>
                <w:szCs w:val="16"/>
                <w:b w:val="1"/>
                <w:bCs w:val="1"/>
                <w:color w:val="auto"/>
              </w:rPr>
              <w:t>(a) Total Number</w:t>
            </w:r>
          </w:p>
        </w:tc>
        <w:tc>
          <w:tcPr>
            <w:tcW w:w="18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(b) Average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80" w:type="dxa"/>
            <w:vAlign w:val="bottom"/>
          </w:tcPr>
          <w:p>
            <w:pPr>
              <w:spacing w:after="0"/>
              <w:rPr>
                <w:sz w:val="16"/>
                <w:szCs w:val="16"/>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4040" w:type="dxa"/>
            <w:vAlign w:val="bottom"/>
          </w:tcPr>
          <w:p>
            <w:pPr>
              <w:spacing w:after="0"/>
              <w:rPr>
                <w:sz w:val="16"/>
                <w:szCs w:val="16"/>
                <w:color w:val="auto"/>
              </w:rPr>
            </w:pPr>
          </w:p>
        </w:tc>
        <w:tc>
          <w:tcPr>
            <w:tcW w:w="1880" w:type="dxa"/>
            <w:vAlign w:val="bottom"/>
          </w:tcPr>
          <w:p>
            <w:pPr>
              <w:jc w:val="center"/>
              <w:ind w:left="359"/>
              <w:spacing w:after="0"/>
              <w:rPr>
                <w:sz w:val="20"/>
                <w:szCs w:val="20"/>
                <w:color w:val="auto"/>
              </w:rPr>
            </w:pPr>
            <w:r>
              <w:rPr>
                <w:rFonts w:ascii="Arial" w:cs="Arial" w:eastAsia="Arial" w:hAnsi="Arial"/>
                <w:sz w:val="16"/>
                <w:szCs w:val="16"/>
                <w:b w:val="1"/>
                <w:bCs w:val="1"/>
                <w:color w:val="auto"/>
              </w:rPr>
              <w:t>of shares</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Price Paid Per</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Announced Plans or</w:t>
            </w:r>
          </w:p>
        </w:tc>
        <w:tc>
          <w:tcPr>
            <w:tcW w:w="2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 the Plans</w:t>
            </w:r>
          </w:p>
        </w:tc>
      </w:tr>
      <w:tr>
        <w:trPr>
          <w:trHeight w:val="23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8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repurchased (1)</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or Programs</w:t>
            </w:r>
          </w:p>
        </w:tc>
      </w:tr>
      <w:tr>
        <w:trPr>
          <w:trHeight w:val="240"/>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1, 2019 through July 31, 2019</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25.38</w:t>
            </w:r>
          </w:p>
        </w:tc>
        <w:tc>
          <w:tcPr>
            <w:tcW w:w="18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7,065,978</w:t>
            </w:r>
          </w:p>
        </w:tc>
      </w:tr>
      <w:tr>
        <w:trPr>
          <w:trHeight w:val="235"/>
        </w:trPr>
        <w:tc>
          <w:tcPr>
            <w:tcW w:w="4040" w:type="dxa"/>
            <w:vAlign w:val="bottom"/>
          </w:tcPr>
          <w:p>
            <w:pPr>
              <w:ind w:left="40"/>
              <w:spacing w:after="0"/>
              <w:rPr>
                <w:sz w:val="20"/>
                <w:szCs w:val="20"/>
                <w:color w:val="auto"/>
              </w:rPr>
            </w:pPr>
            <w:r>
              <w:rPr>
                <w:rFonts w:ascii="Arial" w:cs="Arial" w:eastAsia="Arial" w:hAnsi="Arial"/>
                <w:sz w:val="16"/>
                <w:szCs w:val="16"/>
                <w:color w:val="auto"/>
              </w:rPr>
              <w:t>August 1, 2019 through August 31, 2019</w:t>
            </w:r>
          </w:p>
        </w:tc>
        <w:tc>
          <w:tcPr>
            <w:tcW w:w="1880" w:type="dxa"/>
            <w:vAlign w:val="bottom"/>
          </w:tcPr>
          <w:p>
            <w:pPr>
              <w:jc w:val="right"/>
              <w:spacing w:after="0"/>
              <w:rPr>
                <w:sz w:val="20"/>
                <w:szCs w:val="20"/>
                <w:color w:val="auto"/>
              </w:rPr>
            </w:pPr>
            <w:r>
              <w:rPr>
                <w:rFonts w:ascii="Arial" w:cs="Arial" w:eastAsia="Arial" w:hAnsi="Arial"/>
                <w:sz w:val="16"/>
                <w:szCs w:val="16"/>
                <w:color w:val="auto"/>
              </w:rPr>
              <w:t>25,487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25.01</w:t>
            </w:r>
          </w:p>
        </w:tc>
        <w:tc>
          <w:tcPr>
            <w:tcW w:w="1860" w:type="dxa"/>
            <w:vAlign w:val="bottom"/>
          </w:tcPr>
          <w:p>
            <w:pPr>
              <w:ind w:left="162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7,065,978</w:t>
            </w:r>
          </w:p>
        </w:tc>
      </w:tr>
      <w:tr>
        <w:trPr>
          <w:trHeight w:val="251"/>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September 1, 2019 through September 30, 2019</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7,065,978</w:t>
            </w:r>
          </w:p>
        </w:tc>
      </w:tr>
    </w:tbl>
    <w:p>
      <w:pPr>
        <w:spacing w:after="0" w:line="90" w:lineRule="exact"/>
        <w:rPr>
          <w:sz w:val="20"/>
          <w:szCs w:val="20"/>
          <w:color w:val="auto"/>
        </w:rPr>
      </w:pPr>
    </w:p>
    <w:p>
      <w:pPr>
        <w:ind w:right="240" w:firstLine="8"/>
        <w:spacing w:after="0" w:line="291"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38,463 shares purchased represent shares surrendered to the Company to pay the exercise price in connection with the exercise of employee stock options pursuant to the Company's Amended &amp; Restated 2012 Equity Incentive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627"/>
        </w:trPr>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8"/>
        </w:trPr>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4"/>
        </w:trPr>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920" w:type="dxa"/>
            <w:vAlign w:val="bottom"/>
            <w:gridSpan w:val="9"/>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197"/>
        </w:trPr>
        <w:tc>
          <w:tcPr>
            <w:tcW w:w="1400" w:type="dxa"/>
            <w:vAlign w:val="bottom"/>
            <w:tcBorders>
              <w:top w:val="single" w:sz="8" w:color="auto"/>
            </w:tcBorders>
          </w:tcPr>
          <w:p>
            <w:pPr>
              <w:ind w:left="40"/>
              <w:spacing w:after="0" w:line="197"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11"/>
          </w:tcPr>
          <w:p>
            <w:pPr>
              <w:spacing w:after="0" w:line="197" w:lineRule="exact"/>
              <w:rPr>
                <w:rFonts w:ascii="Arial" w:cs="Arial" w:eastAsia="Arial" w:hAnsi="Arial"/>
                <w:sz w:val="18"/>
                <w:szCs w:val="18"/>
                <w:color w:val="0000FF"/>
              </w:rPr>
            </w:pPr>
            <w:hyperlink r:id="rId16">
              <w:r>
                <w:rPr>
                  <w:rFonts w:ascii="Arial" w:cs="Arial" w:eastAsia="Arial" w:hAnsi="Arial"/>
                  <w:sz w:val="18"/>
                  <w:szCs w:val="18"/>
                  <w:color w:val="0000FF"/>
                </w:rPr>
                <w:t>Share Purchase Agreement, dated as of July 17, 2019, by and among, 8x8, Inc., Wavecell Pte. Ltd., the Sellers named</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herein, and Qualgro Partners Pte. Ltd (incorporated by reference to Exhibit 2.1 to Form 10-Q filed on July 31, 2019).</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1"/>
          </w:tcPr>
          <w:p>
            <w:pPr>
              <w:spacing w:after="0"/>
              <w:rPr>
                <w:rFonts w:ascii="Arial" w:cs="Arial" w:eastAsia="Arial" w:hAnsi="Arial"/>
                <w:sz w:val="18"/>
                <w:szCs w:val="18"/>
                <w:color w:val="0000FF"/>
              </w:rPr>
            </w:pPr>
            <w:hyperlink r:id="rId17">
              <w:r>
                <w:rPr>
                  <w:rFonts w:ascii="Arial" w:cs="Arial" w:eastAsia="Arial" w:hAnsi="Arial"/>
                  <w:sz w:val="18"/>
                  <w:szCs w:val="18"/>
                  <w:color w:val="0000FF"/>
                </w:rPr>
                <w:t>Amended and Restated 2012 Equity Incentive Plan, as amended and restated effective August 1, 2019 (incorporated by</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reference to Form S-8 filed on August 26, 2019).</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Chief Executive Officer pursuant to Rules 13a-14 and 15d-14 under the Securities Exchange Act of 1934,</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as adopted pursuant to Section 302 of the Sarbanes-Oxley Act of 2002.</w:t>
              </w:r>
            </w:hyperlink>
          </w:p>
        </w:tc>
        <w:tc>
          <w:tcPr>
            <w:tcW w:w="3880" w:type="dxa"/>
            <w:vAlign w:val="bottom"/>
            <w:tcBorders>
              <w:top w:val="single" w:sz="8" w:color="0000FF"/>
            </w:tcBorders>
            <w:gridSpan w:val="7"/>
          </w:tcPr>
          <w:p>
            <w:pPr>
              <w:spacing w:after="0"/>
              <w:rPr>
                <w:sz w:val="15"/>
                <w:szCs w:val="15"/>
                <w:color w:val="auto"/>
              </w:rPr>
            </w:pPr>
          </w:p>
        </w:tc>
        <w:tc>
          <w:tcPr>
            <w:tcW w:w="200" w:type="dxa"/>
            <w:vAlign w:val="bottom"/>
          </w:tcPr>
          <w:p>
            <w:pPr>
              <w:spacing w:after="0"/>
              <w:rPr>
                <w:sz w:val="15"/>
                <w:szCs w:val="15"/>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Certification of Chief Financial Officer pursuant to Rules 13a-14 and 15d-14 under the Securities Exchange Act of 1934,</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32">
              <w:r>
                <w:rPr>
                  <w:rFonts w:ascii="Arial" w:cs="Arial" w:eastAsia="Arial" w:hAnsi="Arial"/>
                  <w:sz w:val="18"/>
                  <w:szCs w:val="18"/>
                  <w:color w:val="0000FF"/>
                  <w:w w:val="99"/>
                </w:rPr>
                <w:t>as adopted pursuant to Section 302 of the Sarbanes-Oxley Act of 2002.</w:t>
              </w:r>
            </w:hyperlink>
          </w:p>
        </w:tc>
        <w:tc>
          <w:tcPr>
            <w:tcW w:w="3820" w:type="dxa"/>
            <w:vAlign w:val="bottom"/>
            <w:tcBorders>
              <w:top w:val="single" w:sz="8" w:color="0000FF"/>
            </w:tcBorders>
            <w:gridSpan w:val="5"/>
          </w:tcPr>
          <w:p>
            <w:pPr>
              <w:spacing w:after="0"/>
              <w:rPr>
                <w:sz w:val="15"/>
                <w:szCs w:val="15"/>
                <w:color w:val="auto"/>
              </w:rPr>
            </w:pPr>
          </w:p>
        </w:tc>
        <w:tc>
          <w:tcPr>
            <w:tcW w:w="260" w:type="dxa"/>
            <w:vAlign w:val="bottom"/>
            <w:gridSpan w:val="3"/>
          </w:tcPr>
          <w:p>
            <w:pPr>
              <w:spacing w:after="0"/>
              <w:rPr>
                <w:sz w:val="15"/>
                <w:szCs w:val="15"/>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Chief Executive Officer pursuant to 18 U.S.C. Section 1350, as adopted pursuant to Section 906 of the</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33">
              <w:r>
                <w:rPr>
                  <w:rFonts w:ascii="Arial" w:cs="Arial" w:eastAsia="Arial" w:hAnsi="Arial"/>
                  <w:sz w:val="18"/>
                  <w:szCs w:val="18"/>
                  <w:color w:val="0000FF"/>
                </w:rPr>
                <w:t>Sarbanes-Oxley Act of 2002.</w:t>
              </w:r>
            </w:hyperlink>
          </w:p>
        </w:tc>
        <w:tc>
          <w:tcPr>
            <w:tcW w:w="420" w:type="dxa"/>
            <w:vAlign w:val="bottom"/>
            <w:gridSpan w:val="5"/>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237"/>
        </w:trPr>
        <w:tc>
          <w:tcPr>
            <w:tcW w:w="140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Chief Financial Officer pursuant to 18 U.S.C. Section 1350, as adopted pursuant to Section 906 of the</w:t>
              </w:r>
            </w:hyperlink>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Sarbanes-Oxley Act of 2002.</w:t>
              </w:r>
            </w:hyperlink>
          </w:p>
        </w:tc>
        <w:tc>
          <w:tcPr>
            <w:tcW w:w="480" w:type="dxa"/>
            <w:vAlign w:val="bottom"/>
            <w:gridSpan w:val="6"/>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5" w:lineRule="exact"/>
        <w:rPr>
          <w:sz w:val="20"/>
          <w:szCs w:val="20"/>
          <w:color w:val="auto"/>
        </w:rPr>
      </w:pPr>
    </w:p>
    <w:p>
      <w:pPr>
        <w:ind w:left="1640" w:right="40" w:hanging="1605"/>
        <w:spacing w:after="0" w:line="247"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materials from the 8x8, Inc. Quarterly Report on Form 10-Q for the quarter ended September 30, 2019, formatted in iXBRL (Inline eXtensible Business Reporting Language):</w:t>
      </w:r>
    </w:p>
    <w:p>
      <w:pPr>
        <w:spacing w:after="0" w:line="1" w:lineRule="exact"/>
        <w:rPr>
          <w:rFonts w:ascii="Arial" w:cs="Arial" w:eastAsia="Arial" w:hAnsi="Arial"/>
          <w:sz w:val="18"/>
          <w:szCs w:val="18"/>
          <w:color w:val="auto"/>
        </w:rPr>
      </w:pPr>
    </w:p>
    <w:p>
      <w:pPr>
        <w:jc w:val="both"/>
        <w:ind w:left="1640" w:right="20"/>
        <w:spacing w:after="0" w:line="238" w:lineRule="auto"/>
        <w:rPr>
          <w:rFonts w:ascii="Arial" w:cs="Arial" w:eastAsia="Arial" w:hAnsi="Arial"/>
          <w:sz w:val="18"/>
          <w:szCs w:val="18"/>
          <w:color w:val="auto"/>
        </w:rPr>
      </w:pPr>
      <w:r>
        <w:rPr>
          <w:rFonts w:ascii="Arial" w:cs="Arial" w:eastAsia="Arial" w:hAnsi="Arial"/>
          <w:sz w:val="18"/>
          <w:szCs w:val="18"/>
          <w:color w:val="auto"/>
        </w:rPr>
        <w:t>(i) Condensed Consolidated Balance Sheets as of September 30, 2019 and March 31, 2019; (ii) Condensed Consolidated Statements of Operations for the three and six months ended September 30, 2019 and 2018; (iii) Condensed Consolidated Statements of Comprehensive Loss for the three and six months ended September 30, 2019 and 2018; (iv) Condensed Consolidated Statements of Stockholders' Equity for the three and six months ended September 30, 2019 and 2018; (v) Condensed Consolidated Statements of Cash Flows for the six months ended September 30, 2019 and 2018; and (vi) notes to unaudited condensed consolidated financial statements.</w:t>
      </w:r>
    </w:p>
    <w:p>
      <w:pPr>
        <w:spacing w:after="0" w:line="16"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0" w:right="4640" w:hanging="6"/>
        <w:spacing w:after="0" w:line="339" w:lineRule="auto"/>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8"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8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30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8X8, INC.</w:t>
      </w:r>
    </w:p>
    <w:p>
      <w:pPr>
        <w:spacing w:after="0" w:line="7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(Registrant)</w:t>
      </w:r>
    </w:p>
    <w:p>
      <w:pPr>
        <w:spacing w:after="0" w:line="6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-5080</wp:posOffset>
            </wp:positionV>
            <wp:extent cx="1300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Steven Gatoff</w:t>
      </w:r>
    </w:p>
    <w:p>
      <w:pPr>
        <w:spacing w:after="0" w:line="65"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and Duly Authorized Officer)</w:t>
      </w: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115" w:right="4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I, Vikram Verma, certify that:</w:t>
      </w:r>
    </w:p>
    <w:p>
      <w:pPr>
        <w:spacing w:after="0" w:line="221" w:lineRule="exact"/>
        <w:rPr>
          <w:sz w:val="20"/>
          <w:szCs w:val="20"/>
          <w:color w:val="auto"/>
        </w:rPr>
      </w:pPr>
    </w:p>
    <w:p>
      <w:pPr>
        <w:ind w:left="360" w:hanging="190"/>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280" w:hanging="10"/>
        <w:spacing w:after="0" w:line="291"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ind w:left="180" w:right="80" w:hanging="10"/>
        <w:spacing w:after="0" w:line="291"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6"/>
          <w:szCs w:val="16"/>
          <w:color w:val="auto"/>
        </w:rPr>
      </w:pPr>
    </w:p>
    <w:p>
      <w:pPr>
        <w:ind w:left="180" w:right="60" w:hanging="10"/>
        <w:spacing w:after="0" w:line="269"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660" w:right="160" w:hanging="328"/>
        <w:spacing w:after="0" w:line="269"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660" w:right="160" w:hanging="328"/>
        <w:spacing w:after="0" w:line="269"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660" w:right="40" w:hanging="328"/>
        <w:spacing w:after="0" w:line="291"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6"/>
          <w:szCs w:val="16"/>
          <w:color w:val="auto"/>
        </w:rPr>
      </w:pPr>
    </w:p>
    <w:p>
      <w:pPr>
        <w:ind w:left="660" w:right="80" w:hanging="328"/>
        <w:spacing w:after="0" w:line="269"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80" w:right="660" w:hanging="10"/>
        <w:spacing w:after="0" w:line="291"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6"/>
          <w:szCs w:val="16"/>
          <w:color w:val="auto"/>
        </w:rPr>
      </w:pPr>
    </w:p>
    <w:p>
      <w:pPr>
        <w:ind w:left="500" w:right="200" w:hanging="168"/>
        <w:spacing w:after="0" w:line="291" w:lineRule="auto"/>
        <w:tabs>
          <w:tab w:leader="none" w:pos="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500" w:right="380" w:hanging="168"/>
        <w:spacing w:after="0" w:line="291" w:lineRule="auto"/>
        <w:tabs>
          <w:tab w:leader="none" w:pos="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30, 2019</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Vikram Verma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576"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I, Steven Gatoff, certify that:</w:t>
      </w:r>
    </w:p>
    <w:p>
      <w:pPr>
        <w:spacing w:after="0" w:line="221" w:lineRule="exact"/>
        <w:rPr>
          <w:sz w:val="20"/>
          <w:szCs w:val="20"/>
          <w:color w:val="auto"/>
        </w:rPr>
      </w:pPr>
    </w:p>
    <w:p>
      <w:pPr>
        <w:ind w:left="360" w:hanging="190"/>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280" w:hanging="10"/>
        <w:spacing w:after="0" w:line="291"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ind w:left="180" w:right="80" w:hanging="10"/>
        <w:spacing w:after="0" w:line="291"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6"/>
          <w:szCs w:val="16"/>
          <w:color w:val="auto"/>
        </w:rPr>
      </w:pPr>
    </w:p>
    <w:p>
      <w:pPr>
        <w:ind w:left="180" w:right="60" w:hanging="10"/>
        <w:spacing w:after="0" w:line="269"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jc w:val="both"/>
        <w:ind w:left="500" w:right="40" w:hanging="168"/>
        <w:spacing w:after="0" w:line="269"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500" w:right="140" w:hanging="168"/>
        <w:spacing w:after="0" w:line="269"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500" w:right="20" w:hanging="168"/>
        <w:spacing w:after="0" w:line="291"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6"/>
          <w:szCs w:val="16"/>
          <w:color w:val="auto"/>
        </w:rPr>
      </w:pPr>
    </w:p>
    <w:p>
      <w:pPr>
        <w:ind w:left="500" w:right="240" w:hanging="168"/>
        <w:spacing w:after="0" w:line="269"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80" w:right="660" w:hanging="10"/>
        <w:spacing w:after="0" w:line="291"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6"/>
          <w:szCs w:val="16"/>
          <w:color w:val="auto"/>
        </w:rPr>
      </w:pPr>
    </w:p>
    <w:p>
      <w:pPr>
        <w:ind w:left="500" w:right="200" w:hanging="168"/>
        <w:spacing w:after="0" w:line="291"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500" w:right="380" w:hanging="168"/>
        <w:spacing w:after="0" w:line="291" w:lineRule="auto"/>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30, 2019</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Steven Gatoff</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76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1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2019,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1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964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2019</w:t>
      </w:r>
    </w:p>
    <w:p>
      <w:pPr>
        <w:spacing w:after="0" w:line="239"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3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2019, as filed with the Securities and Exchange Commission on the date hereof (the "Report"), I, Steven Gatoff, Chief Financial Officer of the Company, hereby certify, pursuant to 18 U.S.C. Section 1350, as adopted pursuant to Section 906 of the Sarbanes-Oxley Act of 2002, that:</w:t>
      </w:r>
    </w:p>
    <w:p>
      <w:pPr>
        <w:spacing w:after="0" w:line="1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964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Gatoff</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2019</w:t>
      </w:r>
    </w:p>
    <w:p>
      <w:pPr>
        <w:spacing w:after="0" w:line="239"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6" Type="http://schemas.openxmlformats.org/officeDocument/2006/relationships/hyperlink" Target="http://www.sec.gov/Archives/edgar/data/1023731/000102373119000079/exhibit201-sharepurcha.htm" TargetMode="External"/><Relationship Id="rId17" Type="http://schemas.openxmlformats.org/officeDocument/2006/relationships/hyperlink" Target="http://www.sec.gov/Archives/edgar/data/1023731/000102373119000112/a101amendedandrestated2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2019-12-28T03:40:58Z</dcterms:created>
  <dcterms:modified xsi:type="dcterms:W3CDTF">2019-12-28T03:40:58Z</dcterms:modified>
</cp:coreProperties>
</file>