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3275.xml.htm"/>
      <w:bookmarkStart w:id="1" w:name="kswkform4_17894232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Burton Andrew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8X8 INC. 675 CREEKSIDE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CAMPBELL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8X8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EGHT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1006"/>
        <w:gridCol w:w="439"/>
        <w:gridCol w:w="881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107,085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151,615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line was effected pursuant to a Rule 10b5-1 trading plan adopted by the reporting person on June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is the weighted average sales price for the transactions reported on this line. The prices for the transactions reported on this line range from $1.785 to $1.855. The reporting person undertakes to provide, upon request by the staff of the Securities and Exchange Commission,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Cheriese M. Dickman as Attorney-in-Fact for Andrew Burton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32808" TargetMode="External"/><Relationship Id="rId5" Type="http://schemas.openxmlformats.org/officeDocument/2006/relationships/hyperlink" Target="http://www.sec.gov/cgi-bin/browse-edgar?action=getcompany&amp;CIK=00010237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3544</Characters>
  <CharactersWithSpaces>4137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