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FORM10-Q</w:t>
      </w:r>
    </w:p>
    <w:p>
      <w:pPr>
        <w:spacing w:after="0" w:line="391" w:lineRule="exact"/>
        <w:rPr>
          <w:sz w:val="24"/>
          <w:szCs w:val="24"/>
          <w:color w:val="auto"/>
        </w:rPr>
      </w:pPr>
    </w:p>
    <w:p>
      <w:pPr>
        <w:ind w:left="3700" w:right="2720" w:hanging="3692"/>
        <w:spacing w:after="0" w:line="438" w:lineRule="auto"/>
        <w:tabs>
          <w:tab w:leader="none" w:pos="21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2022</w:t>
      </w:r>
    </w:p>
    <w:p>
      <w:pPr>
        <w:spacing w:after="0" w:line="252" w:lineRule="exact"/>
        <w:rPr>
          <w:sz w:val="24"/>
          <w:szCs w:val="24"/>
          <w:color w:val="auto"/>
        </w:rPr>
      </w:pPr>
    </w:p>
    <w:p>
      <w:pPr>
        <w:ind w:left="3600" w:right="2720" w:hanging="3592"/>
        <w:spacing w:after="0" w:line="391" w:lineRule="auto"/>
        <w:tabs>
          <w:tab w:leader="none" w:pos="21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ind w:left="4260"/>
        <w:spacing w:after="0"/>
        <w:rPr>
          <w:rFonts w:ascii="MS PGothic" w:cs="MS PGothic" w:eastAsia="MS PGothic" w:hAnsi="MS PGothic"/>
          <w:sz w:val="18"/>
          <w:szCs w:val="18"/>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57785</wp:posOffset>
            </wp:positionV>
            <wp:extent cx="1457325"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2"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18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Delaware</w:t>
            </w:r>
          </w:p>
        </w:tc>
        <w:tc>
          <w:tcPr>
            <w:tcW w:w="28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77-0142404</w:t>
            </w:r>
          </w:p>
        </w:tc>
        <w:tc>
          <w:tcPr>
            <w:tcW w:w="960" w:type="dxa"/>
            <w:vAlign w:val="bottom"/>
          </w:tcPr>
          <w:p>
            <w:pPr>
              <w:spacing w:after="0"/>
              <w:rPr>
                <w:sz w:val="15"/>
                <w:szCs w:val="15"/>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840" w:type="dxa"/>
            <w:vAlign w:val="bottom"/>
            <w:gridSpan w:val="3"/>
          </w:tcPr>
          <w:p>
            <w:pPr>
              <w:jc w:val="center"/>
              <w:ind w:left="939"/>
              <w:spacing w:after="0"/>
              <w:rPr>
                <w:sz w:val="20"/>
                <w:szCs w:val="20"/>
                <w:color w:val="auto"/>
              </w:rPr>
            </w:pPr>
            <w:r>
              <w:rPr>
                <w:rFonts w:ascii="Arial" w:cs="Arial" w:eastAsia="Arial" w:hAnsi="Arial"/>
                <w:sz w:val="16"/>
                <w:szCs w:val="16"/>
                <w:color w:val="auto"/>
              </w:rPr>
              <w:t>(I.R.S. Employer Identification Number)</w:t>
            </w:r>
          </w:p>
        </w:tc>
      </w:tr>
    </w:tbl>
    <w:p>
      <w:pPr>
        <w:spacing w:after="0" w:line="13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31" w:lineRule="exact"/>
        <w:rPr>
          <w:sz w:val="24"/>
          <w:szCs w:val="24"/>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9" w:lineRule="exact"/>
        <w:rPr>
          <w:sz w:val="24"/>
          <w:szCs w:val="24"/>
          <w:color w:val="auto"/>
        </w:rPr>
      </w:pPr>
    </w:p>
    <w:tbl>
      <w:tblPr>
        <w:tblLayout w:type="fixed"/>
        <w:tblInd w:w="30" w:type="dxa"/>
        <w:tblCellMar>
          <w:top w:w="0" w:type="dxa"/>
          <w:left w:w="0" w:type="dxa"/>
          <w:bottom w:w="0" w:type="dxa"/>
          <w:right w:w="0" w:type="dxa"/>
        </w:tblCellMar>
      </w:tblPr>
      <w:tr>
        <w:trPr>
          <w:trHeight w:val="229"/>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40" w:lineRule="exact"/>
        <w:rPr>
          <w:sz w:val="24"/>
          <w:szCs w:val="24"/>
          <w:color w:val="auto"/>
        </w:rPr>
      </w:pPr>
    </w:p>
    <w:p>
      <w:pPr>
        <w:ind w:right="200" w:firstLine="283"/>
        <w:spacing w:after="0" w:line="21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88" w:lineRule="exact"/>
        <w:rPr>
          <w:sz w:val="24"/>
          <w:szCs w:val="24"/>
          <w:color w:val="auto"/>
        </w:rPr>
      </w:pPr>
    </w:p>
    <w:p>
      <w:pPr>
        <w:ind w:right="400" w:firstLine="283"/>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right="220" w:firstLine="283"/>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76" w:lineRule="exact"/>
        <w:rPr>
          <w:sz w:val="24"/>
          <w:szCs w:val="24"/>
          <w:color w:val="auto"/>
        </w:rPr>
      </w:pPr>
    </w:p>
    <w:tbl>
      <w:tblPr>
        <w:tblLayout w:type="fixed"/>
        <w:tblInd w:w="80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320" w:type="dxa"/>
            <w:vAlign w:val="bottom"/>
          </w:tcPr>
          <w:p>
            <w:pPr>
              <w:ind w:left="18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2" w:lineRule="exact"/>
        <w:rPr>
          <w:sz w:val="24"/>
          <w:szCs w:val="24"/>
          <w:color w:val="auto"/>
        </w:rPr>
      </w:pPr>
    </w:p>
    <w:p>
      <w:pPr>
        <w:ind w:right="20" w:firstLine="283"/>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300" w:right="2300"/>
        <w:spacing w:after="0" w:line="23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January 31, 2023 was 113,048,025.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8160" w:type="dxa"/>
            <w:vAlign w:val="bottom"/>
            <w:gridSpan w:val="24"/>
          </w:tcPr>
          <w:p>
            <w:pPr>
              <w:spacing w:after="0"/>
              <w:rPr>
                <w:sz w:val="20"/>
                <w:szCs w:val="20"/>
                <w:color w:val="auto"/>
              </w:rPr>
            </w:pPr>
            <w:r>
              <w:rPr>
                <w:rFonts w:ascii="Arial" w:cs="Arial" w:eastAsia="Arial" w:hAnsi="Arial"/>
                <w:sz w:val="16"/>
                <w:szCs w:val="16"/>
                <w:color w:val="0000FF"/>
              </w:rPr>
              <w:t>Table of Contents</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3"/>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2"/>
          </w:tcPr>
          <w:p>
            <w:pPr>
              <w:jc w:val="center"/>
              <w:ind w:right="1960"/>
              <w:spacing w:after="0"/>
              <w:rPr>
                <w:sz w:val="20"/>
                <w:szCs w:val="20"/>
                <w:color w:val="auto"/>
              </w:rPr>
            </w:pPr>
            <w:r>
              <w:rPr>
                <w:rFonts w:ascii="Arial" w:cs="Arial" w:eastAsia="Arial" w:hAnsi="Arial"/>
                <w:sz w:val="16"/>
                <w:szCs w:val="16"/>
                <w:b w:val="1"/>
                <w:bCs w:val="1"/>
                <w:color w:val="auto"/>
              </w:rPr>
              <w:t>8X8, INC.</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gridSpan w:val="8"/>
          </w:tcPr>
          <w:p>
            <w:pPr>
              <w:jc w:val="center"/>
              <w:ind w:right="520"/>
              <w:spacing w:after="0"/>
              <w:rPr>
                <w:sz w:val="20"/>
                <w:szCs w:val="20"/>
                <w:color w:val="auto"/>
              </w:rPr>
            </w:pPr>
            <w:r>
              <w:rPr>
                <w:rFonts w:ascii="Arial" w:cs="Arial" w:eastAsia="Arial" w:hAnsi="Arial"/>
                <w:sz w:val="16"/>
                <w:szCs w:val="16"/>
                <w:b w:val="1"/>
                <w:bCs w:val="1"/>
                <w:color w:val="auto"/>
              </w:rPr>
              <w:t>INDEX TO QUARTERLY REPORT ON FORM 10-Q</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40" w:type="dxa"/>
            <w:vAlign w:val="bottom"/>
            <w:gridSpan w:val="8"/>
          </w:tcPr>
          <w:p>
            <w:pPr>
              <w:jc w:val="center"/>
              <w:ind w:right="520"/>
              <w:spacing w:after="0"/>
              <w:rPr>
                <w:sz w:val="20"/>
                <w:szCs w:val="20"/>
                <w:color w:val="auto"/>
              </w:rPr>
            </w:pPr>
            <w:r>
              <w:rPr>
                <w:rFonts w:ascii="Arial" w:cs="Arial" w:eastAsia="Arial" w:hAnsi="Arial"/>
                <w:sz w:val="16"/>
                <w:szCs w:val="16"/>
                <w:b w:val="1"/>
                <w:bCs w:val="1"/>
                <w:color w:val="auto"/>
              </w:rPr>
              <w:t>FOR THE QUARTER ENDED DECEMBER 31, 2022</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gridSpan w:val="6"/>
          </w:tcPr>
          <w:p>
            <w:pPr>
              <w:ind w:left="62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Borders>
              <w:bottom w:val="single" w:sz="8" w:color="0000FF"/>
            </w:tcBorders>
            <w:gridSpan w:val="15"/>
          </w:tcPr>
          <w:p>
            <w:pPr>
              <w:spacing w:after="0" w:line="175" w:lineRule="exact"/>
              <w:rPr>
                <w:sz w:val="20"/>
                <w:szCs w:val="20"/>
                <w:color w:val="auto"/>
              </w:rPr>
            </w:pPr>
            <w:r>
              <w:rPr>
                <w:rFonts w:ascii="Arial" w:cs="Arial" w:eastAsia="Arial" w:hAnsi="Arial"/>
                <w:sz w:val="16"/>
                <w:szCs w:val="16"/>
                <w:b w:val="1"/>
                <w:bCs w:val="1"/>
                <w:color w:val="0000FF"/>
              </w:rPr>
              <w:t>Forward-Looking Statements and Risk Factors</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gridSpan w:val="5"/>
          </w:tcPr>
          <w:p>
            <w:pPr>
              <w:jc w:val="center"/>
              <w:ind w:left="618"/>
              <w:spacing w:after="0" w:line="195" w:lineRule="exact"/>
              <w:rPr>
                <w:sz w:val="20"/>
                <w:szCs w:val="20"/>
                <w:color w:val="auto"/>
              </w:rPr>
            </w:pPr>
            <w:r>
              <w:rPr>
                <w:rFonts w:ascii="Arial" w:cs="Arial" w:eastAsia="Arial" w:hAnsi="Arial"/>
                <w:sz w:val="18"/>
                <w:szCs w:val="18"/>
                <w:color w:val="0000FF"/>
                <w:w w:val="99"/>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gridSpan w:val="23"/>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40" w:type="dxa"/>
            <w:vAlign w:val="bottom"/>
            <w:gridSpan w:val="23"/>
            <w:vMerge w:val="continue"/>
          </w:tcPr>
          <w:p>
            <w:pPr>
              <w:spacing w:after="0"/>
              <w:rPr>
                <w:sz w:val="16"/>
                <w:szCs w:val="16"/>
                <w:color w:val="auto"/>
              </w:rPr>
            </w:pPr>
          </w:p>
        </w:tc>
        <w:tc>
          <w:tcPr>
            <w:tcW w:w="760" w:type="dxa"/>
            <w:vAlign w:val="bottom"/>
            <w:gridSpan w:val="2"/>
          </w:tcPr>
          <w:p>
            <w:pPr>
              <w:spacing w:after="0"/>
              <w:rPr>
                <w:sz w:val="16"/>
                <w:szCs w:val="16"/>
                <w:color w:val="auto"/>
              </w:rPr>
            </w:pPr>
          </w:p>
        </w:tc>
        <w:tc>
          <w:tcPr>
            <w:tcW w:w="100" w:type="dxa"/>
            <w:vAlign w:val="bottom"/>
            <w:tcBorders>
              <w:bottom w:val="single" w:sz="8" w:color="0000FF"/>
            </w:tcBorders>
            <w:gridSpan w:val="2"/>
          </w:tcPr>
          <w:p>
            <w:pPr>
              <w:jc w:val="center"/>
              <w:spacing w:after="0" w:line="183" w:lineRule="exact"/>
              <w:rPr>
                <w:sz w:val="20"/>
                <w:szCs w:val="20"/>
                <w:color w:val="auto"/>
              </w:rPr>
            </w:pPr>
            <w:r>
              <w:rPr>
                <w:rFonts w:ascii="Arial" w:cs="Arial" w:eastAsia="Arial" w:hAnsi="Arial"/>
                <w:sz w:val="16"/>
                <w:szCs w:val="16"/>
                <w:color w:val="0000FF"/>
              </w:rPr>
              <w:t>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jc w:val="center"/>
              <w:spacing w:after="0"/>
              <w:rPr>
                <w:sz w:val="20"/>
                <w:szCs w:val="20"/>
                <w:color w:val="auto"/>
              </w:rPr>
            </w:pPr>
            <w:r>
              <w:rPr>
                <w:rFonts w:ascii="Arial" w:cs="Arial" w:eastAsia="Arial" w:hAnsi="Arial"/>
                <w:sz w:val="16"/>
                <w:szCs w:val="16"/>
                <w:color w:val="0000FF"/>
              </w:rPr>
              <w:t>4</w:t>
            </w: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Item 1. Financial Statements (unaudited):</w:t>
            </w:r>
          </w:p>
        </w:tc>
        <w:tc>
          <w:tcPr>
            <w:tcW w:w="5060" w:type="dxa"/>
            <w:vAlign w:val="bottom"/>
            <w:gridSpan w:val="10"/>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0" w:type="dxa"/>
            <w:vAlign w:val="bottom"/>
            <w:tcBorders>
              <w:bottom w:val="single" w:sz="8" w:color="0000FF"/>
            </w:tcBorders>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Condensed Consolidated Balance Sheets</w:t>
            </w:r>
          </w:p>
        </w:tc>
        <w:tc>
          <w:tcPr>
            <w:tcW w:w="4900" w:type="dxa"/>
            <w:vAlign w:val="bottom"/>
            <w:gridSpan w:val="9"/>
          </w:tcPr>
          <w:p>
            <w:pPr>
              <w:spacing w:after="0"/>
              <w:rPr>
                <w:sz w:val="19"/>
                <w:szCs w:val="19"/>
                <w:color w:val="auto"/>
              </w:rPr>
            </w:pPr>
          </w:p>
        </w:tc>
        <w:tc>
          <w:tcPr>
            <w:tcW w:w="760" w:type="dxa"/>
            <w:vAlign w:val="bottom"/>
            <w:gridSpan w:val="2"/>
          </w:tcPr>
          <w:p>
            <w:pPr>
              <w:spacing w:after="0"/>
              <w:rPr>
                <w:sz w:val="19"/>
                <w:szCs w:val="19"/>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6"/>
                <w:szCs w:val="16"/>
                <w:color w:val="0000FF"/>
              </w:rPr>
              <w:t>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Condensed Consolidated Statements of Operations</w:t>
            </w:r>
          </w:p>
        </w:tc>
        <w:tc>
          <w:tcPr>
            <w:tcW w:w="4200" w:type="dxa"/>
            <w:vAlign w:val="bottom"/>
            <w:gridSpan w:val="7"/>
          </w:tcPr>
          <w:p>
            <w:pPr>
              <w:spacing w:after="0"/>
              <w:rPr>
                <w:sz w:val="19"/>
                <w:szCs w:val="19"/>
                <w:color w:val="auto"/>
              </w:rPr>
            </w:pPr>
          </w:p>
        </w:tc>
        <w:tc>
          <w:tcPr>
            <w:tcW w:w="760" w:type="dxa"/>
            <w:vAlign w:val="bottom"/>
            <w:gridSpan w:val="2"/>
          </w:tcPr>
          <w:p>
            <w:pPr>
              <w:spacing w:after="0"/>
              <w:rPr>
                <w:sz w:val="19"/>
                <w:szCs w:val="19"/>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6"/>
                <w:szCs w:val="16"/>
                <w:color w:val="0000FF"/>
              </w:rPr>
              <w:t>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00" w:type="dxa"/>
            <w:vAlign w:val="bottom"/>
            <w:gridSpan w:val="21"/>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920" w:type="dxa"/>
            <w:vAlign w:val="bottom"/>
            <w:gridSpan w:val="5"/>
          </w:tcPr>
          <w:p>
            <w:pPr>
              <w:jc w:val="center"/>
              <w:ind w:left="618"/>
              <w:spacing w:after="0"/>
              <w:rPr>
                <w:sz w:val="20"/>
                <w:szCs w:val="20"/>
                <w:color w:val="auto"/>
              </w:rPr>
            </w:pPr>
            <w:r>
              <w:rPr>
                <w:rFonts w:ascii="Arial" w:cs="Arial" w:eastAsia="Arial" w:hAnsi="Arial"/>
                <w:sz w:val="16"/>
                <w:szCs w:val="16"/>
                <w:color w:val="0000FF"/>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3480" w:type="dxa"/>
            <w:vAlign w:val="bottom"/>
            <w:gridSpan w:val="4"/>
          </w:tcPr>
          <w:p>
            <w:pPr>
              <w:spacing w:after="0"/>
              <w:rPr>
                <w:sz w:val="19"/>
                <w:szCs w:val="19"/>
                <w:color w:val="auto"/>
              </w:rPr>
            </w:pPr>
          </w:p>
        </w:tc>
        <w:tc>
          <w:tcPr>
            <w:tcW w:w="760" w:type="dxa"/>
            <w:vAlign w:val="bottom"/>
            <w:gridSpan w:val="2"/>
          </w:tcPr>
          <w:p>
            <w:pPr>
              <w:spacing w:after="0"/>
              <w:rPr>
                <w:sz w:val="19"/>
                <w:szCs w:val="19"/>
                <w:color w:val="auto"/>
              </w:rPr>
            </w:pPr>
          </w:p>
        </w:tc>
        <w:tc>
          <w:tcPr>
            <w:tcW w:w="100" w:type="dxa"/>
            <w:vAlign w:val="bottom"/>
            <w:tcBorders>
              <w:top w:val="single" w:sz="8" w:color="0000FF"/>
            </w:tcBorders>
            <w:gridSpan w:val="2"/>
          </w:tcPr>
          <w:p>
            <w:pPr>
              <w:jc w:val="center"/>
              <w:spacing w:after="0"/>
              <w:rPr>
                <w:sz w:val="20"/>
                <w:szCs w:val="20"/>
                <w:color w:val="auto"/>
              </w:rPr>
            </w:pPr>
            <w:r>
              <w:rPr>
                <w:rFonts w:ascii="Arial" w:cs="Arial" w:eastAsia="Arial" w:hAnsi="Arial"/>
                <w:sz w:val="16"/>
                <w:szCs w:val="16"/>
                <w:color w:val="0000FF"/>
              </w:rPr>
              <w:t>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Condensed Consolidated Statements of Cash Flows</w:t>
            </w:r>
          </w:p>
        </w:tc>
        <w:tc>
          <w:tcPr>
            <w:tcW w:w="300" w:type="dxa"/>
            <w:vAlign w:val="bottom"/>
            <w:gridSpan w:val="2"/>
          </w:tcPr>
          <w:p>
            <w:pPr>
              <w:spacing w:after="0"/>
              <w:rPr>
                <w:sz w:val="18"/>
                <w:szCs w:val="18"/>
                <w:color w:val="auto"/>
              </w:rPr>
            </w:pPr>
          </w:p>
        </w:tc>
        <w:tc>
          <w:tcPr>
            <w:tcW w:w="3240" w:type="dxa"/>
            <w:vAlign w:val="bottom"/>
            <w:gridSpan w:val="3"/>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Borders>
              <w:top w:val="single" w:sz="8" w:color="0000FF"/>
            </w:tcBorders>
            <w:gridSpan w:val="2"/>
          </w:tcPr>
          <w:p>
            <w:pPr>
              <w:jc w:val="center"/>
              <w:spacing w:after="0" w:line="203" w:lineRule="exact"/>
              <w:rPr>
                <w:sz w:val="20"/>
                <w:szCs w:val="20"/>
                <w:color w:val="auto"/>
              </w:rPr>
            </w:pPr>
            <w:r>
              <w:rPr>
                <w:rFonts w:ascii="Arial" w:cs="Arial" w:eastAsia="Arial" w:hAnsi="Arial"/>
                <w:sz w:val="18"/>
                <w:szCs w:val="18"/>
                <w:color w:val="0000FF"/>
                <w:w w:val="99"/>
              </w:rPr>
              <w:t>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520" w:type="dxa"/>
            <w:vAlign w:val="bottom"/>
            <w:gridSpan w:val="2"/>
            <w:shd w:val="clear" w:color="auto" w:fill="0000FF"/>
          </w:tcPr>
          <w:p>
            <w:pPr>
              <w:spacing w:after="0"/>
              <w:rPr>
                <w:sz w:val="2"/>
                <w:szCs w:val="2"/>
                <w:color w:val="auto"/>
              </w:rPr>
            </w:pPr>
          </w:p>
        </w:tc>
        <w:tc>
          <w:tcPr>
            <w:tcW w:w="1940" w:type="dxa"/>
            <w:vAlign w:val="bottom"/>
            <w:gridSpan w:val="8"/>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00" w:type="dxa"/>
            <w:vAlign w:val="bottom"/>
            <w:gridSpan w:val="21"/>
          </w:tcPr>
          <w:p>
            <w:pPr>
              <w:spacing w:after="0" w:line="183" w:lineRule="exact"/>
              <w:rPr>
                <w:sz w:val="20"/>
                <w:szCs w:val="20"/>
                <w:color w:val="auto"/>
              </w:rPr>
            </w:pPr>
            <w:r>
              <w:rPr>
                <w:rFonts w:ascii="Arial" w:cs="Arial" w:eastAsia="Arial" w:hAnsi="Arial"/>
                <w:sz w:val="16"/>
                <w:szCs w:val="16"/>
                <w:color w:val="0000FF"/>
              </w:rPr>
              <w:t>Notes to Unaudited Condensed Consolidated Financial Statements</w:t>
            </w:r>
          </w:p>
        </w:tc>
        <w:tc>
          <w:tcPr>
            <w:tcW w:w="720" w:type="dxa"/>
            <w:vAlign w:val="bottom"/>
          </w:tcPr>
          <w:p>
            <w:pPr>
              <w:spacing w:after="0"/>
              <w:rPr>
                <w:sz w:val="17"/>
                <w:szCs w:val="17"/>
                <w:color w:val="auto"/>
              </w:rPr>
            </w:pPr>
          </w:p>
        </w:tc>
        <w:tc>
          <w:tcPr>
            <w:tcW w:w="200" w:type="dxa"/>
            <w:vAlign w:val="bottom"/>
            <w:tcBorders>
              <w:bottom w:val="single" w:sz="8" w:color="0000FF"/>
            </w:tcBorders>
            <w:gridSpan w:val="4"/>
          </w:tcPr>
          <w:p>
            <w:pPr>
              <w:jc w:val="center"/>
              <w:ind w:right="20"/>
              <w:spacing w:after="0" w:line="183" w:lineRule="exact"/>
              <w:rPr>
                <w:sz w:val="20"/>
                <w:szCs w:val="20"/>
                <w:color w:val="auto"/>
              </w:rPr>
            </w:pPr>
            <w:r>
              <w:rPr>
                <w:rFonts w:ascii="Arial" w:cs="Arial" w:eastAsia="Arial" w:hAnsi="Arial"/>
                <w:sz w:val="16"/>
                <w:szCs w:val="16"/>
                <w:color w:val="0000FF"/>
              </w:rPr>
              <w:t>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gridSpan w:val="4"/>
            <w:vMerge w:val="restart"/>
          </w:tcPr>
          <w:p>
            <w:pPr>
              <w:jc w:val="center"/>
              <w:ind w:right="20"/>
              <w:spacing w:after="0"/>
              <w:rPr>
                <w:sz w:val="20"/>
                <w:szCs w:val="20"/>
                <w:color w:val="auto"/>
              </w:rPr>
            </w:pPr>
            <w:r>
              <w:rPr>
                <w:rFonts w:ascii="Arial" w:cs="Arial" w:eastAsia="Arial" w:hAnsi="Arial"/>
                <w:sz w:val="16"/>
                <w:szCs w:val="16"/>
                <w:color w:val="0000FF"/>
              </w:rPr>
              <w:t>24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20" w:type="dxa"/>
            <w:vAlign w:val="bottom"/>
            <w:gridSpan w:val="22"/>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720" w:type="dxa"/>
            <w:vAlign w:val="bottom"/>
            <w:vMerge w:val="continue"/>
          </w:tcPr>
          <w:p>
            <w:pPr>
              <w:spacing w:after="0"/>
              <w:rPr>
                <w:sz w:val="19"/>
                <w:szCs w:val="19"/>
                <w:color w:val="auto"/>
              </w:rPr>
            </w:pPr>
          </w:p>
        </w:tc>
        <w:tc>
          <w:tcPr>
            <w:tcW w:w="200" w:type="dxa"/>
            <w:vAlign w:val="bottom"/>
            <w:tcBorders>
              <w:bottom w:val="single" w:sz="8" w:color="0000FF"/>
            </w:tcBorders>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2120" w:type="dxa"/>
            <w:vAlign w:val="bottom"/>
            <w:tcBorders>
              <w:top w:val="single" w:sz="8" w:color="0000FF"/>
            </w:tcBorders>
            <w:gridSpan w:val="2"/>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2"/>
          </w:tcPr>
          <w:p>
            <w:pPr>
              <w:spacing w:after="0"/>
              <w:rPr>
                <w:sz w:val="20"/>
                <w:szCs w:val="20"/>
                <w:color w:val="auto"/>
              </w:rPr>
            </w:pPr>
            <w:r>
              <w:rPr>
                <w:rFonts w:ascii="Arial" w:cs="Arial" w:eastAsia="Arial" w:hAnsi="Arial"/>
                <w:sz w:val="16"/>
                <w:szCs w:val="16"/>
                <w:color w:val="0000FF"/>
              </w:rPr>
              <w:t>Item 4. Controls and Procedures</w:t>
            </w:r>
          </w:p>
        </w:tc>
        <w:tc>
          <w:tcPr>
            <w:tcW w:w="920" w:type="dxa"/>
            <w:vAlign w:val="bottom"/>
            <w:gridSpan w:val="5"/>
          </w:tcPr>
          <w:p>
            <w:pPr>
              <w:jc w:val="center"/>
              <w:ind w:left="618"/>
              <w:spacing w:after="0"/>
              <w:rPr>
                <w:sz w:val="20"/>
                <w:szCs w:val="20"/>
                <w:color w:val="auto"/>
              </w:rPr>
            </w:pPr>
            <w:r>
              <w:rPr>
                <w:rFonts w:ascii="Arial" w:cs="Arial" w:eastAsia="Arial" w:hAnsi="Arial"/>
                <w:sz w:val="16"/>
                <w:szCs w:val="16"/>
                <w:color w:val="0000FF"/>
              </w:rPr>
              <w:t>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520" w:type="dxa"/>
            <w:vAlign w:val="bottom"/>
            <w:gridSpan w:val="2"/>
          </w:tcPr>
          <w:p>
            <w:pPr>
              <w:spacing w:after="0"/>
              <w:rPr>
                <w:sz w:val="2"/>
                <w:szCs w:val="2"/>
                <w:color w:val="auto"/>
              </w:rPr>
            </w:pPr>
          </w:p>
        </w:tc>
        <w:tc>
          <w:tcPr>
            <w:tcW w:w="2080" w:type="dxa"/>
            <w:vAlign w:val="bottom"/>
            <w:gridSpan w:val="9"/>
          </w:tcPr>
          <w:p>
            <w:pPr>
              <w:spacing w:after="0"/>
              <w:rPr>
                <w:sz w:val="2"/>
                <w:szCs w:val="2"/>
                <w:color w:val="auto"/>
              </w:rPr>
            </w:pPr>
          </w:p>
        </w:tc>
        <w:tc>
          <w:tcPr>
            <w:tcW w:w="3100" w:type="dxa"/>
            <w:vAlign w:val="bottom"/>
            <w:gridSpan w:val="2"/>
          </w:tcPr>
          <w:p>
            <w:pPr>
              <w:spacing w:after="0"/>
              <w:rPr>
                <w:sz w:val="2"/>
                <w:szCs w:val="2"/>
                <w:color w:val="auto"/>
              </w:rPr>
            </w:pPr>
          </w:p>
        </w:tc>
        <w:tc>
          <w:tcPr>
            <w:tcW w:w="920" w:type="dxa"/>
            <w:vAlign w:val="bottom"/>
            <w:tcBorders>
              <w:right w:val="single" w:sz="8" w:color="0000FF"/>
            </w:tcBorders>
            <w:gridSpan w:val="5"/>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rPr>
              <w:t>PART II. OTHER INFORMATION</w:t>
            </w:r>
          </w:p>
        </w:tc>
        <w:tc>
          <w:tcPr>
            <w:tcW w:w="5700" w:type="dxa"/>
            <w:vAlign w:val="bottom"/>
            <w:gridSpan w:val="13"/>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Item 1. Legal Proceedings</w:t>
            </w:r>
          </w:p>
        </w:tc>
        <w:tc>
          <w:tcPr>
            <w:tcW w:w="6140" w:type="dxa"/>
            <w:vAlign w:val="bottom"/>
            <w:gridSpan w:val="15"/>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2"/>
          </w:tcPr>
          <w:p>
            <w:pPr>
              <w:spacing w:after="0"/>
              <w:rPr>
                <w:sz w:val="20"/>
                <w:szCs w:val="20"/>
                <w:color w:val="auto"/>
              </w:rPr>
            </w:pPr>
            <w:r>
              <w:rPr>
                <w:rFonts w:ascii="Arial" w:cs="Arial" w:eastAsia="Arial" w:hAnsi="Arial"/>
                <w:sz w:val="16"/>
                <w:szCs w:val="16"/>
                <w:color w:val="0000FF"/>
              </w:rPr>
              <w:t>Item 1A. Risk Factors</w:t>
            </w:r>
          </w:p>
        </w:tc>
        <w:tc>
          <w:tcPr>
            <w:tcW w:w="720" w:type="dxa"/>
            <w:vAlign w:val="bottom"/>
          </w:tcPr>
          <w:p>
            <w:pPr>
              <w:spacing w:after="0"/>
              <w:rPr>
                <w:sz w:val="17"/>
                <w:szCs w:val="17"/>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920" w:type="dxa"/>
            <w:vAlign w:val="bottom"/>
            <w:gridSpan w:val="5"/>
            <w:vMerge w:val="restart"/>
          </w:tcPr>
          <w:p>
            <w:pPr>
              <w:jc w:val="center"/>
              <w:ind w:left="618"/>
              <w:spacing w:after="0"/>
              <w:rPr>
                <w:sz w:val="20"/>
                <w:szCs w:val="20"/>
                <w:color w:val="auto"/>
              </w:rPr>
            </w:pPr>
            <w:r>
              <w:rPr>
                <w:rFonts w:ascii="Arial" w:cs="Arial" w:eastAsia="Arial" w:hAnsi="Arial"/>
                <w:sz w:val="16"/>
                <w:szCs w:val="16"/>
                <w:color w:val="0000FF"/>
              </w:rPr>
              <w:t>33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20" w:type="dxa"/>
            <w:vAlign w:val="bottom"/>
            <w:gridSpan w:val="22"/>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92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tcBorders>
              <w:top w:val="single" w:sz="8" w:color="0000FF"/>
              <w:bottom w:val="single" w:sz="8" w:color="0000FF"/>
            </w:tcBorders>
            <w:gridSpan w:val="20"/>
          </w:tcPr>
          <w:p>
            <w:pPr>
              <w:spacing w:after="0"/>
              <w:rPr>
                <w:sz w:val="20"/>
                <w:szCs w:val="20"/>
                <w:color w:val="auto"/>
              </w:rPr>
            </w:pPr>
            <w:r>
              <w:rPr>
                <w:rFonts w:ascii="Arial" w:cs="Arial" w:eastAsia="Arial" w:hAnsi="Arial"/>
                <w:sz w:val="16"/>
                <w:szCs w:val="16"/>
                <w:color w:val="0000FF"/>
              </w:rPr>
              <w:t>Item 3. Defaults Upon Senior Securities</w:t>
            </w:r>
          </w:p>
        </w:tc>
        <w:tc>
          <w:tcPr>
            <w:tcW w:w="3100" w:type="dxa"/>
            <w:vAlign w:val="bottom"/>
            <w:tcBorders>
              <w:bottom w:val="single" w:sz="8" w:color="0000FF"/>
            </w:tcBorders>
            <w:gridSpan w:val="2"/>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top w:val="single" w:sz="8" w:color="0000FF"/>
              <w:bottom w:val="single" w:sz="8" w:color="0000FF"/>
            </w:tcBorders>
            <w:gridSpan w:val="4"/>
          </w:tcPr>
          <w:p>
            <w:pPr>
              <w:jc w:val="center"/>
              <w:ind w:right="20"/>
              <w:spacing w:after="0" w:line="203" w:lineRule="exact"/>
              <w:rPr>
                <w:sz w:val="20"/>
                <w:szCs w:val="20"/>
                <w:color w:val="auto"/>
              </w:rPr>
            </w:pPr>
            <w:r>
              <w:rPr>
                <w:rFonts w:ascii="Arial" w:cs="Arial" w:eastAsia="Arial" w:hAnsi="Arial"/>
                <w:sz w:val="18"/>
                <w:szCs w:val="18"/>
                <w:color w:val="0000FF"/>
                <w:w w:val="89"/>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bottom w:val="single" w:sz="8" w:color="0000FF"/>
            </w:tcBorders>
            <w:gridSpan w:val="8"/>
          </w:tcPr>
          <w:p>
            <w:pPr>
              <w:spacing w:after="0" w:line="183" w:lineRule="exact"/>
              <w:rPr>
                <w:sz w:val="20"/>
                <w:szCs w:val="20"/>
                <w:color w:val="auto"/>
              </w:rPr>
            </w:pPr>
            <w:r>
              <w:rPr>
                <w:rFonts w:ascii="Arial" w:cs="Arial" w:eastAsia="Arial" w:hAnsi="Arial"/>
                <w:sz w:val="16"/>
                <w:szCs w:val="16"/>
                <w:color w:val="0000FF"/>
              </w:rPr>
              <w:t>Item 4. Mine Safety Disclosures</w:t>
            </w:r>
          </w:p>
        </w:tc>
        <w:tc>
          <w:tcPr>
            <w:tcW w:w="5740" w:type="dxa"/>
            <w:vAlign w:val="bottom"/>
            <w:gridSpan w:val="14"/>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ind w:right="20"/>
              <w:spacing w:after="0" w:line="183" w:lineRule="exact"/>
              <w:rPr>
                <w:sz w:val="20"/>
                <w:szCs w:val="20"/>
                <w:color w:val="auto"/>
              </w:rPr>
            </w:pPr>
            <w:r>
              <w:rPr>
                <w:rFonts w:ascii="Arial" w:cs="Arial" w:eastAsia="Arial" w:hAnsi="Arial"/>
                <w:sz w:val="16"/>
                <w:szCs w:val="16"/>
                <w:color w:val="0000FF"/>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Item 5. Other Information</w:t>
            </w:r>
          </w:p>
        </w:tc>
        <w:tc>
          <w:tcPr>
            <w:tcW w:w="6220" w:type="dxa"/>
            <w:vAlign w:val="bottom"/>
            <w:gridSpan w:val="16"/>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20" w:type="dxa"/>
            <w:vAlign w:val="bottom"/>
            <w:gridSpan w:val="22"/>
          </w:tcPr>
          <w:p>
            <w:pPr>
              <w:spacing w:after="0"/>
              <w:rPr>
                <w:sz w:val="20"/>
                <w:szCs w:val="20"/>
                <w:color w:val="auto"/>
              </w:rPr>
            </w:pPr>
            <w:r>
              <w:rPr>
                <w:rFonts w:ascii="Arial" w:cs="Arial" w:eastAsia="Arial" w:hAnsi="Arial"/>
                <w:sz w:val="16"/>
                <w:szCs w:val="16"/>
                <w:color w:val="0000FF"/>
              </w:rPr>
              <w:t>Item 6. Exhibits</w:t>
            </w:r>
          </w:p>
        </w:tc>
        <w:tc>
          <w:tcPr>
            <w:tcW w:w="920" w:type="dxa"/>
            <w:vAlign w:val="bottom"/>
            <w:gridSpan w:val="5"/>
          </w:tcPr>
          <w:p>
            <w:pPr>
              <w:jc w:val="center"/>
              <w:ind w:left="618"/>
              <w:spacing w:after="0"/>
              <w:rPr>
                <w:sz w:val="20"/>
                <w:szCs w:val="20"/>
                <w:color w:val="auto"/>
              </w:rPr>
            </w:pPr>
            <w:r>
              <w:rPr>
                <w:rFonts w:ascii="Arial" w:cs="Arial" w:eastAsia="Arial" w:hAnsi="Arial"/>
                <w:sz w:val="16"/>
                <w:szCs w:val="16"/>
                <w:color w:val="0000FF"/>
              </w:rPr>
              <w:t>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920" w:type="dxa"/>
            <w:vAlign w:val="bottom"/>
            <w:gridSpan w:val="19"/>
          </w:tcPr>
          <w:p>
            <w:pPr>
              <w:spacing w:after="0"/>
              <w:rPr>
                <w:sz w:val="2"/>
                <w:szCs w:val="2"/>
                <w:color w:val="auto"/>
              </w:rPr>
            </w:pPr>
          </w:p>
        </w:tc>
        <w:tc>
          <w:tcPr>
            <w:tcW w:w="920" w:type="dxa"/>
            <w:vAlign w:val="bottom"/>
            <w:tcBorders>
              <w:right w:val="single" w:sz="8" w:color="0000FF"/>
            </w:tcBorders>
            <w:gridSpan w:val="5"/>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Signature</w:t>
            </w:r>
          </w:p>
        </w:tc>
        <w:tc>
          <w:tcPr>
            <w:tcW w:w="7380" w:type="dxa"/>
            <w:vAlign w:val="bottom"/>
            <w:gridSpan w:val="20"/>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0000FF"/>
            </w:tcBorders>
            <w:gridSpan w:val="4"/>
          </w:tcPr>
          <w:p>
            <w:pPr>
              <w:jc w:val="center"/>
              <w:ind w:right="20"/>
              <w:spacing w:after="0"/>
              <w:rPr>
                <w:sz w:val="20"/>
                <w:szCs w:val="20"/>
                <w:color w:val="auto"/>
              </w:rPr>
            </w:pPr>
            <w:r>
              <w:rPr>
                <w:rFonts w:ascii="Arial" w:cs="Arial" w:eastAsia="Arial" w:hAnsi="Arial"/>
                <w:sz w:val="16"/>
                <w:szCs w:val="16"/>
                <w:color w:val="0000FF"/>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Statements contained in this quarterly report on Form 10-Q, or this "Quarterly Report", regarding our expectations, beliefs, estimates, intentions or strategies are forward-looking statements within the meaning of Section 27A of the Securities Act of 1933 (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service revenue; cost of service revenue; research and development expenses; whether we will increase research and development spending relative to fiscal 2022; reducing unit costs and improving gross profit margin, or driving sustainable growth and increasing profitability and cash flow; new debt and interest expense; hiring of employees; sales and marketing expenses; general and administrative expenses in future periods; the impact of the COVID-19 pandemic; and the impact of foreign currency exchange rate and interest rate fluctuations.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4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 including the impacts of the COVID-19 pandemic;</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pressures, as well as supply chain shortages and disruptions, on our operating expenses;</w:t>
      </w:r>
    </w:p>
    <w:p>
      <w:pPr>
        <w:spacing w:after="0" w:line="99" w:lineRule="exact"/>
        <w:rPr>
          <w:rFonts w:ascii="Arial" w:cs="Arial" w:eastAsia="Arial" w:hAnsi="Arial"/>
          <w:sz w:val="16"/>
          <w:szCs w:val="16"/>
          <w:color w:val="auto"/>
        </w:rPr>
      </w:pPr>
    </w:p>
    <w:p>
      <w:pPr>
        <w:ind w:left="660" w:right="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new secured term loan due 2027 and new convertible senior notes due 2028, including the impact of increased interest expense and timing of any future repayments or refinancing on our stock price;</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spacing w:after="0" w:line="99" w:lineRule="exact"/>
        <w:rPr>
          <w:rFonts w:ascii="Arial" w:cs="Arial" w:eastAsia="Arial" w:hAnsi="Arial"/>
          <w:sz w:val="16"/>
          <w:szCs w:val="16"/>
          <w:color w:val="auto"/>
        </w:rPr>
      </w:pPr>
    </w:p>
    <w:p>
      <w:pPr>
        <w:ind w:left="660" w:right="560" w:hanging="328"/>
        <w:spacing w:after="0" w:line="27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ongoing volatility and conflict in the political and economic environment, including the impact of Russia’s invasion of Ukraine and any macro-economic impact that may have;</w:t>
      </w:r>
    </w:p>
    <w:p>
      <w:pPr>
        <w:spacing w:after="0" w:line="59" w:lineRule="exact"/>
        <w:rPr>
          <w:rFonts w:ascii="Arial" w:cs="Arial" w:eastAsia="Arial" w:hAnsi="Arial"/>
          <w:sz w:val="16"/>
          <w:szCs w:val="16"/>
          <w:color w:val="auto"/>
        </w:rPr>
      </w:pPr>
    </w:p>
    <w:p>
      <w:pPr>
        <w:ind w:left="660" w:right="1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 ("APIs");</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infrastructure of third-party network service providers;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any reduction in spending may not achieve the desired result or may result in a reduction in revenue;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the acquisition and integration of businesses we have acquired or may acquire in the future, including most recently, Fuze, Inc.;</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fluctuations in the value of the United States Dollar and other currencies that underlie our business transactions;</w:t>
      </w:r>
    </w:p>
    <w:p>
      <w:pPr>
        <w:spacing w:after="0" w:line="99" w:lineRule="exact"/>
        <w:rPr>
          <w:rFonts w:ascii="Arial" w:cs="Arial" w:eastAsia="Arial" w:hAnsi="Arial"/>
          <w:sz w:val="16"/>
          <w:szCs w:val="16"/>
          <w:color w:val="auto"/>
        </w:rPr>
      </w:pPr>
    </w:p>
    <w:p>
      <w:pPr>
        <w:ind w:left="660" w:right="70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remaining convertible senior notes due 2024 and the related capped call transactions, including the timing of any future repayment; and</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2022 (the "Form 10-K"), as modified by the "Risk Factors" section of this Quarterly Report,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2023 refers to the fiscal year ended March 31, 2023). Unless the context requires otherwise, references to "we," "us," "our," "8x8," and the "Company" refer to 8x8, Inc. and its consolidated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within this Quarterly Report are in thousands of United States Dollars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ITEM 1. Financial Statements</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25"/>
        </w:trPr>
        <w:tc>
          <w:tcPr>
            <w:tcW w:w="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60" w:type="dxa"/>
            <w:vAlign w:val="bottom"/>
            <w:gridSpan w:val="2"/>
          </w:tcPr>
          <w:p>
            <w:pPr>
              <w:jc w:val="right"/>
              <w:ind w:right="1320"/>
              <w:spacing w:after="0"/>
              <w:rPr>
                <w:sz w:val="20"/>
                <w:szCs w:val="20"/>
                <w:color w:val="auto"/>
              </w:rPr>
            </w:pPr>
            <w:r>
              <w:rPr>
                <w:rFonts w:ascii="Arial" w:cs="Arial" w:eastAsia="Arial" w:hAnsi="Arial"/>
                <w:sz w:val="16"/>
                <w:szCs w:val="16"/>
                <w:b w:val="1"/>
                <w:bCs w:val="1"/>
                <w:color w:val="auto"/>
              </w:rPr>
              <w:t>8X8, INC.</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9"/>
        </w:trPr>
        <w:tc>
          <w:tcPr>
            <w:tcW w:w="80" w:type="dxa"/>
            <w:vAlign w:val="bottom"/>
          </w:tcPr>
          <w:p>
            <w:pPr>
              <w:spacing w:after="0"/>
              <w:rPr>
                <w:sz w:val="18"/>
                <w:szCs w:val="18"/>
                <w:color w:val="auto"/>
              </w:rPr>
            </w:pPr>
          </w:p>
        </w:tc>
        <w:tc>
          <w:tcPr>
            <w:tcW w:w="7540" w:type="dxa"/>
            <w:vAlign w:val="bottom"/>
            <w:gridSpan w:val="3"/>
          </w:tcPr>
          <w:p>
            <w:pPr>
              <w:ind w:left="3600"/>
              <w:spacing w:after="0"/>
              <w:rPr>
                <w:sz w:val="20"/>
                <w:szCs w:val="20"/>
                <w:color w:val="auto"/>
              </w:rPr>
            </w:pPr>
            <w:r>
              <w:rPr>
                <w:rFonts w:ascii="Arial" w:cs="Arial" w:eastAsia="Arial" w:hAnsi="Arial"/>
                <w:sz w:val="16"/>
                <w:szCs w:val="16"/>
                <w:b w:val="1"/>
                <w:bCs w:val="1"/>
                <w:color w:val="auto"/>
              </w:rPr>
              <w:t>CONDENSED CONSOLIDATED BALANCE SHEETS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160" w:type="dxa"/>
            <w:vAlign w:val="bottom"/>
            <w:gridSpan w:val="2"/>
          </w:tcPr>
          <w:p>
            <w:pPr>
              <w:jc w:val="right"/>
              <w:ind w:right="1480"/>
              <w:spacing w:after="0"/>
              <w:rPr>
                <w:sz w:val="20"/>
                <w:szCs w:val="20"/>
                <w:color w:val="auto"/>
              </w:rPr>
            </w:pPr>
            <w:r>
              <w:rPr>
                <w:rFonts w:ascii="Arial" w:cs="Arial" w:eastAsia="Arial" w:hAnsi="Arial"/>
                <w:sz w:val="16"/>
                <w:szCs w:val="16"/>
                <w:color w:val="auto"/>
              </w:rPr>
              <w:t>(In thousands)</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6"/>
        </w:trPr>
        <w:tc>
          <w:tcPr>
            <w:tcW w:w="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2022</w:t>
            </w:r>
          </w:p>
        </w:tc>
      </w:tr>
      <w:tr>
        <w:trPr>
          <w:trHeight w:val="209"/>
        </w:trPr>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color w:val="auto"/>
              </w:rPr>
              <w:t>(unaudited)</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91,205</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Restricted cash, current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8,691</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44,845</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53,811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57,400</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sales commission costs, current</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35,482</w:t>
            </w:r>
          </w:p>
        </w:tc>
      </w:tr>
      <w:tr>
        <w:trPr>
          <w:trHeight w:val="213"/>
        </w:trPr>
        <w:tc>
          <w:tcPr>
            <w:tcW w:w="80" w:type="dxa"/>
            <w:vAlign w:val="bottom"/>
          </w:tcPr>
          <w:p>
            <w:pPr>
              <w:spacing w:after="0"/>
              <w:rPr>
                <w:sz w:val="18"/>
                <w:szCs w:val="18"/>
                <w:color w:val="auto"/>
              </w:rPr>
            </w:pPr>
          </w:p>
        </w:tc>
        <w:tc>
          <w:tcPr>
            <w:tcW w:w="4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2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37,999</w:t>
            </w:r>
          </w:p>
        </w:tc>
      </w:tr>
      <w:tr>
        <w:trPr>
          <w:trHeight w:val="213"/>
        </w:trPr>
        <w:tc>
          <w:tcPr>
            <w:tcW w:w="80" w:type="dxa"/>
            <w:vAlign w:val="bottom"/>
          </w:tcPr>
          <w:p>
            <w:pPr>
              <w:spacing w:after="0"/>
              <w:rPr>
                <w:sz w:val="18"/>
                <w:szCs w:val="18"/>
                <w:color w:val="auto"/>
              </w:rPr>
            </w:pPr>
          </w:p>
        </w:tc>
        <w:tc>
          <w:tcPr>
            <w:tcW w:w="43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275,622</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60,915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79,016</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63,415</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112,236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128,213</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266,867</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70,530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75,668</w:t>
            </w:r>
          </w:p>
        </w:tc>
      </w:tr>
      <w:tr>
        <w:trPr>
          <w:trHeight w:val="216"/>
        </w:trPr>
        <w:tc>
          <w:tcPr>
            <w:tcW w:w="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2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17,978</w:t>
            </w:r>
          </w:p>
        </w:tc>
      </w:tr>
      <w:tr>
        <w:trPr>
          <w:trHeight w:val="212"/>
        </w:trPr>
        <w:tc>
          <w:tcPr>
            <w:tcW w:w="80" w:type="dxa"/>
            <w:vAlign w:val="bottom"/>
          </w:tcPr>
          <w:p>
            <w:pPr>
              <w:spacing w:after="0"/>
              <w:rPr>
                <w:sz w:val="18"/>
                <w:szCs w:val="18"/>
                <w:color w:val="auto"/>
              </w:rPr>
            </w:pPr>
          </w:p>
        </w:tc>
        <w:tc>
          <w:tcPr>
            <w:tcW w:w="438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3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836,107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910,268</w:t>
            </w:r>
          </w:p>
        </w:tc>
      </w:tr>
      <w:tr>
        <w:trPr>
          <w:trHeight w:val="20"/>
        </w:trPr>
        <w:tc>
          <w:tcPr>
            <w:tcW w:w="80" w:type="dxa"/>
            <w:vAlign w:val="bottom"/>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5"/>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40,632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49,721</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36,319</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31,079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32,573</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15,485</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Deferred revenue, current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34,207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34,262</w:t>
            </w:r>
          </w:p>
        </w:tc>
      </w:tr>
      <w:tr>
        <w:trPr>
          <w:trHeight w:val="216"/>
        </w:trPr>
        <w:tc>
          <w:tcPr>
            <w:tcW w:w="8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2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23,167</w:t>
            </w:r>
          </w:p>
        </w:tc>
      </w:tr>
      <w:tr>
        <w:trPr>
          <w:trHeight w:val="209"/>
        </w:trPr>
        <w:tc>
          <w:tcPr>
            <w:tcW w:w="80" w:type="dxa"/>
            <w:vAlign w:val="bottom"/>
          </w:tcPr>
          <w:p>
            <w:pPr>
              <w:spacing w:after="0"/>
              <w:rPr>
                <w:sz w:val="18"/>
                <w:szCs w:val="18"/>
                <w:color w:val="auto"/>
              </w:rPr>
            </w:pPr>
          </w:p>
        </w:tc>
        <w:tc>
          <w:tcPr>
            <w:tcW w:w="438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164,769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191,527</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74,518</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Convertible senior notes</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264,443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447,452</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11,430</w:t>
            </w:r>
          </w:p>
        </w:tc>
      </w:tr>
      <w:tr>
        <w:trPr>
          <w:trHeight w:val="216"/>
        </w:trPr>
        <w:tc>
          <w:tcPr>
            <w:tcW w:w="8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r>
      <w:tr>
        <w:trPr>
          <w:trHeight w:val="210"/>
        </w:trPr>
        <w:tc>
          <w:tcPr>
            <w:tcW w:w="80" w:type="dxa"/>
            <w:vAlign w:val="bottom"/>
          </w:tcPr>
          <w:p>
            <w:pPr>
              <w:spacing w:after="0"/>
              <w:rPr>
                <w:sz w:val="18"/>
                <w:szCs w:val="18"/>
                <w:color w:val="auto"/>
              </w:rPr>
            </w:pPr>
          </w:p>
        </w:tc>
        <w:tc>
          <w:tcPr>
            <w:tcW w:w="43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2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746,080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727,902</w:t>
            </w:r>
          </w:p>
        </w:tc>
      </w:tr>
      <w:tr>
        <w:trPr>
          <w:trHeight w:val="199"/>
        </w:trPr>
        <w:tc>
          <w:tcPr>
            <w:tcW w:w="80" w:type="dxa"/>
            <w:vAlign w:val="bottom"/>
          </w:tcPr>
          <w:p>
            <w:pPr>
              <w:spacing w:after="0"/>
              <w:rPr>
                <w:sz w:val="17"/>
                <w:szCs w:val="17"/>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2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8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956,599</w:t>
            </w:r>
          </w:p>
        </w:tc>
      </w:tr>
      <w:tr>
        <w:trPr>
          <w:trHeight w:val="213"/>
        </w:trPr>
        <w:tc>
          <w:tcPr>
            <w:tcW w:w="8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(7,913)</w:t>
            </w:r>
          </w:p>
        </w:tc>
      </w:tr>
      <w:tr>
        <w:trPr>
          <w:trHeight w:val="216"/>
        </w:trPr>
        <w:tc>
          <w:tcPr>
            <w:tcW w:w="80" w:type="dxa"/>
            <w:vAlign w:val="bottom"/>
          </w:tcPr>
          <w:p>
            <w:pPr>
              <w:spacing w:after="0"/>
              <w:rPr>
                <w:sz w:val="18"/>
                <w:szCs w:val="18"/>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2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(783,478)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(766,438)</w:t>
            </w:r>
          </w:p>
        </w:tc>
      </w:tr>
      <w:tr>
        <w:trPr>
          <w:trHeight w:val="210"/>
        </w:trPr>
        <w:tc>
          <w:tcPr>
            <w:tcW w:w="80" w:type="dxa"/>
            <w:vAlign w:val="bottom"/>
          </w:tcPr>
          <w:p>
            <w:pPr>
              <w:spacing w:after="0"/>
              <w:rPr>
                <w:sz w:val="18"/>
                <w:szCs w:val="18"/>
                <w:color w:val="auto"/>
              </w:rPr>
            </w:pPr>
          </w:p>
        </w:tc>
        <w:tc>
          <w:tcPr>
            <w:tcW w:w="43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equity</w:t>
            </w:r>
          </w:p>
        </w:tc>
        <w:tc>
          <w:tcPr>
            <w:tcW w:w="2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182,366</w:t>
            </w:r>
          </w:p>
        </w:tc>
      </w:tr>
      <w:tr>
        <w:trPr>
          <w:trHeight w:val="233"/>
        </w:trPr>
        <w:tc>
          <w:tcPr>
            <w:tcW w:w="80" w:type="dxa"/>
            <w:vAlign w:val="bottom"/>
          </w:tcPr>
          <w:p>
            <w:pPr>
              <w:spacing w:after="0"/>
              <w:rPr>
                <w:sz w:val="20"/>
                <w:szCs w:val="20"/>
                <w:color w:val="auto"/>
              </w:rPr>
            </w:pPr>
          </w:p>
        </w:tc>
        <w:tc>
          <w:tcPr>
            <w:tcW w:w="438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3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836,107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910,268</w:t>
            </w:r>
          </w:p>
        </w:tc>
      </w:tr>
      <w:tr>
        <w:trPr>
          <w:trHeight w:val="20"/>
        </w:trPr>
        <w:tc>
          <w:tcPr>
            <w:tcW w:w="8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68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758"/>
        </w:trPr>
        <w:tc>
          <w:tcPr>
            <w:tcW w:w="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5"/>
          </w:tcPr>
          <w:p>
            <w:pPr>
              <w:jc w:val="center"/>
              <w:ind w:left="739"/>
              <w:spacing w:after="0"/>
              <w:rPr>
                <w:sz w:val="20"/>
                <w:szCs w:val="20"/>
                <w:color w:val="auto"/>
              </w:rPr>
            </w:pPr>
            <w:r>
              <w:rPr>
                <w:rFonts w:ascii="Arial" w:cs="Arial" w:eastAsia="Arial" w:hAnsi="Arial"/>
                <w:sz w:val="16"/>
                <w:szCs w:val="16"/>
                <w:b w:val="1"/>
                <w:bCs w:val="1"/>
                <w:color w:val="auto"/>
              </w:rPr>
              <w:t>8X8, INC.</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0" w:type="dxa"/>
            <w:vAlign w:val="bottom"/>
            <w:gridSpan w:val="13"/>
          </w:tcPr>
          <w:p>
            <w:pPr>
              <w:jc w:val="center"/>
              <w:ind w:left="185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gridSpan w:val="9"/>
          </w:tcPr>
          <w:p>
            <w:pPr>
              <w:jc w:val="center"/>
              <w:spacing w:after="0"/>
              <w:rPr>
                <w:sz w:val="20"/>
                <w:szCs w:val="20"/>
                <w:color w:val="auto"/>
              </w:rPr>
            </w:pPr>
            <w:r>
              <w:rPr>
                <w:rFonts w:ascii="Arial" w:cs="Arial" w:eastAsia="Arial" w:hAnsi="Arial"/>
                <w:sz w:val="16"/>
                <w:szCs w:val="16"/>
                <w:color w:val="auto"/>
              </w:rPr>
              <w:t>(Unaudited, in thousands except per share amounts)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27"/>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439"/>
              <w:spacing w:after="0"/>
              <w:rPr>
                <w:sz w:val="20"/>
                <w:szCs w:val="20"/>
                <w:color w:val="auto"/>
              </w:rPr>
            </w:pPr>
            <w:r>
              <w:rPr>
                <w:rFonts w:ascii="Arial" w:cs="Arial" w:eastAsia="Arial" w:hAnsi="Arial"/>
                <w:sz w:val="16"/>
                <w:szCs w:val="16"/>
                <w:b w:val="1"/>
                <w:bCs w:val="1"/>
                <w:color w:val="auto"/>
              </w:rPr>
              <w:t>Three Months Ended December 31,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r>
      <w:tr>
        <w:trPr>
          <w:trHeight w:val="210"/>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175,765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149,396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533,482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429,568</w:t>
            </w:r>
          </w:p>
        </w:tc>
        <w:tc>
          <w:tcPr>
            <w:tcW w:w="60" w:type="dxa"/>
            <w:vAlign w:val="bottom"/>
            <w:shd w:val="clear" w:color="auto" w:fill="CCEEFF"/>
          </w:tcPr>
          <w:p>
            <w:pPr>
              <w:spacing w:after="0"/>
              <w:rPr>
                <w:sz w:val="18"/>
                <w:szCs w:val="18"/>
                <w:color w:val="auto"/>
              </w:rPr>
            </w:pPr>
          </w:p>
        </w:tc>
      </w:tr>
      <w:tr>
        <w:trPr>
          <w:trHeight w:val="213"/>
        </w:trPr>
        <w:tc>
          <w:tcPr>
            <w:tcW w:w="36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revenue</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27,190</w:t>
            </w:r>
          </w:p>
        </w:tc>
        <w:tc>
          <w:tcPr>
            <w:tcW w:w="60" w:type="dxa"/>
            <w:vAlign w:val="bottom"/>
            <w:tcBorders>
              <w:bottom w:val="single" w:sz="8" w:color="auto"/>
            </w:tcBorders>
          </w:tcPr>
          <w:p>
            <w:pPr>
              <w:spacing w:after="0"/>
              <w:rPr>
                <w:sz w:val="18"/>
                <w:szCs w:val="18"/>
                <w:color w:val="auto"/>
              </w:rPr>
            </w:pPr>
          </w:p>
        </w:tc>
      </w:tr>
      <w:tr>
        <w:trPr>
          <w:trHeight w:val="213"/>
        </w:trPr>
        <w:tc>
          <w:tcPr>
            <w:tcW w:w="8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184,400</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156,874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456,758</w:t>
            </w:r>
          </w:p>
        </w:tc>
        <w:tc>
          <w:tcPr>
            <w:tcW w:w="60" w:type="dxa"/>
            <w:vAlign w:val="bottom"/>
            <w:tcBorders>
              <w:bottom w:val="single" w:sz="8" w:color="auto"/>
            </w:tcBorders>
            <w:shd w:val="clear" w:color="auto" w:fill="CCEEFF"/>
          </w:tcPr>
          <w:p>
            <w:pPr>
              <w:spacing w:after="0"/>
              <w:rPr>
                <w:sz w:val="18"/>
                <w:szCs w:val="18"/>
                <w:color w:val="auto"/>
              </w:rPr>
            </w:pPr>
          </w:p>
        </w:tc>
      </w:tr>
      <w:tr>
        <w:trPr>
          <w:trHeight w:val="193"/>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9"/>
        </w:trPr>
        <w:tc>
          <w:tcPr>
            <w:tcW w:w="8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Cost of service revenue</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151,920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141,971</w:t>
            </w:r>
          </w:p>
        </w:tc>
        <w:tc>
          <w:tcPr>
            <w:tcW w:w="60" w:type="dxa"/>
            <w:vAlign w:val="bottom"/>
            <w:shd w:val="clear" w:color="auto" w:fill="CCEEFF"/>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6"/>
                <w:szCs w:val="16"/>
                <w:color w:val="auto"/>
              </w:rPr>
              <w:t>Cost of other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34,302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37,086</w:t>
            </w:r>
          </w:p>
        </w:tc>
        <w:tc>
          <w:tcPr>
            <w:tcW w:w="60" w:type="dxa"/>
            <w:vAlign w:val="bottom"/>
          </w:tcPr>
          <w:p>
            <w:pPr>
              <w:spacing w:after="0"/>
              <w:rPr>
                <w:sz w:val="18"/>
                <w:szCs w:val="18"/>
                <w:color w:val="auto"/>
              </w:rPr>
            </w:pPr>
          </w:p>
        </w:tc>
      </w:tr>
      <w:tr>
        <w:trPr>
          <w:trHeight w:val="219"/>
        </w:trPr>
        <w:tc>
          <w:tcPr>
            <w:tcW w:w="8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109,765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81,801</w:t>
            </w:r>
          </w:p>
        </w:tc>
        <w:tc>
          <w:tcPr>
            <w:tcW w:w="60" w:type="dxa"/>
            <w:vAlign w:val="bottom"/>
            <w:shd w:val="clear" w:color="auto" w:fill="CCEEFF"/>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76,797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243,035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229,438</w:t>
            </w:r>
          </w:p>
        </w:tc>
        <w:tc>
          <w:tcPr>
            <w:tcW w:w="60" w:type="dxa"/>
            <w:vAlign w:val="bottom"/>
          </w:tcPr>
          <w:p>
            <w:pPr>
              <w:spacing w:after="0"/>
              <w:rPr>
                <w:sz w:val="18"/>
                <w:szCs w:val="18"/>
                <w:color w:val="auto"/>
              </w:rPr>
            </w:pPr>
          </w:p>
        </w:tc>
      </w:tr>
      <w:tr>
        <w:trPr>
          <w:trHeight w:val="216"/>
        </w:trPr>
        <w:tc>
          <w:tcPr>
            <w:tcW w:w="8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27,158</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29,950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80,064</w:t>
            </w:r>
          </w:p>
        </w:tc>
        <w:tc>
          <w:tcPr>
            <w:tcW w:w="60" w:type="dxa"/>
            <w:vAlign w:val="bottom"/>
            <w:tcBorders>
              <w:bottom w:val="single" w:sz="8" w:color="auto"/>
            </w:tcBorders>
            <w:shd w:val="clear" w:color="auto" w:fill="CCEEFF"/>
          </w:tcPr>
          <w:p>
            <w:pPr>
              <w:spacing w:after="0"/>
              <w:rPr>
                <w:sz w:val="18"/>
                <w:szCs w:val="18"/>
                <w:color w:val="auto"/>
              </w:rPr>
            </w:pPr>
          </w:p>
        </w:tc>
      </w:tr>
      <w:tr>
        <w:trPr>
          <w:trHeight w:val="209"/>
        </w:trPr>
        <w:tc>
          <w:tcPr>
            <w:tcW w:w="8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202,481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194,492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629,234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570,360</w:t>
            </w:r>
          </w:p>
        </w:tc>
        <w:tc>
          <w:tcPr>
            <w:tcW w:w="60" w:type="dxa"/>
            <w:vAlign w:val="bottom"/>
            <w:tcBorders>
              <w:bottom w:val="single" w:sz="8" w:color="auto"/>
            </w:tcBorders>
          </w:tcPr>
          <w:p>
            <w:pPr>
              <w:spacing w:after="0"/>
              <w:rPr>
                <w:sz w:val="18"/>
                <w:szCs w:val="18"/>
                <w:color w:val="auto"/>
              </w:rPr>
            </w:pPr>
          </w:p>
        </w:tc>
      </w:tr>
      <w:tr>
        <w:trPr>
          <w:trHeight w:val="212"/>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(69,825)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(113,602)</w:t>
            </w:r>
          </w:p>
        </w:tc>
      </w:tr>
      <w:tr>
        <w:trPr>
          <w:trHeight w:val="213"/>
        </w:trPr>
        <w:tc>
          <w:tcPr>
            <w:tcW w:w="8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(15,623)</w:t>
            </w:r>
          </w:p>
        </w:tc>
      </w:tr>
      <w:tr>
        <w:trPr>
          <w:trHeight w:val="212"/>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(62,671)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(129,225)</w:t>
            </w:r>
          </w:p>
        </w:tc>
      </w:tr>
      <w:tr>
        <w:trPr>
          <w:trHeight w:val="213"/>
        </w:trPr>
        <w:tc>
          <w:tcPr>
            <w:tcW w:w="8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60" w:type="dxa"/>
            <w:vAlign w:val="bottom"/>
            <w:tcBorders>
              <w:bottom w:val="single" w:sz="8" w:color="auto"/>
            </w:tcBorders>
          </w:tcPr>
          <w:p>
            <w:pPr>
              <w:spacing w:after="0"/>
              <w:rPr>
                <w:sz w:val="18"/>
                <w:szCs w:val="18"/>
                <w:color w:val="auto"/>
              </w:rPr>
            </w:pPr>
          </w:p>
        </w:tc>
      </w:tr>
      <w:tr>
        <w:trPr>
          <w:trHeight w:val="233"/>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(26,030)</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(129,801)</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8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6"/>
                <w:szCs w:val="16"/>
                <w:color w:val="auto"/>
              </w:rPr>
              <w:t>Basic and diluted</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(0.38)</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(1.16)</w:t>
            </w:r>
          </w:p>
        </w:tc>
      </w:tr>
      <w:tr>
        <w:trPr>
          <w:trHeight w:val="21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80" w:type="dxa"/>
            <w:vAlign w:val="bottom"/>
          </w:tcPr>
          <w:p>
            <w:pPr>
              <w:spacing w:after="0"/>
              <w:rPr>
                <w:sz w:val="18"/>
                <w:szCs w:val="18"/>
                <w:color w:val="auto"/>
              </w:rPr>
            </w:pPr>
          </w:p>
        </w:tc>
        <w:tc>
          <w:tcPr>
            <w:tcW w:w="3600" w:type="dxa"/>
            <w:vAlign w:val="bottom"/>
            <w:gridSpan w:val="2"/>
          </w:tcPr>
          <w:p>
            <w:pPr>
              <w:ind w:left="160"/>
              <w:spacing w:after="0"/>
              <w:rPr>
                <w:sz w:val="20"/>
                <w:szCs w:val="20"/>
                <w:color w:val="auto"/>
              </w:rPr>
            </w:pPr>
            <w:r>
              <w:rPr>
                <w:rFonts w:ascii="Arial" w:cs="Arial" w:eastAsia="Arial" w:hAnsi="Arial"/>
                <w:sz w:val="16"/>
                <w:szCs w:val="16"/>
                <w:color w:val="auto"/>
              </w:rPr>
              <w:t>Basic and diluted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113,201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113,510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116,298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111,960</w:t>
            </w:r>
          </w:p>
        </w:tc>
        <w:tc>
          <w:tcPr>
            <w:tcW w:w="60" w:type="dxa"/>
            <w:vAlign w:val="bottom"/>
          </w:tcPr>
          <w:p>
            <w:pPr>
              <w:spacing w:after="0"/>
              <w:rPr>
                <w:sz w:val="18"/>
                <w:szCs w:val="18"/>
                <w:color w:val="auto"/>
              </w:rPr>
            </w:pPr>
          </w:p>
        </w:tc>
      </w:tr>
      <w:tr>
        <w:trPr>
          <w:trHeight w:val="1056"/>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6"/>
          </w:tcPr>
          <w:p>
            <w:pPr>
              <w:jc w:val="right"/>
              <w:ind w:right="279"/>
              <w:spacing w:after="0"/>
              <w:rPr>
                <w:sz w:val="20"/>
                <w:szCs w:val="20"/>
                <w:color w:val="auto"/>
              </w:rPr>
            </w:pPr>
            <w:r>
              <w:rPr>
                <w:rFonts w:ascii="Arial" w:cs="Arial" w:eastAsia="Arial" w:hAnsi="Arial"/>
                <w:sz w:val="16"/>
                <w:szCs w:val="16"/>
                <w:b w:val="1"/>
                <w:bCs w:val="1"/>
                <w:color w:val="auto"/>
              </w:rPr>
              <w:t>Three Months Ended 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7"/>
          </w:tcPr>
          <w:p>
            <w:pPr>
              <w:jc w:val="right"/>
              <w:ind w:right="520"/>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80" w:type="dxa"/>
            <w:vAlign w:val="bottom"/>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(13,115)</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60" w:type="dxa"/>
            <w:vAlign w:val="bottom"/>
          </w:tcPr>
          <w:p>
            <w:pPr>
              <w:spacing w:after="0"/>
              <w:rPr>
                <w:sz w:val="18"/>
                <w:szCs w:val="18"/>
                <w:color w:val="auto"/>
              </w:rPr>
            </w:pPr>
          </w:p>
        </w:tc>
      </w:tr>
      <w:tr>
        <w:trPr>
          <w:trHeight w:val="213"/>
        </w:trPr>
        <w:tc>
          <w:tcPr>
            <w:tcW w:w="8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(3,136)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(13,389)</w:t>
            </w:r>
          </w:p>
        </w:tc>
        <w:tc>
          <w:tcPr>
            <w:tcW w:w="60" w:type="dxa"/>
            <w:vAlign w:val="bottom"/>
          </w:tcPr>
          <w:p>
            <w:pPr>
              <w:spacing w:after="0"/>
              <w:rPr>
                <w:sz w:val="18"/>
                <w:szCs w:val="18"/>
                <w:color w:val="auto"/>
              </w:rPr>
            </w:pPr>
          </w:p>
        </w:tc>
      </w:tr>
      <w:tr>
        <w:trPr>
          <w:trHeight w:val="219"/>
        </w:trPr>
        <w:tc>
          <w:tcPr>
            <w:tcW w:w="8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warrants remeasurement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Gain on debt extinguishment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2,144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8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sale of assets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Gain (loss) on foreign exchange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(747)</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18"/>
                <w:szCs w:val="18"/>
                <w:color w:val="auto"/>
              </w:rPr>
            </w:pPr>
          </w:p>
        </w:tc>
      </w:tr>
      <w:tr>
        <w:trPr>
          <w:trHeight w:val="213"/>
        </w:trPr>
        <w:tc>
          <w:tcPr>
            <w:tcW w:w="8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(7,912)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(5,866)</w:t>
            </w:r>
          </w:p>
        </w:tc>
        <w:tc>
          <w:tcPr>
            <w:tcW w:w="5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7,154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(15,623)</w:t>
            </w:r>
          </w:p>
        </w:tc>
        <w:tc>
          <w:tcPr>
            <w:tcW w:w="60" w:type="dxa"/>
            <w:vAlign w:val="bottom"/>
          </w:tcPr>
          <w:p>
            <w:pPr>
              <w:spacing w:after="0"/>
              <w:rPr>
                <w:sz w:val="18"/>
                <w:szCs w:val="18"/>
                <w:color w:val="auto"/>
              </w:rPr>
            </w:pPr>
          </w:p>
        </w:tc>
      </w:tr>
      <w:tr>
        <w:trPr>
          <w:trHeight w:val="21"/>
        </w:trPr>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758"/>
        </w:trPr>
        <w:tc>
          <w:tcPr>
            <w:tcW w:w="1260" w:type="dxa"/>
            <w:vAlign w:val="bottom"/>
            <w:tcBorders>
              <w:top w:val="single" w:sz="8" w:color="0000FF"/>
            </w:tcBorders>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8X8, INC.</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5"/>
        </w:trPr>
        <w:tc>
          <w:tcPr>
            <w:tcW w:w="1260" w:type="dxa"/>
            <w:vAlign w:val="bottom"/>
          </w:tcPr>
          <w:p>
            <w:pPr>
              <w:spacing w:after="0"/>
              <w:rPr>
                <w:sz w:val="18"/>
                <w:szCs w:val="18"/>
                <w:color w:val="auto"/>
              </w:rPr>
            </w:pPr>
          </w:p>
        </w:tc>
        <w:tc>
          <w:tcPr>
            <w:tcW w:w="8240" w:type="dxa"/>
            <w:vAlign w:val="bottom"/>
            <w:gridSpan w:val="9"/>
          </w:tcPr>
          <w:p>
            <w:pPr>
              <w:ind w:left="1520"/>
              <w:spacing w:after="0"/>
              <w:rPr>
                <w:sz w:val="20"/>
                <w:szCs w:val="20"/>
                <w:color w:val="auto"/>
              </w:rPr>
            </w:pPr>
            <w:r>
              <w:rPr>
                <w:rFonts w:ascii="Arial" w:cs="Arial" w:eastAsia="Arial" w:hAnsi="Arial"/>
                <w:sz w:val="16"/>
                <w:szCs w:val="16"/>
                <w:b w:val="1"/>
                <w:bCs w:val="1"/>
                <w:color w:val="auto"/>
              </w:rPr>
              <w:t>CONDENSED CONSOLIDATED STATEMENTS OF COMPREHENSIVE LOSS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12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3"/>
          </w:tcPr>
          <w:p>
            <w:pPr>
              <w:jc w:val="right"/>
              <w:spacing w:after="0"/>
              <w:rPr>
                <w:sz w:val="20"/>
                <w:szCs w:val="20"/>
                <w:color w:val="auto"/>
              </w:rPr>
            </w:pPr>
            <w:r>
              <w:rPr>
                <w:rFonts w:ascii="Arial" w:cs="Arial" w:eastAsia="Arial" w:hAnsi="Arial"/>
                <w:sz w:val="16"/>
                <w:szCs w:val="16"/>
                <w:color w:val="auto"/>
              </w:rPr>
              <w:t>(Unaudited, in thousands)</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27"/>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December 31,</w:t>
            </w: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126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95"/>
              </w:rPr>
              <w:t>2021</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(129,801)</w:t>
            </w: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Unrealized loss on investments in securities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4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(6,688)</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(42,739)</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(70,530)</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(130,883)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8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900" w:type="dxa"/>
            <w:vAlign w:val="bottom"/>
          </w:tcPr>
          <w:p>
            <w:pPr>
              <w:spacing w:after="0"/>
              <w:rPr>
                <w:sz w:val="10"/>
                <w:szCs w:val="10"/>
                <w:color w:val="auto"/>
              </w:rPr>
            </w:pPr>
          </w:p>
        </w:tc>
        <w:tc>
          <w:tcPr>
            <w:tcW w:w="208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308"/>
              <w:spacing w:after="0" w:line="116"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40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160" w:type="dxa"/>
            <w:vAlign w:val="bottom"/>
          </w:tcPr>
          <w:p>
            <w:pPr>
              <w:jc w:val="right"/>
              <w:ind w:right="148"/>
              <w:spacing w:after="0" w:line="116"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117,863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956,599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(766,438)</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182,366</w:t>
            </w: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Adjustment related to adoption of ASU 2020-06</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(92,832)</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46,672</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(46,160)</w:t>
            </w:r>
          </w:p>
        </w:tc>
        <w:tc>
          <w:tcPr>
            <w:tcW w:w="0" w:type="dxa"/>
            <w:vAlign w:val="bottom"/>
          </w:tcPr>
          <w:p>
            <w:pPr>
              <w:spacing w:after="0"/>
              <w:rPr>
                <w:sz w:val="1"/>
                <w:szCs w:val="1"/>
                <w:color w:val="auto"/>
              </w:rPr>
            </w:pPr>
          </w:p>
        </w:tc>
      </w:tr>
      <w:tr>
        <w:trPr>
          <w:trHeight w:val="159"/>
        </w:trPr>
        <w:tc>
          <w:tcPr>
            <w:tcW w:w="390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Issuance of common stock under stock plans, less</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1,796</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withholding</w:t>
            </w:r>
          </w:p>
        </w:tc>
        <w:tc>
          <w:tcPr>
            <w:tcW w:w="11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31,807</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31,807</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investment loss</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(8,384)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(8,419)</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(26,043)</w:t>
            </w: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(26,043)</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119,659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895,602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(16,391)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(745,809)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133,522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rPr>
              <w:t>Issuance of common stock under stock plans, less</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1,047</w:t>
            </w: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0"/>
                <w:szCs w:val="10"/>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withholding</w:t>
            </w:r>
          </w:p>
        </w:tc>
        <w:tc>
          <w:tcPr>
            <w:tcW w:w="11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40"/>
              <w:spacing w:after="0"/>
              <w:rPr>
                <w:sz w:val="20"/>
                <w:szCs w:val="20"/>
                <w:color w:val="auto"/>
              </w:rPr>
            </w:pPr>
            <w:r>
              <w:rPr>
                <w:rFonts w:ascii="Arial" w:cs="Arial" w:eastAsia="Arial" w:hAnsi="Arial"/>
                <w:sz w:val="14"/>
                <w:szCs w:val="14"/>
                <w:color w:val="auto"/>
              </w:rPr>
              <w:t>ESPP share issuance</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1,648</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24,936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24,936</w:t>
            </w:r>
          </w:p>
        </w:tc>
        <w:tc>
          <w:tcPr>
            <w:tcW w:w="0" w:type="dxa"/>
            <w:vAlign w:val="bottom"/>
          </w:tcPr>
          <w:p>
            <w:pPr>
              <w:spacing w:after="0"/>
              <w:rPr>
                <w:sz w:val="1"/>
                <w:szCs w:val="1"/>
                <w:color w:val="auto"/>
              </w:rPr>
            </w:pPr>
          </w:p>
        </w:tc>
      </w:tr>
      <w:tr>
        <w:trPr>
          <w:trHeight w:val="196"/>
        </w:trPr>
        <w:tc>
          <w:tcPr>
            <w:tcW w:w="3900" w:type="dxa"/>
            <w:vAlign w:val="bottom"/>
          </w:tcPr>
          <w:p>
            <w:pPr>
              <w:ind w:left="240"/>
              <w:spacing w:after="0"/>
              <w:rPr>
                <w:sz w:val="20"/>
                <w:szCs w:val="20"/>
                <w:color w:val="auto"/>
              </w:rPr>
            </w:pPr>
            <w:r>
              <w:rPr>
                <w:rFonts w:ascii="Arial" w:cs="Arial" w:eastAsia="Arial" w:hAnsi="Arial"/>
                <w:sz w:val="14"/>
                <w:szCs w:val="14"/>
                <w:color w:val="auto"/>
              </w:rPr>
              <w:t>Shares repurchase</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(10,695)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(60,203)</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(60,214)</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 issued for debt issuance</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5,082</w:t>
            </w:r>
          </w:p>
        </w:tc>
        <w:tc>
          <w:tcPr>
            <w:tcW w:w="0" w:type="dxa"/>
            <w:vAlign w:val="bottom"/>
          </w:tcPr>
          <w:p>
            <w:pPr>
              <w:spacing w:after="0"/>
              <w:rPr>
                <w:sz w:val="1"/>
                <w:szCs w:val="1"/>
                <w:color w:val="auto"/>
              </w:rPr>
            </w:pPr>
          </w:p>
        </w:tc>
      </w:tr>
      <w:tr>
        <w:trPr>
          <w:trHeight w:val="196"/>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loss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(11,639)</w:t>
            </w:r>
          </w:p>
        </w:tc>
        <w:tc>
          <w:tcPr>
            <w:tcW w:w="0" w:type="dxa"/>
            <w:vAlign w:val="bottom"/>
          </w:tcPr>
          <w:p>
            <w:pPr>
              <w:spacing w:after="0"/>
              <w:rPr>
                <w:sz w:val="1"/>
                <w:szCs w:val="1"/>
                <w:color w:val="auto"/>
              </w:rPr>
            </w:pPr>
          </w:p>
        </w:tc>
      </w:tr>
      <w:tr>
        <w:trPr>
          <w:trHeight w:val="22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111,445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867,063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(757,448)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84,782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40"/>
              <w:spacing w:after="0" w:line="141" w:lineRule="exact"/>
              <w:rPr>
                <w:sz w:val="20"/>
                <w:szCs w:val="20"/>
                <w:color w:val="auto"/>
              </w:rPr>
            </w:pPr>
            <w:r>
              <w:rPr>
                <w:rFonts w:ascii="Arial" w:cs="Arial" w:eastAsia="Arial" w:hAnsi="Arial"/>
                <w:sz w:val="14"/>
                <w:szCs w:val="14"/>
                <w:color w:val="auto"/>
              </w:rPr>
              <w:t>Issuance of common stock under stock plans, less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900" w:type="dxa"/>
            <w:vAlign w:val="bottom"/>
            <w:vMerge w:val="continue"/>
          </w:tcPr>
          <w:p>
            <w:pPr>
              <w:spacing w:after="0"/>
              <w:rPr>
                <w:sz w:val="8"/>
                <w:szCs w:val="8"/>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1,390</w:t>
            </w:r>
          </w:p>
        </w:tc>
        <w:tc>
          <w:tcPr>
            <w:tcW w:w="200" w:type="dxa"/>
            <w:vAlign w:val="bottom"/>
          </w:tcPr>
          <w:p>
            <w:pPr>
              <w:spacing w:after="0"/>
              <w:rPr>
                <w:sz w:val="8"/>
                <w:szCs w:val="8"/>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8"/>
                <w:szCs w:val="8"/>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8"/>
                <w:szCs w:val="8"/>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8"/>
        </w:trPr>
        <w:tc>
          <w:tcPr>
            <w:tcW w:w="3900" w:type="dxa"/>
            <w:vAlign w:val="bottom"/>
          </w:tcPr>
          <w:p>
            <w:pPr>
              <w:ind w:left="240"/>
              <w:spacing w:after="0"/>
              <w:rPr>
                <w:sz w:val="20"/>
                <w:szCs w:val="20"/>
                <w:color w:val="auto"/>
              </w:rPr>
            </w:pPr>
            <w:r>
              <w:rPr>
                <w:rFonts w:ascii="Arial" w:cs="Arial" w:eastAsia="Arial" w:hAnsi="Arial"/>
                <w:sz w:val="14"/>
                <w:szCs w:val="14"/>
                <w:color w:val="auto"/>
              </w:rPr>
              <w:t>withholding</w:t>
            </w: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21,061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21,061</w:t>
            </w:r>
          </w:p>
        </w:tc>
        <w:tc>
          <w:tcPr>
            <w:tcW w:w="0" w:type="dxa"/>
            <w:vAlign w:val="bottom"/>
          </w:tcPr>
          <w:p>
            <w:pPr>
              <w:spacing w:after="0"/>
              <w:rPr>
                <w:sz w:val="1"/>
                <w:szCs w:val="1"/>
                <w:color w:val="auto"/>
              </w:rPr>
            </w:pPr>
          </w:p>
        </w:tc>
      </w:tr>
      <w:tr>
        <w:trPr>
          <w:trHeight w:val="196"/>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loss</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w:t>
            </w:r>
          </w:p>
        </w:tc>
        <w:tc>
          <w:tcPr>
            <w:tcW w:w="0" w:type="dxa"/>
            <w:vAlign w:val="bottom"/>
          </w:tcPr>
          <w:p>
            <w:pPr>
              <w:spacing w:after="0"/>
              <w:rPr>
                <w:sz w:val="1"/>
                <w:szCs w:val="1"/>
                <w:color w:val="auto"/>
              </w:rPr>
            </w:pPr>
          </w:p>
        </w:tc>
      </w:tr>
      <w:tr>
        <w:trPr>
          <w:trHeight w:val="197"/>
        </w:trPr>
        <w:tc>
          <w:tcPr>
            <w:tcW w:w="39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(26,030)</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(26,030)</w:t>
            </w:r>
          </w:p>
        </w:tc>
        <w:tc>
          <w:tcPr>
            <w:tcW w:w="0" w:type="dxa"/>
            <w:vAlign w:val="bottom"/>
          </w:tcPr>
          <w:p>
            <w:pPr>
              <w:spacing w:after="0"/>
              <w:rPr>
                <w:sz w:val="1"/>
                <w:szCs w:val="1"/>
                <w:color w:val="auto"/>
              </w:rPr>
            </w:pPr>
          </w:p>
        </w:tc>
      </w:tr>
      <w:tr>
        <w:trPr>
          <w:trHeight w:val="22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112,834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888,123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(783,478)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90,027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2021</w:t>
      </w:r>
    </w:p>
    <w:p>
      <w:pPr>
        <w:spacing w:after="0" w:line="60" w:lineRule="exact"/>
        <w:rPr>
          <w:sz w:val="20"/>
          <w:szCs w:val="20"/>
          <w:color w:val="auto"/>
        </w:rPr>
      </w:pPr>
    </w:p>
    <w:p>
      <w:pPr>
        <w:ind w:left="260"/>
        <w:spacing w:after="0" w:line="239" w:lineRule="auto"/>
        <w:rPr>
          <w:sz w:val="20"/>
          <w:szCs w:val="20"/>
          <w:color w:val="auto"/>
        </w:rPr>
      </w:pPr>
      <w:r>
        <w:rPr>
          <w:rFonts w:ascii="Arial" w:cs="Arial" w:eastAsia="Arial" w:hAnsi="Arial"/>
          <w:sz w:val="14"/>
          <w:szCs w:val="14"/>
          <w:color w:val="auto"/>
        </w:rPr>
        <w:t>Issuance of common stock under stock plans, less withholding</w:t>
      </w:r>
    </w:p>
    <w:p>
      <w:pPr>
        <w:spacing w:after="0" w:line="17" w:lineRule="exact"/>
        <w:rPr>
          <w:sz w:val="20"/>
          <w:szCs w:val="20"/>
          <w:color w:val="auto"/>
        </w:rPr>
      </w:pPr>
    </w:p>
    <w:p>
      <w:pPr>
        <w:ind w:left="260" w:right="880"/>
        <w:spacing w:after="0" w:line="301" w:lineRule="auto"/>
        <w:rPr>
          <w:sz w:val="20"/>
          <w:szCs w:val="20"/>
          <w:color w:val="auto"/>
        </w:rPr>
      </w:pPr>
      <w:r>
        <w:rPr>
          <w:rFonts w:ascii="Arial" w:cs="Arial" w:eastAsia="Arial" w:hAnsi="Arial"/>
          <w:sz w:val="14"/>
          <w:szCs w:val="14"/>
          <w:color w:val="auto"/>
        </w:rPr>
        <w:t>Stock-based compensation expense Unrealized investment loss</w:t>
      </w:r>
    </w:p>
    <w:p>
      <w:pPr>
        <w:spacing w:after="0" w:line="1" w:lineRule="exact"/>
        <w:rPr>
          <w:sz w:val="20"/>
          <w:szCs w:val="20"/>
          <w:color w:val="auto"/>
        </w:rPr>
      </w:pPr>
    </w:p>
    <w:p>
      <w:pPr>
        <w:ind w:left="260" w:right="680"/>
        <w:spacing w:after="0" w:line="298" w:lineRule="auto"/>
        <w:rPr>
          <w:sz w:val="20"/>
          <w:szCs w:val="20"/>
          <w:color w:val="auto"/>
        </w:rPr>
      </w:pPr>
      <w:r>
        <w:rPr>
          <w:rFonts w:ascii="Arial" w:cs="Arial" w:eastAsia="Arial" w:hAnsi="Arial"/>
          <w:sz w:val="14"/>
          <w:szCs w:val="14"/>
          <w:color w:val="auto"/>
        </w:rPr>
        <w:t>Foreign currency translation adjustment Net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2021</w:t>
      </w:r>
    </w:p>
    <w:p>
      <w:pPr>
        <w:spacing w:after="0" w:line="60" w:lineRule="exact"/>
        <w:rPr>
          <w:sz w:val="20"/>
          <w:szCs w:val="20"/>
          <w:color w:val="auto"/>
        </w:rPr>
      </w:pPr>
    </w:p>
    <w:p>
      <w:pPr>
        <w:ind w:left="260"/>
        <w:spacing w:after="0" w:line="239" w:lineRule="auto"/>
        <w:rPr>
          <w:sz w:val="20"/>
          <w:szCs w:val="20"/>
          <w:color w:val="auto"/>
        </w:rPr>
      </w:pPr>
      <w:r>
        <w:rPr>
          <w:rFonts w:ascii="Arial" w:cs="Arial" w:eastAsia="Arial" w:hAnsi="Arial"/>
          <w:sz w:val="14"/>
          <w:szCs w:val="14"/>
          <w:color w:val="auto"/>
        </w:rPr>
        <w:t>Issuance of common stock under stock plans, less withholding</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Stock-based compensation expense</w:t>
      </w:r>
    </w:p>
    <w:p>
      <w:pPr>
        <w:spacing w:after="0" w:line="42" w:lineRule="exact"/>
        <w:rPr>
          <w:sz w:val="20"/>
          <w:szCs w:val="20"/>
          <w:color w:val="auto"/>
        </w:rPr>
      </w:pPr>
    </w:p>
    <w:p>
      <w:pPr>
        <w:ind w:left="260" w:right="160" w:hanging="12"/>
        <w:spacing w:after="0" w:line="301" w:lineRule="auto"/>
        <w:rPr>
          <w:sz w:val="20"/>
          <w:szCs w:val="20"/>
          <w:color w:val="auto"/>
        </w:rPr>
      </w:pPr>
      <w:r>
        <w:rPr>
          <w:rFonts w:ascii="Arial" w:cs="Arial" w:eastAsia="Arial" w:hAnsi="Arial"/>
          <w:sz w:val="14"/>
          <w:szCs w:val="14"/>
          <w:color w:val="auto"/>
        </w:rPr>
        <w:t>Issuance of common stock related to acquisition Unrealized investment loss</w:t>
      </w:r>
    </w:p>
    <w:p>
      <w:pPr>
        <w:spacing w:after="0" w:line="1" w:lineRule="exact"/>
        <w:rPr>
          <w:sz w:val="20"/>
          <w:szCs w:val="20"/>
          <w:color w:val="auto"/>
        </w:rPr>
      </w:pPr>
    </w:p>
    <w:p>
      <w:pPr>
        <w:ind w:left="260" w:right="680"/>
        <w:spacing w:after="0" w:line="318" w:lineRule="auto"/>
        <w:rPr>
          <w:sz w:val="20"/>
          <w:szCs w:val="20"/>
          <w:color w:val="auto"/>
        </w:rPr>
      </w:pPr>
      <w:r>
        <w:rPr>
          <w:rFonts w:ascii="Arial" w:cs="Arial" w:eastAsia="Arial" w:hAnsi="Arial"/>
          <w:sz w:val="14"/>
          <w:szCs w:val="14"/>
          <w:color w:val="auto"/>
        </w:rPr>
        <w:t>Foreign currency translation adjustment Net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September 30, 2021</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Issuance of common stock under stock plans</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Stock-based compensation expense</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Issuance of common stock related to acquisition</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 Repurchase</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Unrealized investment gain (loss)</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Foreign currency translation adjustment</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80" w:type="dxa"/>
            <w:vAlign w:val="bottom"/>
            <w:tcBorders>
              <w:bottom w:val="single" w:sz="8" w:color="auto"/>
            </w:tcBorders>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ind w:right="288"/>
              <w:spacing w:after="0" w:line="116"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460" w:type="dxa"/>
            <w:vAlign w:val="bottom"/>
            <w:gridSpan w:val="2"/>
          </w:tcPr>
          <w:p>
            <w:pPr>
              <w:jc w:val="center"/>
              <w:ind w:right="260"/>
              <w:spacing w:after="0" w:line="116"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0"/>
                <w:szCs w:val="10"/>
                <w:color w:val="auto"/>
              </w:rPr>
            </w:pPr>
          </w:p>
        </w:tc>
        <w:tc>
          <w:tcPr>
            <w:tcW w:w="1180" w:type="dxa"/>
            <w:vAlign w:val="bottom"/>
          </w:tcPr>
          <w:p>
            <w:pPr>
              <w:jc w:val="right"/>
              <w:ind w:right="148"/>
              <w:spacing w:after="0" w:line="116"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Loss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080" w:type="dxa"/>
            <w:vAlign w:val="bottom"/>
          </w:tcPr>
          <w:p>
            <w:pPr>
              <w:jc w:val="right"/>
              <w:spacing w:after="0"/>
              <w:rPr>
                <w:sz w:val="20"/>
                <w:szCs w:val="20"/>
                <w:color w:val="auto"/>
              </w:rPr>
            </w:pPr>
            <w:r>
              <w:rPr>
                <w:rFonts w:ascii="Arial" w:cs="Arial" w:eastAsia="Arial" w:hAnsi="Arial"/>
                <w:sz w:val="14"/>
                <w:szCs w:val="14"/>
                <w:color w:val="auto"/>
              </w:rPr>
              <w:t>109,135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755,643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(4,193)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(591,055)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160,504</w:t>
            </w:r>
          </w:p>
        </w:tc>
        <w:tc>
          <w:tcPr>
            <w:tcW w:w="0" w:type="dxa"/>
            <w:vAlign w:val="bottom"/>
          </w:tcPr>
          <w:p>
            <w:pPr>
              <w:spacing w:after="0"/>
              <w:rPr>
                <w:sz w:val="1"/>
                <w:szCs w:val="1"/>
                <w:color w:val="auto"/>
              </w:rPr>
            </w:pPr>
          </w:p>
        </w:tc>
      </w:tr>
      <w:tr>
        <w:trPr>
          <w:trHeight w:val="338"/>
        </w:trPr>
        <w:tc>
          <w:tcPr>
            <w:tcW w:w="108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3,438</w:t>
            </w:r>
          </w:p>
        </w:tc>
        <w:tc>
          <w:tcPr>
            <w:tcW w:w="20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3,440</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36,508</w:t>
            </w: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36,508</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8"/>
        </w:trPr>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(43,906)</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(43,906)</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110,697</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795,589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(3,943)</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(634,961)</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156,796</w:t>
            </w:r>
          </w:p>
        </w:tc>
        <w:tc>
          <w:tcPr>
            <w:tcW w:w="0" w:type="dxa"/>
            <w:vAlign w:val="bottom"/>
          </w:tcPr>
          <w:p>
            <w:pPr>
              <w:spacing w:after="0"/>
              <w:rPr>
                <w:sz w:val="1"/>
                <w:szCs w:val="1"/>
                <w:color w:val="auto"/>
              </w:rPr>
            </w:pPr>
          </w:p>
        </w:tc>
      </w:tr>
      <w:tr>
        <w:trPr>
          <w:trHeight w:val="311"/>
        </w:trPr>
        <w:tc>
          <w:tcPr>
            <w:tcW w:w="1080" w:type="dxa"/>
            <w:vAlign w:val="bottom"/>
          </w:tcPr>
          <w:p>
            <w:pPr>
              <w:jc w:val="right"/>
              <w:spacing w:after="0"/>
              <w:rPr>
                <w:sz w:val="20"/>
                <w:szCs w:val="20"/>
                <w:color w:val="auto"/>
              </w:rPr>
            </w:pPr>
            <w:r>
              <w:rPr>
                <w:rFonts w:ascii="Arial" w:cs="Arial" w:eastAsia="Arial" w:hAnsi="Arial"/>
                <w:sz w:val="14"/>
                <w:szCs w:val="14"/>
                <w:color w:val="auto"/>
              </w:rPr>
              <w:t>2,721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6,758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6,760</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33,483</w:t>
            </w: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33,483</w:t>
            </w:r>
          </w:p>
        </w:tc>
        <w:tc>
          <w:tcPr>
            <w:tcW w:w="0" w:type="dxa"/>
            <w:vAlign w:val="bottom"/>
          </w:tcPr>
          <w:p>
            <w:pPr>
              <w:spacing w:after="0"/>
              <w:rPr>
                <w:sz w:val="1"/>
                <w:szCs w:val="1"/>
                <w:color w:val="auto"/>
              </w:rPr>
            </w:pPr>
          </w:p>
        </w:tc>
      </w:tr>
      <w:tr>
        <w:trPr>
          <w:trHeight w:val="203"/>
        </w:trPr>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(42,324)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(42,324)</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113,416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835,830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(677,285)</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152,551</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80" w:type="dxa"/>
            <w:vAlign w:val="bottom"/>
          </w:tcPr>
          <w:p>
            <w:pPr>
              <w:jc w:val="right"/>
              <w:spacing w:after="0"/>
              <w:rPr>
                <w:sz w:val="20"/>
                <w:szCs w:val="20"/>
                <w:color w:val="auto"/>
              </w:rPr>
            </w:pPr>
            <w:r>
              <w:rPr>
                <w:rFonts w:ascii="Arial" w:cs="Arial" w:eastAsia="Arial" w:hAnsi="Arial"/>
                <w:sz w:val="14"/>
                <w:szCs w:val="14"/>
                <w:color w:val="auto"/>
              </w:rPr>
              <w:t>1,279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20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36,611</w:t>
            </w: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36,611</w:t>
            </w:r>
          </w:p>
        </w:tc>
        <w:tc>
          <w:tcPr>
            <w:tcW w:w="0" w:type="dxa"/>
            <w:vAlign w:val="bottom"/>
          </w:tcPr>
          <w:p>
            <w:pPr>
              <w:spacing w:after="0"/>
              <w:rPr>
                <w:sz w:val="1"/>
                <w:szCs w:val="1"/>
                <w:color w:val="auto"/>
              </w:rPr>
            </w:pPr>
          </w:p>
        </w:tc>
      </w:tr>
      <w:tr>
        <w:trPr>
          <w:trHeight w:val="203"/>
        </w:trPr>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spacing w:after="0"/>
              <w:rPr>
                <w:sz w:val="20"/>
                <w:szCs w:val="20"/>
                <w:color w:val="auto"/>
              </w:rPr>
            </w:pPr>
            <w:r>
              <w:rPr>
                <w:rFonts w:ascii="Arial" w:cs="Arial" w:eastAsia="Arial" w:hAnsi="Arial"/>
                <w:sz w:val="14"/>
                <w:szCs w:val="14"/>
                <w:color w:val="auto"/>
              </w:rPr>
              <w:t>(2,340)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(29,375)</w:t>
            </w: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(29,377)</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3"/>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209"/>
        </w:trPr>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(43,571)</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(43,571)</w:t>
            </w:r>
          </w:p>
        </w:tc>
        <w:tc>
          <w:tcPr>
            <w:tcW w:w="0" w:type="dxa"/>
            <w:vAlign w:val="bottom"/>
          </w:tcPr>
          <w:p>
            <w:pPr>
              <w:spacing w:after="0"/>
              <w:rPr>
                <w:sz w:val="1"/>
                <w:szCs w:val="1"/>
                <w:color w:val="auto"/>
              </w:rPr>
            </w:pPr>
          </w:p>
        </w:tc>
      </w:tr>
      <w:tr>
        <w:trPr>
          <w:trHeight w:val="196"/>
        </w:trPr>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112,353</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843,192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(5,275)</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(720,856)</w:t>
            </w: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117,173</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-3102610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-2750820</wp:posOffset>
            </wp:positionV>
            <wp:extent cx="711517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-2493645</wp:posOffset>
            </wp:positionV>
            <wp:extent cx="71151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-2236470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-1885315</wp:posOffset>
            </wp:positionV>
            <wp:extent cx="711517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-1628140</wp:posOffset>
            </wp:positionV>
            <wp:extent cx="711517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-1370965</wp:posOffset>
            </wp:positionV>
            <wp:extent cx="711517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-1087755</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-813435</wp:posOffset>
            </wp:positionV>
            <wp:extent cx="71151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-556260</wp:posOffset>
            </wp:positionV>
            <wp:extent cx="711517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-299085</wp:posOffset>
            </wp:positionV>
            <wp:extent cx="71151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440"/>
            <w:col w:w="73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722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758"/>
        </w:trPr>
        <w:tc>
          <w:tcPr>
            <w:tcW w:w="3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5960" w:type="dxa"/>
            <w:vAlign w:val="bottom"/>
          </w:tcPr>
          <w:p>
            <w:pPr>
              <w:jc w:val="center"/>
              <w:ind w:left="2699"/>
              <w:spacing w:after="0"/>
              <w:rPr>
                <w:sz w:val="20"/>
                <w:szCs w:val="20"/>
                <w:color w:val="auto"/>
              </w:rPr>
            </w:pPr>
            <w:r>
              <w:rPr>
                <w:rFonts w:ascii="Arial" w:cs="Arial" w:eastAsia="Arial" w:hAnsi="Arial"/>
                <w:sz w:val="16"/>
                <w:szCs w:val="16"/>
                <w:b w:val="1"/>
                <w:bCs w:val="1"/>
                <w:color w:val="auto"/>
              </w:rPr>
              <w:t>8X8, INC.</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5"/>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80" w:type="dxa"/>
            <w:vAlign w:val="bottom"/>
            <w:gridSpan w:val="4"/>
          </w:tcPr>
          <w:p>
            <w:pPr>
              <w:jc w:val="center"/>
              <w:ind w:left="759"/>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960" w:type="dxa"/>
            <w:vAlign w:val="bottom"/>
          </w:tcPr>
          <w:p>
            <w:pPr>
              <w:jc w:val="center"/>
              <w:ind w:left="2699"/>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24"/>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 December 31,</w:t>
            </w:r>
          </w:p>
        </w:tc>
      </w:tr>
      <w:tr>
        <w:trPr>
          <w:trHeight w:val="219"/>
        </w:trPr>
        <w:tc>
          <w:tcPr>
            <w:tcW w:w="340" w:type="dxa"/>
            <w:vAlign w:val="bottom"/>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12"/>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(63,712)</w:t>
            </w:r>
          </w:p>
        </w:tc>
        <w:tc>
          <w:tcPr>
            <w:tcW w:w="1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(129,801)</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8,056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8,488</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Amortization of capitalized internal-use software costs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16,397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21,968</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Impairment of capitalized software</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13,780</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deferred sales commission costs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25,603</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Allowance for credit losses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1,984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Operating lease expense, net of accretion</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73,516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106,159</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Gain on debt extinguishment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Gain on remeasurement of warrants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Impairment of right-of-use assets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Gain on sale of assets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(1,826)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660"/>
              <w:spacing w:after="0"/>
              <w:rPr>
                <w:sz w:val="20"/>
                <w:szCs w:val="20"/>
                <w:color w:val="auto"/>
              </w:rPr>
            </w:pPr>
            <w:r>
              <w:rPr>
                <w:rFonts w:ascii="Arial" w:cs="Arial" w:eastAsia="Arial" w:hAnsi="Arial"/>
                <w:sz w:val="16"/>
                <w:szCs w:val="16"/>
                <w:color w:val="auto"/>
              </w:rPr>
              <w:t>Deferred sales commission costs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(23,473)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(34,685)</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current and non-current assets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660"/>
              <w:spacing w:after="0"/>
              <w:rPr>
                <w:sz w:val="20"/>
                <w:szCs w:val="20"/>
                <w:color w:val="auto"/>
              </w:rPr>
            </w:pPr>
            <w:r>
              <w:rPr>
                <w:rFonts w:ascii="Arial" w:cs="Arial" w:eastAsia="Arial" w:hAnsi="Arial"/>
                <w:sz w:val="16"/>
                <w:szCs w:val="16"/>
                <w:color w:val="auto"/>
              </w:rPr>
              <w:t>Accounts payable and accruals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(22,858)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(13,210)</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w:t>
            </w:r>
          </w:p>
        </w:tc>
      </w:tr>
      <w:tr>
        <w:trPr>
          <w:trHeight w:val="207"/>
        </w:trPr>
        <w:tc>
          <w:tcPr>
            <w:tcW w:w="340" w:type="dxa"/>
            <w:vAlign w:val="bottom"/>
          </w:tcPr>
          <w:p>
            <w:pPr>
              <w:spacing w:after="0"/>
              <w:rPr>
                <w:sz w:val="17"/>
                <w:szCs w:val="17"/>
                <w:color w:val="auto"/>
              </w:rPr>
            </w:pPr>
          </w:p>
        </w:tc>
        <w:tc>
          <w:tcPr>
            <w:tcW w:w="68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35,164</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18,154</w:t>
            </w:r>
          </w:p>
        </w:tc>
      </w:tr>
      <w:tr>
        <w:trPr>
          <w:trHeight w:val="131"/>
        </w:trPr>
        <w:tc>
          <w:tcPr>
            <w:tcW w:w="340" w:type="dxa"/>
            <w:vAlign w:val="bottom"/>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15"/>
        </w:trPr>
        <w:tc>
          <w:tcPr>
            <w:tcW w:w="34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Proceeds from sale of intangible assets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Capitalized internal-use software costs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(15,582)</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Purchases of investments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(42,899)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(65,141)</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Sales of investments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11,799</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Proceeds from maturities of investments</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44,739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41,717</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40" w:type="dxa"/>
            <w:vAlign w:val="bottom"/>
          </w:tcPr>
          <w:p>
            <w:pPr>
              <w:spacing w:after="0"/>
              <w:rPr>
                <w:sz w:val="17"/>
                <w:szCs w:val="17"/>
                <w:color w:val="auto"/>
              </w:rPr>
            </w:pPr>
          </w:p>
        </w:tc>
        <w:tc>
          <w:tcPr>
            <w:tcW w:w="68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(30,122)</w:t>
            </w:r>
          </w:p>
        </w:tc>
      </w:tr>
      <w:tr>
        <w:trPr>
          <w:trHeight w:val="131"/>
        </w:trPr>
        <w:tc>
          <w:tcPr>
            <w:tcW w:w="340" w:type="dxa"/>
            <w:vAlign w:val="bottom"/>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15"/>
        </w:trPr>
        <w:tc>
          <w:tcPr>
            <w:tcW w:w="34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Finance lease payments</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Tax-related withholding of common stock</w:t>
            </w:r>
          </w:p>
        </w:tc>
        <w:tc>
          <w:tcPr>
            <w:tcW w:w="3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10,637</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Net proceeds from term loan</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234,015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 and exchange of convertible senior notes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(211,786)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(60,214)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(44,976)</w:t>
            </w:r>
          </w:p>
        </w:tc>
      </w:tr>
      <w:tr>
        <w:trPr>
          <w:trHeight w:val="219"/>
        </w:trPr>
        <w:tc>
          <w:tcPr>
            <w:tcW w:w="340" w:type="dxa"/>
            <w:vAlign w:val="bottom"/>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proceeds from issuance of convertible senior notes</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134,620</w:t>
            </w:r>
          </w:p>
        </w:tc>
      </w:tr>
      <w:tr>
        <w:trPr>
          <w:trHeight w:val="207"/>
        </w:trPr>
        <w:tc>
          <w:tcPr>
            <w:tcW w:w="340" w:type="dxa"/>
            <w:vAlign w:val="bottom"/>
          </w:tcPr>
          <w:p>
            <w:pPr>
              <w:spacing w:after="0"/>
              <w:rPr>
                <w:sz w:val="17"/>
                <w:szCs w:val="17"/>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(36,275)</w:t>
            </w:r>
          </w:p>
        </w:tc>
        <w:tc>
          <w:tcPr>
            <w:tcW w:w="1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99,959</w:t>
            </w:r>
          </w:p>
        </w:tc>
      </w:tr>
      <w:tr>
        <w:trPr>
          <w:trHeight w:val="216"/>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(5,747)</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9"/>
        </w:trPr>
        <w:tc>
          <w:tcPr>
            <w:tcW w:w="34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(6,425)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87,821</w:t>
            </w:r>
          </w:p>
        </w:tc>
      </w:tr>
      <w:tr>
        <w:trPr>
          <w:trHeight w:val="216"/>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100,714</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121,172</w:t>
            </w:r>
          </w:p>
        </w:tc>
      </w:tr>
      <w:tr>
        <w:trPr>
          <w:trHeight w:val="213"/>
        </w:trPr>
        <w:tc>
          <w:tcPr>
            <w:tcW w:w="34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94,289</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208,993</w:t>
            </w:r>
          </w:p>
        </w:tc>
      </w:tr>
      <w:tr>
        <w:trPr>
          <w:trHeight w:val="20"/>
        </w:trPr>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20"/>
                <w:szCs w:val="20"/>
                <w:color w:val="auto"/>
              </w:rPr>
            </w:pPr>
            <w:r>
              <w:rPr>
                <w:rFonts w:ascii="Arial" w:cs="Arial" w:eastAsia="Arial" w:hAnsi="Arial"/>
                <w:sz w:val="16"/>
                <w:szCs w:val="16"/>
                <w:color w:val="auto"/>
              </w:rPr>
              <w:t>Supplemental and non-cash disclosures:</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1"/>
        </w:trPr>
        <w:tc>
          <w:tcPr>
            <w:tcW w:w="7360" w:type="dxa"/>
            <w:vAlign w:val="bottom"/>
          </w:tcPr>
          <w:p>
            <w:pPr>
              <w:spacing w:after="0"/>
              <w:rPr>
                <w:sz w:val="24"/>
                <w:szCs w:val="24"/>
                <w:color w:val="auto"/>
              </w:rPr>
            </w:pPr>
          </w:p>
        </w:tc>
        <w:tc>
          <w:tcPr>
            <w:tcW w:w="368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73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95"/>
              </w:rPr>
              <w:t>2021</w:t>
            </w: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9,063</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 issued in connection with term loan</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color w:val="auto"/>
              </w:rPr>
              <w:t>Shares issued in connection with term loan and convertible senior notes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5,082</w:t>
            </w:r>
          </w:p>
        </w:tc>
        <w:tc>
          <w:tcPr>
            <w:tcW w:w="1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729"/>
        </w:trPr>
        <w:tc>
          <w:tcPr>
            <w:tcW w:w="7360" w:type="dxa"/>
            <w:vAlign w:val="bottom"/>
          </w:tcPr>
          <w:p>
            <w:pPr>
              <w:spacing w:after="0"/>
              <w:rPr>
                <w:sz w:val="20"/>
                <w:szCs w:val="20"/>
                <w:color w:val="auto"/>
              </w:rPr>
            </w:pPr>
            <w:r>
              <w:rPr>
                <w:rFonts w:ascii="Arial" w:cs="Arial" w:eastAsia="Arial" w:hAnsi="Arial"/>
                <w:sz w:val="16"/>
                <w:szCs w:val="16"/>
                <w:color w:val="auto"/>
              </w:rPr>
              <w:t>Reconciliation of cash, cash equivalents and restricted cash to the consolidated balance sheets: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6"/>
        </w:trPr>
        <w:tc>
          <w:tcPr>
            <w:tcW w:w="73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080" w:type="dxa"/>
            <w:vAlign w:val="bottom"/>
            <w:tcBorders>
              <w:bottom w:val="single" w:sz="8" w:color="auto"/>
            </w:tcBorders>
          </w:tcPr>
          <w:p>
            <w:pPr>
              <w:spacing w:after="0"/>
              <w:rPr>
                <w:sz w:val="24"/>
                <w:szCs w:val="24"/>
                <w:color w:val="auto"/>
              </w:rPr>
            </w:pPr>
          </w:p>
        </w:tc>
      </w:tr>
      <w:tr>
        <w:trPr>
          <w:trHeight w:val="212"/>
        </w:trPr>
        <w:tc>
          <w:tcPr>
            <w:tcW w:w="73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95"/>
              </w:rPr>
              <w:t>2021</w:t>
            </w: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200,352</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Restricted cash, current</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8,179</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94,289</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208,993</w:t>
            </w:r>
          </w:p>
        </w:tc>
      </w:tr>
      <w:tr>
        <w:trPr>
          <w:trHeight w:val="21"/>
        </w:trPr>
        <w:tc>
          <w:tcPr>
            <w:tcW w:w="7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 w:right="5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07" w:lineRule="exact"/>
        <w:rPr>
          <w:sz w:val="20"/>
          <w:szCs w:val="20"/>
          <w:color w:val="auto"/>
        </w:rPr>
      </w:pPr>
    </w:p>
    <w:p>
      <w:pPr>
        <w:ind w:right="6440" w:firstLine="8"/>
        <w:spacing w:after="0" w:line="453"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AND SIGNIFICANT ACCOUNTING POLICIES THE COMPANY</w:t>
      </w:r>
    </w:p>
    <w:p>
      <w:pPr>
        <w:jc w:val="both"/>
        <w:ind w:right="20"/>
        <w:spacing w:after="0" w:line="260" w:lineRule="auto"/>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 The Company trades under the symbol "EGHT" on the Nasdaq Global Select Market.</w:t>
      </w:r>
    </w:p>
    <w:p>
      <w:pPr>
        <w:spacing w:after="0" w:line="11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2022 and notes thereto included in the Form 10-K. There were no material changes during the three and nine months ended December 31, 2022 to the Company's significant accounting policies as described in the Form 10-K.</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herein are in thousands of United States Dollars ("dollars") unless otherwise noted.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intangible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 OF PERIOD ADJUSTMENTS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nine months ended December 31, 2022, the Company recorded out of period adjustments of approximately $2.5 million, including $1.3 million in subscription revenue related to two contracts with customers which was deferred in previous years, and $1.2 million of excess amounts reserved against bad debt during the fourth quarter of fiscal 2022. The impact of these adjustments was a $1.3 million increase in service revenue and decrease in contract assets and a $1.2 million decrease in provision for bad debts and reduction in reserves.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August 2020, the Financial Accounting Standards Board (the “FASB”) issued Accounting Standards Update (“ASU”) 2020-06, Debt—Debt with Conversion and Other Options (Subtopic 470-20) and Derivatives and Hedging—Contracts in Entity’s Own Equity (Subtopic 815-40): Accounting for Convertible Instruments and Contracts in an Entity’s Own Equity. Effective April 1, 2022, the Company adopted ASU 2020-06 using a modified retrospective approach. Adoption of the new standard resulted in a decrease to accumulated deficit of $46.7 million, a decrease to additional paid-in capital of $92.8 million, and an increase to convertible senior notes, net of $46.2 million.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and in January 2021, the FASB issued ASU No. 2021-01, Reference Rate Reform (Topic 848), which refines the scope of Topic 848 and clarifies some of its guidance. Effective April 1, 2022, the Company adopted ASU 2020-04 on a prospective basis. The impact of the adoption was immaterial to the Company's consolidated financial statements.</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recent accounting pronouncements that may be applicable to the Company are not expected to have a material impact on its present or future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RECOGNITION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w:t>
      </w:r>
      <w:r>
        <w:rPr>
          <w:rFonts w:ascii="Arial" w:cs="Arial" w:eastAsia="Arial" w:hAnsi="Arial"/>
          <w:sz w:val="16"/>
          <w:szCs w:val="16"/>
          <w:u w:val="single" w:color="auto"/>
          <w:color w:val="0000FF"/>
        </w:rPr>
        <w:t>12</w:t>
      </w:r>
      <w:r>
        <w:rPr>
          <w:rFonts w:ascii="Arial" w:cs="Arial" w:eastAsia="Arial" w:hAnsi="Arial"/>
          <w:sz w:val="16"/>
          <w:szCs w:val="16"/>
          <w:color w:val="auto"/>
        </w:rPr>
        <w:t xml:space="preserve">. </w:t>
      </w:r>
      <w:r>
        <w:rPr>
          <w:rFonts w:ascii="Arial" w:cs="Arial" w:eastAsia="Arial" w:hAnsi="Arial"/>
          <w:sz w:val="16"/>
          <w:szCs w:val="16"/>
          <w:i w:val="1"/>
          <w:iCs w:val="1"/>
          <w:color w:val="auto"/>
        </w:rPr>
        <w:t>Geographical Information</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receivables, contract assets, and deferred revenue from contracts with customers: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Pr>
          <w:p>
            <w:pPr>
              <w:spacing w:after="0"/>
              <w:rPr>
                <w:sz w:val="18"/>
                <w:szCs w:val="18"/>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2022</w:t>
            </w:r>
          </w:p>
        </w:tc>
      </w:tr>
      <w:tr>
        <w:trPr>
          <w:trHeight w:val="21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57,400</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12,392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10,514</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non-current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Deferred revenue, current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34,207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34,262</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r>
    </w:tbl>
    <w:p>
      <w:pPr>
        <w:spacing w:after="0" w:line="13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Contract assets, current, contract assets, non-current, deferred revenue, current and deferred revenue, non-current are recorded on the Condensed Consolidated Balance Sheets in </w:t>
      </w:r>
      <w:r>
        <w:rPr>
          <w:rFonts w:ascii="Arial" w:cs="Arial" w:eastAsia="Arial" w:hAnsi="Arial"/>
          <w:sz w:val="16"/>
          <w:szCs w:val="16"/>
          <w:i w:val="1"/>
          <w:iCs w:val="1"/>
          <w:color w:val="auto"/>
        </w:rPr>
        <w:t>Other current assets</w:t>
      </w:r>
      <w:r>
        <w:rPr>
          <w:rFonts w:ascii="Arial" w:cs="Arial" w:eastAsia="Arial" w:hAnsi="Arial"/>
          <w:sz w:val="16"/>
          <w:szCs w:val="16"/>
          <w:color w:val="auto"/>
        </w:rPr>
        <w:t xml:space="preserve">,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liabilities, non-current</w:t>
      </w:r>
      <w:r>
        <w:rPr>
          <w:rFonts w:ascii="Arial" w:cs="Arial" w:eastAsia="Arial" w:hAnsi="Arial"/>
          <w:sz w:val="16"/>
          <w:szCs w:val="16"/>
          <w:color w:val="auto"/>
        </w:rPr>
        <w:t>, respectively.</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nine months ended December 31, 2022, the Company recognized revenues of approximately $31.5 million that were included in deferred revenue at the beginning of the fiscal year.</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subscription terms typically range from one to five years. Contract revenue from the remaining performance obligations that had not yet been recognized as of December 31, 2022 was approximately $750.0 million. This amount excludes contracts with an original expected length of less than one year. The Company expects to recognize revenue on approximately 80% of the remaining performance obligations over the next 36 months and approximately 20% over the remainder of the contract period.</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purposes of this disclosure, the Company excludes contracts with an original expected length of less than one year. Since the new and renewal contracts entered into with customers are generally for terms of one year or longer, updating this disclosure to include contracts with a term of one year or more presents a more appropriate measure of the Company's remaining performance obligations.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sales commission costs for the three and nine months ended December 31, 2022 was $9.7 million and $28.5 million,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sales commission costs for the three and nine months ended December 31, 2021 was $8.7 million and $25.6 million,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write-offs during the three and nine months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2080" w:type="dxa"/>
            <w:vAlign w:val="bottom"/>
            <w:gridSpan w:val="4"/>
          </w:tcPr>
          <w:p>
            <w:pPr>
              <w:spacing w:after="0"/>
              <w:rPr>
                <w:sz w:val="20"/>
                <w:szCs w:val="20"/>
                <w:color w:val="auto"/>
              </w:rPr>
            </w:pPr>
            <w:r>
              <w:rPr>
                <w:rFonts w:ascii="Arial" w:cs="Arial" w:eastAsia="Arial" w:hAnsi="Arial"/>
                <w:sz w:val="16"/>
                <w:szCs w:val="16"/>
                <w:color w:val="0000FF"/>
              </w:rPr>
              <w:t>Table of Contents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3160" w:type="dxa"/>
            <w:vAlign w:val="bottom"/>
            <w:gridSpan w:val="8"/>
          </w:tcPr>
          <w:p>
            <w:pPr>
              <w:spacing w:after="0"/>
              <w:rPr>
                <w:sz w:val="20"/>
                <w:szCs w:val="20"/>
                <w:color w:val="auto"/>
              </w:rPr>
            </w:pPr>
            <w:r>
              <w:rPr>
                <w:rFonts w:ascii="Arial" w:cs="Arial" w:eastAsia="Arial" w:hAnsi="Arial"/>
                <w:sz w:val="16"/>
                <w:szCs w:val="16"/>
                <w:b w:val="1"/>
                <w:bCs w:val="1"/>
                <w:color w:val="auto"/>
              </w:rPr>
              <w:t>3. FAIR VALUE MEASUREMENTS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620" w:type="dxa"/>
            <w:vAlign w:val="bottom"/>
            <w:gridSpan w:val="19"/>
          </w:tcPr>
          <w:p>
            <w:pPr>
              <w:spacing w:after="0"/>
              <w:rPr>
                <w:sz w:val="20"/>
                <w:szCs w:val="20"/>
                <w:color w:val="auto"/>
              </w:rPr>
            </w:pPr>
            <w:r>
              <w:rPr>
                <w:rFonts w:ascii="Arial" w:cs="Arial" w:eastAsia="Arial" w:hAnsi="Arial"/>
                <w:sz w:val="16"/>
                <w:szCs w:val="16"/>
                <w:color w:val="auto"/>
              </w:rPr>
              <w:t>Cash, cash equivalents, and available-for-sale investments were as follows: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9"/>
              </w:rPr>
              <w:t>Cash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Restricted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rPr>
              <w:t>Amortized</w:t>
            </w: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Cash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9"/>
              </w:rPr>
              <w:t>Short-Term</w:t>
            </w:r>
          </w:p>
        </w:tc>
        <w:tc>
          <w:tcPr>
            <w:tcW w:w="140" w:type="dxa"/>
            <w:vAlign w:val="bottom"/>
          </w:tcPr>
          <w:p>
            <w:pPr>
              <w:spacing w:after="0"/>
              <w:rPr>
                <w:sz w:val="14"/>
                <w:szCs w:val="14"/>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8"/>
              </w:rPr>
              <w:t>Long-Term</w:t>
            </w:r>
          </w:p>
        </w:tc>
        <w:tc>
          <w:tcPr>
            <w:tcW w:w="0" w:type="dxa"/>
            <w:vAlign w:val="bottom"/>
          </w:tcPr>
          <w:p>
            <w:pPr>
              <w:spacing w:after="0"/>
              <w:rPr>
                <w:sz w:val="1"/>
                <w:szCs w:val="1"/>
                <w:color w:val="auto"/>
              </w:rPr>
            </w:pPr>
          </w:p>
        </w:tc>
      </w:tr>
      <w:tr>
        <w:trPr>
          <w:trHeight w:val="162"/>
        </w:trPr>
        <w:tc>
          <w:tcPr>
            <w:tcW w:w="1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20" w:type="dxa"/>
            <w:vAlign w:val="bottom"/>
            <w:gridSpan w:val="2"/>
            <w:vMerge w:val="restart"/>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120" w:type="dxa"/>
            <w:vAlign w:val="bottom"/>
            <w:gridSpan w:val="4"/>
          </w:tcPr>
          <w:p>
            <w:pPr>
              <w:jc w:val="center"/>
              <w:ind w:right="120"/>
              <w:spacing w:after="0" w:line="162"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4"/>
                <w:szCs w:val="14"/>
                <w:color w:val="auto"/>
              </w:rPr>
            </w:pPr>
          </w:p>
        </w:tc>
        <w:tc>
          <w:tcPr>
            <w:tcW w:w="1100" w:type="dxa"/>
            <w:vAlign w:val="bottom"/>
            <w:gridSpan w:val="4"/>
          </w:tcPr>
          <w:p>
            <w:pPr>
              <w:jc w:val="center"/>
              <w:ind w:right="140"/>
              <w:spacing w:after="0" w:line="162"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(Current &amp;</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Borders>
              <w:bottom w:val="single" w:sz="8" w:color="CCEEFF"/>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Gain</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6"/>
              </w:rPr>
              <w:t>Loss</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Equivalents</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Non-current)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Borders>
              <w:bottom w:val="single" w:sz="8" w:color="CCEEFF"/>
            </w:tcBorders>
            <w:gridSpan w:val="2"/>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10"/>
        </w:trPr>
        <w:tc>
          <w:tcPr>
            <w:tcW w:w="2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Treasury securities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80" w:type="dxa"/>
            <w:vAlign w:val="bottom"/>
            <w:gridSpan w:val="4"/>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2:</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4"/>
          </w:tcPr>
          <w:p>
            <w:pPr>
              <w:ind w:left="240"/>
              <w:spacing w:after="0"/>
              <w:rPr>
                <w:sz w:val="20"/>
                <w:szCs w:val="20"/>
                <w:color w:val="auto"/>
              </w:rPr>
            </w:pPr>
            <w:r>
              <w:rPr>
                <w:rFonts w:ascii="Arial" w:cs="Arial" w:eastAsia="Arial" w:hAnsi="Arial"/>
                <w:sz w:val="16"/>
                <w:szCs w:val="16"/>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gridSpan w:val="4"/>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38,705</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80" w:type="dxa"/>
            <w:vAlign w:val="bottom"/>
            <w:gridSpan w:val="4"/>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131,845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131,734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9"/>
              </w:rPr>
              <w:t>Cash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Restricted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99"/>
              </w:rPr>
              <w:t>Amortized</w:t>
            </w: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99"/>
              </w:rPr>
              <w:t>Short-Term</w:t>
            </w:r>
          </w:p>
        </w:tc>
        <w:tc>
          <w:tcPr>
            <w:tcW w:w="140" w:type="dxa"/>
            <w:vAlign w:val="bottom"/>
          </w:tcPr>
          <w:p>
            <w:pPr>
              <w:spacing w:after="0"/>
              <w:rPr>
                <w:sz w:val="14"/>
                <w:szCs w:val="14"/>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8"/>
              </w:rPr>
              <w:t>Long-Term</w:t>
            </w:r>
          </w:p>
        </w:tc>
        <w:tc>
          <w:tcPr>
            <w:tcW w:w="0" w:type="dxa"/>
            <w:vAlign w:val="bottom"/>
          </w:tcPr>
          <w:p>
            <w:pPr>
              <w:spacing w:after="0"/>
              <w:rPr>
                <w:sz w:val="1"/>
                <w:szCs w:val="1"/>
                <w:color w:val="auto"/>
              </w:rPr>
            </w:pPr>
          </w:p>
        </w:tc>
      </w:tr>
      <w:tr>
        <w:trPr>
          <w:trHeight w:val="162"/>
        </w:trPr>
        <w:tc>
          <w:tcPr>
            <w:tcW w:w="19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 of March 31, 2022</w:t>
            </w:r>
          </w:p>
        </w:tc>
        <w:tc>
          <w:tcPr>
            <w:tcW w:w="100" w:type="dxa"/>
            <w:vAlign w:val="bottom"/>
            <w:vMerge w:val="restart"/>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120" w:type="dxa"/>
            <w:vAlign w:val="bottom"/>
            <w:gridSpan w:val="4"/>
          </w:tcPr>
          <w:p>
            <w:pPr>
              <w:jc w:val="right"/>
              <w:ind w:right="20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1100" w:type="dxa"/>
            <w:vAlign w:val="bottom"/>
            <w:gridSpan w:val="4"/>
          </w:tcPr>
          <w:p>
            <w:pPr>
              <w:jc w:val="right"/>
              <w:ind w:right="18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(Current &amp;</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8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Costs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Gain</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Equivalents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Non-current)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Investments</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10"/>
        </w:trPr>
        <w:tc>
          <w:tcPr>
            <w:tcW w:w="20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Treasury securities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4"/>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87,526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2:</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4"/>
          </w:tcPr>
          <w:p>
            <w:pPr>
              <w:ind w:left="240"/>
              <w:spacing w:after="0"/>
              <w:rPr>
                <w:sz w:val="20"/>
                <w:szCs w:val="20"/>
                <w:color w:val="auto"/>
              </w:rPr>
            </w:pPr>
            <w:r>
              <w:rPr>
                <w:rFonts w:ascii="Arial" w:cs="Arial" w:eastAsia="Arial" w:hAnsi="Arial"/>
                <w:sz w:val="16"/>
                <w:szCs w:val="16"/>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23,808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CCEEFF"/>
            </w:tcBorders>
            <w:gridSpan w:val="4"/>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60,901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(197)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60,704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33"/>
        </w:trPr>
        <w:tc>
          <w:tcPr>
            <w:tcW w:w="2080" w:type="dxa"/>
            <w:vAlign w:val="bottom"/>
            <w:gridSpan w:val="4"/>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148,434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148,230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Certificate of deposit represents the Company's letters of credit securing leases for office facilities, the balance of which is included in Restricted cash, current and Restricted cash, non-current on the Company's Consolidated Balance Sheet.</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considers its investments available to support its current operations and has classified investments in debt securities as available-for-sale securities. The Company does not intend to sell any of its investments that are in unrealized loss positions and, as of December 31, 2022, has determined that it is not more likely than not that it will be required to sell any of these investments before recovery of the entire amortized cost basis.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regularly reviews the changes to the rating of its securities at the individual security level by rating agencies and reasonably monitors the surrounding economic conditions to assess the risk of expected credit losses. As of December 31, 2022, the Company did not record any allowance for credit losses on its investments.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As of December 31, 2022 and March 31, 2022, the estimated fair value of the Company's Notes was $242.5 million and $470.5 million, respectively, which was determined based on the closing price for the Notes on the last trading day of the reporting period and is considered to be Level 2 in the fair value hierarchy due to limited trading activity of the Notes. See Note </w:t>
      </w:r>
      <w:r>
        <w:rPr>
          <w:rFonts w:ascii="Arial" w:cs="Arial" w:eastAsia="Arial" w:hAnsi="Arial"/>
          <w:sz w:val="16"/>
          <w:szCs w:val="16"/>
          <w:u w:val="single" w:color="auto"/>
          <w:color w:val="0000FF"/>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 Senior Notes, Term Loan and Capped Calls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The following table presents additional information about valuation techniques and inputs used for the Warrants (See Note </w:t>
      </w:r>
      <w:r>
        <w:rPr>
          <w:rFonts w:ascii="Arial" w:cs="Arial" w:eastAsia="Arial" w:hAnsi="Arial"/>
          <w:sz w:val="16"/>
          <w:szCs w:val="16"/>
          <w:u w:val="single" w:color="auto"/>
          <w:color w:val="0000FF"/>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 Senior Notes, Term</w:t>
      </w:r>
      <w:r>
        <w:rPr>
          <w:rFonts w:ascii="Arial" w:cs="Arial" w:eastAsia="Arial" w:hAnsi="Arial"/>
          <w:sz w:val="16"/>
          <w:szCs w:val="16"/>
          <w:color w:val="auto"/>
        </w:rPr>
        <w:t xml:space="preserve"> </w:t>
      </w:r>
      <w:r>
        <w:rPr>
          <w:rFonts w:ascii="Arial" w:cs="Arial" w:eastAsia="Arial" w:hAnsi="Arial"/>
          <w:sz w:val="16"/>
          <w:szCs w:val="16"/>
          <w:i w:val="1"/>
          <w:iCs w:val="1"/>
          <w:color w:val="auto"/>
        </w:rPr>
        <w:t>Loan and Capped Calls</w:t>
      </w:r>
      <w:r>
        <w:rPr>
          <w:rFonts w:ascii="Arial" w:cs="Arial" w:eastAsia="Arial" w:hAnsi="Arial"/>
          <w:sz w:val="16"/>
          <w:szCs w:val="16"/>
          <w:color w:val="auto"/>
        </w:rPr>
        <w:t>) that are measured at fair value and categorized within Level 3 as of December 31, 2022 (fair value amounts 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w:t>
            </w:r>
          </w:p>
        </w:tc>
        <w:tc>
          <w:tcPr>
            <w:tcW w:w="36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Valuation Technique</w:t>
            </w:r>
          </w:p>
        </w:tc>
        <w:tc>
          <w:tcPr>
            <w:tcW w:w="24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Unobservable Inputs</w:t>
            </w:r>
          </w:p>
        </w:tc>
        <w:tc>
          <w:tcPr>
            <w:tcW w:w="242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rPr>
              <w:t>Inputs value</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$5,393</w:t>
            </w:r>
          </w:p>
        </w:tc>
        <w:tc>
          <w:tcPr>
            <w:tcW w:w="36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Black-Scholes option-pricing model</w:t>
            </w:r>
          </w:p>
        </w:tc>
        <w:tc>
          <w:tcPr>
            <w:tcW w:w="2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Stock volatility</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60.5 %</w:t>
            </w:r>
          </w:p>
        </w:tc>
      </w:tr>
      <w:tr>
        <w:trPr>
          <w:trHeight w:val="220"/>
        </w:trPr>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400" w:type="dxa"/>
            <w:vAlign w:val="bottom"/>
          </w:tcPr>
          <w:p>
            <w:pPr>
              <w:ind w:left="540"/>
              <w:spacing w:after="0"/>
              <w:rPr>
                <w:sz w:val="20"/>
                <w:szCs w:val="20"/>
                <w:color w:val="auto"/>
              </w:rPr>
            </w:pPr>
            <w:r>
              <w:rPr>
                <w:rFonts w:ascii="Arial" w:cs="Arial" w:eastAsia="Arial" w:hAnsi="Arial"/>
                <w:sz w:val="16"/>
                <w:szCs w:val="16"/>
                <w:color w:val="auto"/>
              </w:rPr>
              <w:t>Risk-free rate</w:t>
            </w:r>
          </w:p>
        </w:tc>
        <w:tc>
          <w:tcPr>
            <w:tcW w:w="242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39"/>
        </w:trPr>
        <w:tc>
          <w:tcPr>
            <w:tcW w:w="1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2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Expected term</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years</w:t>
            </w:r>
          </w:p>
        </w:tc>
      </w:tr>
    </w:tbl>
    <w:p>
      <w:pPr>
        <w:spacing w:after="0" w:line="326"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As of December 31, 2022 and March 31, 2022, the estimated fair value of the Company's 2024 Notes was $61.3 million and $470.5 million, respectively. As of December 31, 2022, the estimated fair value of the Company’s 2028 Notes (refer to Note </w:t>
      </w:r>
      <w:r>
        <w:rPr>
          <w:rFonts w:ascii="Arial" w:cs="Arial" w:eastAsia="Arial" w:hAnsi="Arial"/>
          <w:sz w:val="16"/>
          <w:szCs w:val="16"/>
          <w:u w:val="single" w:color="auto"/>
          <w:color w:val="0000FF"/>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 Senior Notes, Term Loan and Capped Calls</w:t>
      </w:r>
      <w:r>
        <w:rPr>
          <w:rFonts w:ascii="Arial" w:cs="Arial" w:eastAsia="Arial" w:hAnsi="Arial"/>
          <w:sz w:val="16"/>
          <w:szCs w:val="16"/>
          <w:color w:val="auto"/>
        </w:rPr>
        <w:t>) was $181.2 million. The fair value of the 2024 Notes and 2028 Notes was determined based on the closing price for the 2024 Notes and 2028 Notes, respectively, on the last trading day of the reporting period and is considered to be Level 2 in the fair value hierarchy due to limited trading activity of the 2024 Notes and 2028 Notes. As of December 31, 2022, the estimated fair value of the Company’s Term Loan was $224.3 million. The fair value of the Company’s Term Loan was estimated based on the quoted market prices for the same issues or on the current rates offered for debt of similar remaining maturities.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PROPERTY AND EQUIPMENT, NET</w:t>
      </w:r>
    </w:p>
    <w:p>
      <w:pPr>
        <w:spacing w:after="0" w:line="2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During the three and nine months ended December 31, 2022, the Company wrote off certain internally developed software with a net book value of $3.7 million.</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INTANGIBLE ASSETS AND GOODWILL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December 31, 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Net Carrying</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Net Carrying</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105,829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91,993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105,827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100,938</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6"/>
        </w:trPr>
        <w:tc>
          <w:tcPr>
            <w:tcW w:w="3380" w:type="dxa"/>
            <w:vAlign w:val="bottom"/>
          </w:tcPr>
          <w:p>
            <w:pPr>
              <w:ind w:left="220"/>
              <w:spacing w:after="0"/>
              <w:rPr>
                <w:sz w:val="20"/>
                <w:szCs w:val="20"/>
                <w:color w:val="auto"/>
              </w:rPr>
            </w:pPr>
            <w:r>
              <w:rPr>
                <w:rFonts w:ascii="Arial" w:cs="Arial" w:eastAsia="Arial" w:hAnsi="Arial"/>
                <w:sz w:val="16"/>
                <w:szCs w:val="16"/>
                <w:color w:val="auto"/>
              </w:rPr>
              <w:t>Total acquired identifiable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(40,633)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112,236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153,137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128,213</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2022, the weighted average remaining useful life for technology, customer relationships, and trade names and domains was 2.6 years, 8.0 years, and 0.3 years, respectively; and the annual amortization of intangible assets, based upon existing intangible assets and current useful lives, is estimated to be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Amount</w:t>
            </w: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20,395</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19,095</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2026</w:t>
            </w: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13,895</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11,757</w:t>
            </w:r>
          </w:p>
        </w:tc>
      </w:tr>
      <w:tr>
        <w:trPr>
          <w:trHeight w:val="213"/>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41,970</w:t>
            </w:r>
          </w:p>
        </w:tc>
      </w:tr>
      <w:tr>
        <w:trPr>
          <w:trHeight w:val="235"/>
        </w:trPr>
        <w:tc>
          <w:tcPr>
            <w:tcW w:w="9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112,236</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December 31, 2022, the Company sold certain intangible assets with a net book value of $23,000 for $1.8 million. The gain of approximately $1.8 million was recorded as Other income in the Statement of Operations and includes $0.3 million to be received as future services.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changes in the carrying amounts of goodwill:</w:t>
      </w:r>
    </w:p>
    <w:p>
      <w:pPr>
        <w:spacing w:after="0" w:line="269" w:lineRule="exact"/>
        <w:rPr>
          <w:sz w:val="20"/>
          <w:szCs w:val="20"/>
          <w:color w:val="auto"/>
        </w:rPr>
      </w:pPr>
    </w:p>
    <w:p>
      <w:pPr>
        <w:jc w:val="right"/>
        <w:ind w:right="62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March 31, 2022</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Adjustments related to Fuze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translation</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December 31, 2022</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balance sheet information related to operating leases: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158" w:hanging="1158"/>
        <w:spacing w:after="0"/>
        <w:tabs>
          <w:tab w:leader="none" w:pos="1158" w:val="left"/>
        </w:tabs>
        <w:numPr>
          <w:ilvl w:val="0"/>
          <w:numId w:val="5"/>
        </w:numPr>
        <w:rPr>
          <w:rFonts w:ascii="Arial" w:cs="Arial" w:eastAsia="Arial" w:hAnsi="Arial"/>
          <w:sz w:val="16"/>
          <w:szCs w:val="16"/>
          <w:color w:val="auto"/>
        </w:rPr>
      </w:pPr>
      <w:r>
        <w:rPr>
          <w:rFonts w:ascii="Arial" w:cs="Arial" w:eastAsia="Arial" w:hAnsi="Arial"/>
          <w:sz w:val="16"/>
          <w:szCs w:val="16"/>
          <w:color w:val="auto"/>
        </w:rPr>
        <w:t>266,867</w:t>
      </w:r>
    </w:p>
    <w:p>
      <w:pPr>
        <w:spacing w:after="0" w:line="32" w:lineRule="exact"/>
        <w:rPr>
          <w:rFonts w:ascii="Arial" w:cs="Arial" w:eastAsia="Arial" w:hAnsi="Arial"/>
          <w:sz w:val="16"/>
          <w:szCs w:val="16"/>
          <w:color w:val="auto"/>
        </w:rPr>
      </w:pPr>
    </w:p>
    <w:p>
      <w:pPr>
        <w:ind w:left="1418"/>
        <w:spacing w:after="0"/>
        <w:rPr>
          <w:rFonts w:ascii="Arial" w:cs="Arial" w:eastAsia="Arial" w:hAnsi="Arial"/>
          <w:sz w:val="16"/>
          <w:szCs w:val="16"/>
          <w:color w:val="auto"/>
        </w:rPr>
      </w:pPr>
      <w:r>
        <w:rPr>
          <w:rFonts w:ascii="Arial" w:cs="Arial" w:eastAsia="Arial" w:hAnsi="Arial"/>
          <w:sz w:val="16"/>
          <w:szCs w:val="16"/>
          <w:color w:val="auto"/>
        </w:rPr>
        <w:t>(754)</w:t>
      </w:r>
    </w:p>
    <w:p>
      <w:pPr>
        <w:spacing w:after="0" w:line="32" w:lineRule="exact"/>
        <w:rPr>
          <w:rFonts w:ascii="Arial" w:cs="Arial" w:eastAsia="Arial" w:hAnsi="Arial"/>
          <w:sz w:val="16"/>
          <w:szCs w:val="16"/>
          <w:color w:val="auto"/>
        </w:rPr>
      </w:pPr>
    </w:p>
    <w:p>
      <w:pPr>
        <w:ind w:left="1418"/>
        <w:spacing w:after="0"/>
        <w:rPr>
          <w:rFonts w:ascii="Arial" w:cs="Arial" w:eastAsia="Arial" w:hAnsi="Arial"/>
          <w:sz w:val="16"/>
          <w:szCs w:val="16"/>
          <w:color w:val="auto"/>
        </w:rPr>
      </w:pPr>
      <w:r>
        <w:rPr>
          <w:rFonts w:ascii="Arial" w:cs="Arial" w:eastAsia="Arial" w:hAnsi="Arial"/>
          <w:sz w:val="16"/>
          <w:szCs w:val="16"/>
          <w:color w:val="auto"/>
        </w:rPr>
        <w:t>(535)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65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6" w:lineRule="exact"/>
        <w:rPr>
          <w:sz w:val="20"/>
          <w:szCs w:val="20"/>
          <w:color w:val="auto"/>
        </w:rPr>
      </w:pPr>
    </w:p>
    <w:p>
      <w:pPr>
        <w:ind w:left="1158" w:hanging="1158"/>
        <w:spacing w:after="0"/>
        <w:tabs>
          <w:tab w:leader="none" w:pos="1158" w:val="left"/>
        </w:tabs>
        <w:numPr>
          <w:ilvl w:val="0"/>
          <w:numId w:val="6"/>
        </w:numPr>
        <w:rPr>
          <w:rFonts w:ascii="Arial" w:cs="Arial" w:eastAsia="Arial" w:hAnsi="Arial"/>
          <w:sz w:val="16"/>
          <w:szCs w:val="16"/>
          <w:color w:val="auto"/>
        </w:rPr>
      </w:pPr>
      <w:r>
        <w:rPr>
          <w:rFonts w:ascii="Arial" w:cs="Arial" w:eastAsia="Arial" w:hAnsi="Arial"/>
          <w:sz w:val="16"/>
          <w:szCs w:val="16"/>
          <w:color w:val="auto"/>
        </w:rPr>
        <w:t>265,578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65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36195</wp:posOffset>
            </wp:positionV>
            <wp:extent cx="1165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360" w:lineRule="exact"/>
        <w:rPr>
          <w:sz w:val="20"/>
          <w:szCs w:val="20"/>
          <w:color w:val="auto"/>
        </w:rPr>
      </w:pPr>
    </w:p>
    <w:p>
      <w:pPr>
        <w:sectPr>
          <w:pgSz w:w="11900" w:h="16838" w:orient="portrait"/>
          <w:cols w:equalWidth="0" w:num="2">
            <w:col w:w="8702" w:space="720"/>
            <w:col w:w="1818"/>
          </w:cols>
          <w:pgMar w:left="320" w:top="141" w:right="339" w:bottom="1440" w:gutter="0" w:footer="0" w:header="0"/>
          <w:type w:val="continuous"/>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gridSpan w:val="4"/>
          </w:tcPr>
          <w:p>
            <w:pPr>
              <w:ind w:left="32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19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Arial" w:cs="Arial" w:eastAsia="Arial" w:hAnsi="Arial"/>
                <w:sz w:val="16"/>
                <w:szCs w:val="16"/>
                <w:color w:val="auto"/>
              </w:rPr>
              <w:t>Operating lease, right-of-use assets</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55,269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63,415</w:t>
            </w:r>
          </w:p>
        </w:tc>
        <w:tc>
          <w:tcPr>
            <w:tcW w:w="0" w:type="dxa"/>
            <w:vAlign w:val="bottom"/>
          </w:tcPr>
          <w:p>
            <w:pPr>
              <w:spacing w:after="0"/>
              <w:rPr>
                <w:sz w:val="1"/>
                <w:szCs w:val="1"/>
                <w:color w:val="auto"/>
              </w:rPr>
            </w:pPr>
          </w:p>
        </w:tc>
      </w:tr>
      <w:tr>
        <w:trPr>
          <w:trHeight w:val="273"/>
        </w:trPr>
        <w:tc>
          <w:tcPr>
            <w:tcW w:w="39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 current</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15,485</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Operating lease liabilities, non-current</w:t>
            </w:r>
          </w:p>
        </w:tc>
        <w:tc>
          <w:tcPr>
            <w:tcW w:w="1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74,518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lease liabilities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components of lease expense were as follows:</w:t>
            </w:r>
          </w:p>
        </w:tc>
        <w:tc>
          <w:tcPr>
            <w:tcW w:w="1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9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40" w:type="dxa"/>
            <w:vAlign w:val="bottom"/>
          </w:tcPr>
          <w:p>
            <w:pPr>
              <w:spacing w:after="0"/>
              <w:rPr>
                <w:sz w:val="24"/>
                <w:szCs w:val="24"/>
                <w:color w:val="auto"/>
              </w:rPr>
            </w:pPr>
          </w:p>
        </w:tc>
        <w:tc>
          <w:tcPr>
            <w:tcW w:w="3580" w:type="dxa"/>
            <w:vAlign w:val="bottom"/>
            <w:gridSpan w:val="6"/>
          </w:tcPr>
          <w:p>
            <w:pPr>
              <w:jc w:val="right"/>
              <w:ind w:right="339"/>
              <w:spacing w:after="0"/>
              <w:rPr>
                <w:sz w:val="20"/>
                <w:szCs w:val="20"/>
                <w:color w:val="auto"/>
              </w:rPr>
            </w:pPr>
            <w:r>
              <w:rPr>
                <w:rFonts w:ascii="Arial" w:cs="Arial" w:eastAsia="Arial" w:hAnsi="Arial"/>
                <w:sz w:val="16"/>
                <w:szCs w:val="16"/>
                <w:b w:val="1"/>
                <w:bCs w:val="1"/>
                <w:color w:val="auto"/>
              </w:rPr>
              <w:t>Three Months Ended December 31,</w:t>
            </w:r>
          </w:p>
        </w:tc>
        <w:tc>
          <w:tcPr>
            <w:tcW w:w="340" w:type="dxa"/>
            <w:vAlign w:val="bottom"/>
          </w:tcPr>
          <w:p>
            <w:pPr>
              <w:spacing w:after="0"/>
              <w:rPr>
                <w:sz w:val="24"/>
                <w:szCs w:val="24"/>
                <w:color w:val="auto"/>
              </w:rPr>
            </w:pPr>
          </w:p>
        </w:tc>
        <w:tc>
          <w:tcPr>
            <w:tcW w:w="3380" w:type="dxa"/>
            <w:vAlign w:val="bottom"/>
            <w:gridSpan w:val="6"/>
          </w:tcPr>
          <w:p>
            <w:pPr>
              <w:jc w:val="right"/>
              <w:ind w:right="459"/>
              <w:spacing w:after="0"/>
              <w:rPr>
                <w:sz w:val="20"/>
                <w:szCs w:val="20"/>
                <w:color w:val="auto"/>
              </w:rPr>
            </w:pPr>
            <w:r>
              <w:rPr>
                <w:rFonts w:ascii="Arial" w:cs="Arial" w:eastAsia="Arial" w:hAnsi="Arial"/>
                <w:sz w:val="16"/>
                <w:szCs w:val="16"/>
                <w:b w:val="1"/>
                <w:bCs w:val="1"/>
                <w:color w:val="auto"/>
              </w:rPr>
              <w:t>Nine Months Ended December 31,</w:t>
            </w:r>
          </w:p>
        </w:tc>
        <w:tc>
          <w:tcPr>
            <w:tcW w:w="0" w:type="dxa"/>
            <w:vAlign w:val="bottom"/>
          </w:tcPr>
          <w:p>
            <w:pPr>
              <w:spacing w:after="0"/>
              <w:rPr>
                <w:sz w:val="1"/>
                <w:szCs w:val="1"/>
                <w:color w:val="auto"/>
              </w:rPr>
            </w:pPr>
          </w:p>
        </w:tc>
      </w:tr>
      <w:tr>
        <w:trPr>
          <w:trHeight w:val="219"/>
        </w:trPr>
        <w:tc>
          <w:tcPr>
            <w:tcW w:w="39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1,445</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759</w:t>
            </w:r>
          </w:p>
        </w:tc>
        <w:tc>
          <w:tcPr>
            <w:tcW w:w="3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4,525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14,272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12,672</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expense was immaterial during the three months ended December 31,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lease information: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2022</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7.1 years</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7.4 years</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020" w:type="dxa"/>
            <w:vAlign w:val="bottom"/>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4.0%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December 31,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4,709</w:t>
            </w: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2024</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14,225</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13,077</w:t>
            </w: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2026</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11,978</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10,695</w:t>
            </w:r>
          </w:p>
        </w:tc>
      </w:tr>
      <w:tr>
        <w:trPr>
          <w:trHeight w:val="21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38,659</w:t>
            </w:r>
          </w:p>
        </w:tc>
      </w:tr>
      <w:tr>
        <w:trPr>
          <w:trHeight w:val="209"/>
        </w:trPr>
        <w:tc>
          <w:tcPr>
            <w:tcW w:w="9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payments</w:t>
            </w:r>
          </w:p>
        </w:tc>
        <w:tc>
          <w:tcPr>
            <w:tcW w:w="7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93,343</w:t>
            </w:r>
          </w:p>
        </w:tc>
      </w:tr>
      <w:tr>
        <w:trPr>
          <w:trHeight w:val="210"/>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(12,448)</w:t>
            </w:r>
          </w:p>
        </w:tc>
      </w:tr>
      <w:tr>
        <w:trPr>
          <w:trHeight w:val="238"/>
        </w:trPr>
        <w:tc>
          <w:tcPr>
            <w:tcW w:w="9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80,895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may not have a contractual limit.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obligations consist of the Company's principal facility and various leased facilities under operating lease agreements. See Note 6.</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for more information on the Company's leases and the future minimum lease payments.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7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December 31, 2022.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Wage and Hour Litigation. On September 21, 2020, the Company received a copy of a letter filed by a former employee, Plaintiff Denise Rivas, with the California Labor and Workforce Development Agency (“LWDA”) providing notice of the Plaintiff’s intent to bring a Private Attorney General Act (“PAGA”) claim, on behalf of the Company’s non-exempt employees based in California, for alleged California wage and hour practices violations. On September 25, 2020, the Plaintiff filed a separate class action complaint (the “Class Complaint”) in Santa Clara County Superior Court against the Company in which she alleges 10 causes of action, on behalf of herself and all of the Company’s non-exempt employees based in California for the last four years, related to violations of California state wage and hour practices and the federal Fair Credit Reporting Act. The Class Complaint was served on the Company on September 29, 2020. On October 28, 2020, the Company filed a general denial of all claims and asserted various affirmative defenses. On October 29, 2020, the Company removed the matter to Federal Court. On December 1, 2020, Plaintiff filed a companion PAGA lawsuit complaint (the “PAGA Complaint”) in Santa Clara County Superior Court against the Company, in which she alleges 6 violations of California state wage and hour practices for all of the Company's current and former non-exempt employees based in California from September 16, 2019 to the present. The PAGA Complaint was served on the Company on December 11, 2020. On January 26, 2021, the Company filed a general denial of all claims and asserted various affirmative defenses to the PAGA Complaint. Both actions were scheduled for a joint mediation in September 2021, and discovery was stayed in both actions pending completion of the mediation. A joint mediation for both actions was held in September 2021 and the parties reached a preliminary settlement of all claims, which was finalized on November 23, 2021. The parties have remanded the Class Complaint matter to Santa Clara County Superior Court in order to consolidate the matter with the PAGA Complaint matter for court approval and administration of the settlement. Plaintiff has filed an unopposed motion for preliminary approval of the settlement on May 17, 2022, and the court issued an order preliminarily approving the settlement on June 13, 2022. The parties gathered and provided class list information to the administrator for administration of the settlement, and the administrator issued notifications to class members in August 2022. Plaintiff filed an unopposed motion for final approval of the settlement on October 12, 2022, and the court issued its order granting final approval on November 4, 2022. On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17, 2023, the Company deposited the total settlement amounts due with the settlement administrator, which will disburse the funds in accordance with the settlement agreement. The Court has set a deadline of May 22, 2023 for Plaintiff’s counsel and the settlement administrator to submit a summary accounting of distributions, and the Court has scheduled a compliance hearing on June 1, 2023.</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December 31, 2022 and March 31, 2022, the Company had accrued contingent indirect tax liabilities of $16.2 million and $16.7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CONVERTIBLE SENIOR NOTES, TERM LOAN AND CAPPED CALLS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2024 Notes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February 2019, the Company issued $287.5 million aggregate principal amount of 0.50% convertible senior notes (the "Initial 2024 Notes") due 2024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spacing w:after="0" w:line="3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November 2019, the Company issued an additional $75.0 million aggregate principal amount of 0.50% convertible senior notes (the "First Additional 2024 Notes") due 2024 in a registered offering under the same indenture as the Initial 2024 Notes. The total net proceeds from the First Additional 2024 Notes, after deducting underwriting discounts, debt issuance costs, and costs of the capped call transactions described below, were approximately $64.6 million.</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December 2021, the Company issued an additional $137.5 million aggregate principal amount of its currently outstanding 0.50% convertible senior notes (the "Second Additional 2024 Notes", and together with the Initial 2024 Notes and the First Additional 2024 Notes, the "2024 Notes") due 2024 in a private placement under the same indenture as the Initial 2024 Notes and the First Additional 2024 Notes. The total net proceeds from the Second Additional 2024 Notes, after deducting initial purchase discounts and debt issuance costs, were approximately $134.3 million. The Company did not enter into any capped calls in connection with this transaction. Both the First Additional 2024 Notes and Second Additional 2024 Notes constitute a further issuance of, and form a single series with, the Initial 2024 Notes. Immediately after giving effect to the issuance of the Second Additional 2024 Notes, the Company had $500.0 million aggregate principal amount of convertible senior notes. For details on the net carrying amount and fair value of the liability component of the 2024 Notes, as well as the interest expense recognized related to the 2024 Notes, see the section entitled “Exchange Transaction and 2028 Notes” below.</w:t>
      </w:r>
    </w:p>
    <w:p>
      <w:pPr>
        <w:spacing w:after="0" w:line="1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2024 Notes are senior unsecured obligations of the Company and interest is payable semiannually in arrears on February 1 and August 1 of each year, beginning on August 1, 2019. The Notes will mature on February 1, 2024, unless earlier repurchased, redeemed, or converted.</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Each $1,000 principal amount of the 2024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2023, the 2024 Notes will be convertible only under the following circumstances:</w:t>
      </w:r>
    </w:p>
    <w:p>
      <w:pPr>
        <w:spacing w:after="0" w:line="141" w:lineRule="exact"/>
        <w:rPr>
          <w:sz w:val="20"/>
          <w:szCs w:val="20"/>
          <w:color w:val="auto"/>
        </w:rPr>
      </w:pPr>
    </w:p>
    <w:p>
      <w:pPr>
        <w:jc w:val="both"/>
        <w:ind w:left="660" w:hanging="328"/>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129" w:lineRule="exact"/>
        <w:rPr>
          <w:rFonts w:ascii="Arial" w:cs="Arial" w:eastAsia="Arial" w:hAnsi="Arial"/>
          <w:sz w:val="16"/>
          <w:szCs w:val="16"/>
          <w:color w:val="auto"/>
        </w:rPr>
      </w:pPr>
    </w:p>
    <w:p>
      <w:pPr>
        <w:jc w:val="both"/>
        <w:ind w:left="660" w:right="20" w:hanging="328"/>
        <w:spacing w:after="0" w:line="26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ten consecutive trading day period (the measurement period), if the trading price per $1,000 principal amount of the Notes for each trading day of the measurement period was less than 98% of the product of the last reported sale price of the common stock on each such trading day and the conversion rate on each such trading day;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6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Company calls any or all of the Notes for redemption, at any time prior to the close of business on the scheduled trading day immediately preceding the redemption date; or</w:t>
      </w:r>
    </w:p>
    <w:p>
      <w:pPr>
        <w:spacing w:after="0" w:line="127"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indenture governing the 2024 Notes).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2024 Notes in cash upon conversion. During the three months ended December 31, 2022, the conditions allowing holders of the 2024 Notes to convert were not met.</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terms of the 2024 Notes, the Company could not redeem the Notes prior to February 4, 2022. On or after February 4, 2022, the Company may redeem for cash all or part of the 2024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2024 Notes may require the Company to repurchase for cash all or any portion of their Notes at a repurchase price equal to 100% of the principal amount of the 2024 Notes to be repurchased, plus accrued and unpaid interest, but excluding, the fundamental change repurchase date.</w:t>
      </w: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2024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Prior to April 1, 2022, the Company accounted for the 2024 Notes as separate liability and equity components. On issuance, the carrying amount of the equity components was recorded as a debt discount and subsequently amortized to interest expense. Effective April 1, 2022, the Company adopted ASU 2020-06 using a modified retrospective approach. As a result, the 2024 Notes are accounted for as a single liability measured at its amortized cost, as no other embedded features require bifurcation and recognition as derivatives. Adoption of the new standard resulted in a decrease to accumulated deficit of $46.7 million, a decrease to additional paid-in capital of $92.8 million and an increase to convertible senior notes, net of $46.2 million. The 2024 Notes have</w:t>
      </w:r>
    </w:p>
    <w:p>
      <w:pPr>
        <w:spacing w:after="0" w:line="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no original issuance discounts</w:t>
      </w:r>
      <w:r>
        <w:rPr>
          <w:rFonts w:ascii="Arial" w:cs="Arial" w:eastAsia="Arial" w:hAnsi="Arial"/>
          <w:sz w:val="17"/>
          <w:szCs w:val="17"/>
          <w:color w:val="auto"/>
        </w:rPr>
        <w:t>.</w:t>
      </w:r>
      <w:r>
        <w:rPr>
          <w:rFonts w:ascii="Arial" w:cs="Arial" w:eastAsia="Arial" w:hAnsi="Arial"/>
          <w:sz w:val="16"/>
          <w:szCs w:val="16"/>
          <w:color w:val="auto"/>
        </w:rPr>
        <w:t xml:space="preserve"> Unamortized debt discount and issuance costs will be amortized over the remaining life of the 2024 Notes, which is approximately 13 months.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connection with the pricing of the Initial 2024 Notes and the First Additional 2024 Notes, the Company entered into privately negotiated capped call transactions (the "Capped Calls") with certain counterparties. The Capped Calls each have an initial strike price of approximately $25.68 per share, subject to certain adjustments, which correspond to the initial conversion price of the Initial 2024 Notes and the First Additional 2024 Notes. The Capped Calls have initial cap prices of $39.50 per share, subject to certain adjustments. The Capped Calls are expected to partially offset the potential dilution to the Company’s Common Stock upon any conversion of the Initial 2024 Notes and the First Additional 2024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are not part of the terms of the Initial 2024 Notes and the First Additional 2024 Notes. As these transactions meet certain accounting criteria, the Capped Calls are recorded in stockholders' equity and are not accounted for as derivatives. The Capped Calls will not be remeasured as long as they continue to meet the conditions for equity classification.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Loan and Warrants</w:t>
      </w:r>
    </w:p>
    <w:p>
      <w:pPr>
        <w:spacing w:after="0" w:line="25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On August 10, 2022, the Company borrowed $250.0 million in a senior secured term loan facility (the “Term Loan”) under a term loan credit agreement (the “Credit Agreement”) entered into on August 3, 2022 with Wilmington Savings Fund Society, FSB, as administrative agent, and certain affiliates of Francisco Partners (“FP”), with aggregate debt issuance costs and discount of approximately $20.0 million. The Term Loan matures on August 3, 2027 and will initially bear interest at an annual rate equal to the term Standard Overnight Financing Rate ("Term SOFR") (which will be subject to a floor of 1.00% and a credit spread adjustment of 0.10%), plus a margin of 6.50%.</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obligations under the Credit Agreement will be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Mandatory prepayments of the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subject to certain prepayment premiums.</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Credit Agreement contains a minimum adjusted cash Earnings Before Interest, Taxes, Depreciation and Amortization (EBITDA) financial covenant, a minimum liquidity covenant and a maximum secured leverage ratio financial covenant and contains affirmative and negative covenants customary for transactions of this type, including limitations with respect to indebtedness, liens, investments, dividends, disposition of assets, change in business, and transactions with affiliates.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used the proceeds from the issuance of the Term Loan to fund the cash portion of an exchange of the Company’s approximately $403.8 million principal amount of the 2024 Notes for cash plus approximately $201.9 million of the 2028 Notes (defined below), and the concurrent repurchase of approximately $60 million of the Company’s common stock with the counterparties to such exchange.</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debt discount and debt issuance costs are approximately $5.6 million, of which $2.8 million was paid in the form of shares of the Company's common stock, and are amortized to interest expense over the term of the Term Loan at an effective interest rate of 11.0%. Contractual interest expenses of $5.4 million and $8.8 million, and $0.8 million and $1.2 million in amortization of the debt discount and debt issuance costs, were related to the Term Loan and recorded for the three and nine months ended December 31, 2022, respectively.</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connection with the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 The fair value of the Warrants was $5.9 million upon issuance, and $5.4 million at December 31, 2022, and was recorded within Other liabilities, non-current on the condensed consolidated balance sheets with a corresponding debt discount recorded against the Term Loan. The subsequent changes in fair value were recorded through Other income (expense), net on the Company’s condensed consolidated statement of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00" w:type="dxa"/>
            <w:vAlign w:val="bottom"/>
          </w:tcPr>
          <w:p>
            <w:pPr>
              <w:spacing w:after="0"/>
              <w:rPr>
                <w:sz w:val="20"/>
                <w:szCs w:val="20"/>
                <w:color w:val="auto"/>
              </w:rPr>
            </w:pPr>
            <w:r>
              <w:rPr>
                <w:rFonts w:ascii="Arial" w:cs="Arial" w:eastAsia="Arial" w:hAnsi="Arial"/>
                <w:sz w:val="16"/>
                <w:szCs w:val="16"/>
                <w:color w:val="auto"/>
              </w:rPr>
              <w:t>The following table presents the net carrying amount of the Term Loan:</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42"/>
        </w:trPr>
        <w:tc>
          <w:tcPr>
            <w:tcW w:w="9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December 31, 2022</w:t>
            </w:r>
          </w:p>
        </w:tc>
      </w:tr>
      <w:tr>
        <w:trPr>
          <w:trHeight w:val="216"/>
        </w:trPr>
        <w:tc>
          <w:tcPr>
            <w:tcW w:w="9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26"/>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(18,798)</w:t>
            </w:r>
          </w:p>
        </w:tc>
      </w:tr>
      <w:tr>
        <w:trPr>
          <w:trHeight w:val="235"/>
        </w:trPr>
        <w:tc>
          <w:tcPr>
            <w:tcW w:w="9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231,202</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recognized related to the Term Loans was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 December 31,</w:t>
            </w: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4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2022</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8,835</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w:t>
            </w:r>
          </w:p>
        </w:tc>
      </w:tr>
      <w:tr>
        <w:trPr>
          <w:trHeight w:val="238"/>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Transaction and 2028 Notes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Exchange Transaction</w:t>
      </w:r>
    </w:p>
    <w:p>
      <w:pPr>
        <w:spacing w:after="0" w:line="2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August 11, 2022, the Company issued approximately $201.9 million aggregate principal amount of its 4.00% convertible senior notes due 2028 (the “2028 Notes”), pursuant to an indenture, dated as of August 11, 2022 (the “2028 Notes Indenture”), by and between the Company and Wilmington Trust, National Association, as trustee (the “Trustee”).</w:t>
      </w:r>
    </w:p>
    <w:p>
      <w:pPr>
        <w:spacing w:after="0" w:line="2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used the proceeds from the issuance of the 2028 Notes, together with approximately $181.8 million in cash consideration from borrowing of the Term Loan, in exchange for approximately $403.8 million aggregate principal amount of the Company’s outstanding 2024 Notes pursuant to privately negotiated agreements (the “Exchange Agreements”) with a limited number of existing holders of the 2024 Notes (the “Exchange Transaction”). In connection with the Exchange Transaction, the Company purchased an aggregate of approximately $60 million of the Company’s common stock in privately negotiated transactions from existing holders of the 2024 Notes who participated in the Exchange Transaction.</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Exchange Transaction was treated as a debt extinguishment. The difference between the consideration used to extinguish the 2024 Notes and the carrying value of the 2024 Notes (including unamortized debt discount and issuance costs) subject to the Exchange Transaction resulted in an extinguishment gain of $16.1 million recorded through Other income (expense), net on the Company’s condensed consolidated statement of operations.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Capped Calls were not modified or settled as part of the Exchange Transaction and continue to be classified in stockholders' equity as long as they continue to meet the conditions for equity classification.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2028 Notes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part of the Exchange Transaction, the Company issued $201.9 million aggregate principal amount of the 2028 Notes, with debt issuance costs of approximately $5.6 million, of which 50% was paid in the form of shares of the Company's common stock.</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2028 Notes are senior obligations of the Company that accrue interest, payable semi-annually in arrears on February 1 and August 1 of each year, commencing on February 1, 2023.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The 2028 Notes can be convertible into cash, shares of the Company’s common stock or a combination of cash and shares of the Company’s stock, at the Company’s election.</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November 15, 2027, the 2028 Notes will be convertible only under the following circumstances:</w:t>
      </w:r>
    </w:p>
    <w:p>
      <w:pPr>
        <w:spacing w:after="0" w:line="209" w:lineRule="exact"/>
        <w:rPr>
          <w:sz w:val="20"/>
          <w:szCs w:val="20"/>
          <w:color w:val="auto"/>
        </w:rPr>
      </w:pPr>
    </w:p>
    <w:p>
      <w:pPr>
        <w:jc w:val="both"/>
        <w:ind w:left="660" w:hanging="328"/>
        <w:spacing w:after="0" w:line="23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any time during any fiscal quarter commencing after the fiscal quarter ending on December 31, 2022 (and only during such fiscal quarter), if the last reported sale price of the common stock for at least 20 trading days (whether or not consecutive) during the period of 30 consecutive trading days ending on, and including, the last trading day of the immediately preceding fiscal quarter is greater than or equal to 130% of the conversion price on each applicable trading day;</w:t>
      </w:r>
    </w:p>
    <w:p>
      <w:pPr>
        <w:spacing w:after="0" w:line="2" w:lineRule="exact"/>
        <w:rPr>
          <w:rFonts w:ascii="Arial" w:cs="Arial" w:eastAsia="Arial" w:hAnsi="Arial"/>
          <w:sz w:val="16"/>
          <w:szCs w:val="16"/>
          <w:color w:val="auto"/>
        </w:rPr>
      </w:pPr>
    </w:p>
    <w:p>
      <w:pPr>
        <w:jc w:val="both"/>
        <w:ind w:left="660" w:hanging="328"/>
        <w:spacing w:after="0" w:line="23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five consecutive trading day period (the measurement period), if the trading price per $1,000 principal amount of the 2028 Notes for each trading day of the measurement period was less than 98% of the product of the last reported sale price of the common stock and the conversion rate on each such trading day;</w:t>
      </w:r>
    </w:p>
    <w:p>
      <w:pPr>
        <w:spacing w:after="0" w:line="1" w:lineRule="exact"/>
        <w:rPr>
          <w:rFonts w:ascii="Arial" w:cs="Arial" w:eastAsia="Arial" w:hAnsi="Arial"/>
          <w:sz w:val="16"/>
          <w:szCs w:val="16"/>
          <w:color w:val="auto"/>
        </w:rPr>
      </w:pPr>
    </w:p>
    <w:p>
      <w:pPr>
        <w:ind w:left="660" w:right="20" w:hanging="328"/>
        <w:spacing w:after="0" w:line="23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Company calls any or all of the 2028 Notes for redemption prior to the close of business on the business day immediately preceding November 15, 2027; or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2028 Notes Indenture).</w:t>
      </w:r>
    </w:p>
    <w:p>
      <w:pPr>
        <w:spacing w:after="0" w:line="24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On or after November 15, 2027, holders of the 2028 Notes may convert their 2028 Notes at their option at any time until the close of business on the second Scheduled Trading Day immediately preceding the maturity date.</w:t>
      </w:r>
    </w:p>
    <w:p>
      <w:pPr>
        <w:spacing w:after="0" w:line="23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Under the terms of the 2028 Notes, the Company cannot redeem the 2028 Notes prior to August 6, 2025. On or after August 6, 2025, the Company may, at its option, redeem for cash all or any portion of the 2028 Notes at a redemption price equal to 100% of the principal amount, plus accrued unpaid interest, only upon the satisfaction of certain conditions and during certain periods, including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22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If a fundamental change (as defined in the 2028 Notes Indenture) occurs at any time prior to February 1, 2028, holders of 2028 Notes may require the Company to repurchase for cash all or any portion of their 2028 Notes at a repurchase price equal to 100% of the principal amount of the 2028 Notes to be repurchased, plus accrued and unpaid interest to, but excluding, the repurchase date. In addition, in connection with certain corporate events or if the Company issues a notice of redemption, a fundamental change will, under certain circumstances, increase the conversion rate for holders who elect to convert their 2028 Notes in connection with such corporate event or during the relevant redemption period.</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2028 Notes Indenture contains customary terms and covenants, including that upon certain events of default occurring and continuing, either the Trustee or holders of no less than 25% in aggregate principal amount of the 2028 Notes then outstanding may declare the entire principal amount of all the 2028 Notes, and the interest accrued on such 2028 Notes, if any, to become immediately due and payable. Upon events of default in connection with specified bankruptcy events involving the Company, the 2028 Notes will become due and payable immediately.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2028 Notes at an effective interest rate of 6.1%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20"/>
                <w:szCs w:val="20"/>
                <w:color w:val="auto"/>
              </w:rPr>
            </w:pPr>
            <w:r>
              <w:rPr>
                <w:rFonts w:ascii="Arial" w:cs="Arial" w:eastAsia="Arial" w:hAnsi="Arial"/>
                <w:sz w:val="16"/>
                <w:szCs w:val="16"/>
                <w:color w:val="auto"/>
              </w:rPr>
              <w:t>Interest expense recognized related to the 2028 Notes was as follows:</w:t>
            </w:r>
          </w:p>
        </w:tc>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90"/>
        </w:trPr>
        <w:tc>
          <w:tcPr>
            <w:tcW w:w="6360" w:type="dxa"/>
            <w:vAlign w:val="bottom"/>
          </w:tcPr>
          <w:p>
            <w:pPr>
              <w:spacing w:after="0"/>
              <w:rPr>
                <w:sz w:val="16"/>
                <w:szCs w:val="16"/>
                <w:color w:val="auto"/>
              </w:rPr>
            </w:pPr>
          </w:p>
        </w:tc>
        <w:tc>
          <w:tcPr>
            <w:tcW w:w="278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Three Months Ended December</w:t>
            </w:r>
          </w:p>
        </w:tc>
        <w:tc>
          <w:tcPr>
            <w:tcW w:w="180" w:type="dxa"/>
            <w:vAlign w:val="bottom"/>
          </w:tcPr>
          <w:p>
            <w:pPr>
              <w:spacing w:after="0"/>
              <w:rPr>
                <w:sz w:val="16"/>
                <w:szCs w:val="16"/>
                <w:color w:val="auto"/>
              </w:rPr>
            </w:pPr>
          </w:p>
        </w:tc>
        <w:tc>
          <w:tcPr>
            <w:tcW w:w="1860" w:type="dxa"/>
            <w:vAlign w:val="bottom"/>
          </w:tcPr>
          <w:p>
            <w:pPr>
              <w:jc w:val="right"/>
              <w:ind w:right="17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6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jc w:val="right"/>
              <w:ind w:right="859"/>
              <w:spacing w:after="0"/>
              <w:rPr>
                <w:sz w:val="20"/>
                <w:szCs w:val="20"/>
                <w:color w:val="auto"/>
              </w:rPr>
            </w:pPr>
            <w:r>
              <w:rPr>
                <w:rFonts w:ascii="Arial" w:cs="Arial" w:eastAsia="Arial" w:hAnsi="Arial"/>
                <w:sz w:val="16"/>
                <w:szCs w:val="16"/>
                <w:b w:val="1"/>
                <w:bCs w:val="1"/>
                <w:color w:val="auto"/>
              </w:rPr>
              <w:t>31, 2022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 2022</w:t>
            </w:r>
          </w:p>
        </w:tc>
      </w:tr>
      <w:tr>
        <w:trPr>
          <w:trHeight w:val="33"/>
        </w:trPr>
        <w:tc>
          <w:tcPr>
            <w:tcW w:w="63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5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48"/>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87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771"/>
        </w:trPr>
        <w:tc>
          <w:tcPr>
            <w:tcW w:w="8700" w:type="dxa"/>
            <w:vAlign w:val="bottom"/>
            <w:gridSpan w:val="2"/>
          </w:tcPr>
          <w:p>
            <w:pPr>
              <w:spacing w:after="0"/>
              <w:rPr>
                <w:sz w:val="20"/>
                <w:szCs w:val="20"/>
                <w:color w:val="auto"/>
              </w:rPr>
            </w:pPr>
            <w:r>
              <w:rPr>
                <w:rFonts w:ascii="Arial" w:cs="Arial" w:eastAsia="Arial" w:hAnsi="Arial"/>
                <w:sz w:val="16"/>
                <w:szCs w:val="16"/>
                <w:color w:val="auto"/>
              </w:rPr>
              <w:t>The following table presents the net carrying amount of the 2028 Notes:</w:t>
            </w: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3"/>
        </w:trPr>
        <w:tc>
          <w:tcPr>
            <w:tcW w:w="1260" w:type="dxa"/>
            <w:vAlign w:val="bottom"/>
            <w:tcBorders>
              <w:bottom w:val="single" w:sz="8" w:color="CCEEFF"/>
            </w:tcBorders>
          </w:tcPr>
          <w:p>
            <w:pPr>
              <w:spacing w:after="0"/>
              <w:rPr>
                <w:sz w:val="21"/>
                <w:szCs w:val="21"/>
                <w:color w:val="auto"/>
              </w:rPr>
            </w:pPr>
          </w:p>
        </w:tc>
        <w:tc>
          <w:tcPr>
            <w:tcW w:w="74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December 31, 2022</w:t>
            </w:r>
          </w:p>
        </w:tc>
      </w:tr>
      <w:tr>
        <w:trPr>
          <w:trHeight w:val="22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201,914</w:t>
            </w:r>
          </w:p>
        </w:tc>
      </w:tr>
      <w:tr>
        <w:trPr>
          <w:trHeight w:val="223"/>
        </w:trPr>
        <w:tc>
          <w:tcPr>
            <w:tcW w:w="8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(5,291)</w:t>
            </w:r>
          </w:p>
        </w:tc>
      </w:tr>
      <w:tr>
        <w:trPr>
          <w:trHeight w:val="248"/>
        </w:trPr>
        <w:tc>
          <w:tcPr>
            <w:tcW w:w="8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196,623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Repayment of 2024 Notes</w:t>
      </w:r>
    </w:p>
    <w:p>
      <w:pPr>
        <w:spacing w:after="0" w:line="24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addition to the Exchange Transaction, the Company completed two repurchases of the 2024 Notes in the second and third quarter of fiscal 2023 for a total of approximately $27.8 million in aggregate principal amount.</w:t>
      </w:r>
    </w:p>
    <w:p>
      <w:pPr>
        <w:spacing w:after="0" w:line="22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second quarter, on September 28, 2022, the Company repurchased an aggregate principal amount of $6.0 million of the 2024 Notes through a privately negotiated transaction with one of the remaining 2024 Notes holders for an aggregate purchase price of $5.3 million. The aggregate purchase price was paid in cash and only partially settled the outstanding 2024 Notes with the holder; accordingly, the repurchase consideration was accounted for as a debt modification with no extinguishment gain or loss.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the third quarter, on December 9, 2022, the Company repurchased an aggregate principal amount of $21.8 million of the 2024 Notes through privately negotiated transactions with two of the remaining 2024 Notes holders for an aggregate purchase price of $20.1 million in cash. The repurchase consideration was accounted for as a debt extinguishment, resulting in a $2.1 million gain.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net carrying amount and fair value of the liability component of the 2024 Notes: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Pr>
          <w:p>
            <w:pPr>
              <w:spacing w:after="0"/>
              <w:rPr>
                <w:sz w:val="19"/>
                <w:szCs w:val="19"/>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2022</w:t>
            </w:r>
          </w:p>
        </w:tc>
      </w:tr>
      <w:tr>
        <w:trPr>
          <w:trHeight w:val="216"/>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68,339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29"/>
        </w:trPr>
        <w:tc>
          <w:tcPr>
            <w:tcW w:w="7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6"/>
                <w:szCs w:val="16"/>
                <w:color w:val="auto"/>
              </w:rPr>
              <w:t>Unamortized debt discount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issuance costs</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(52,548)</w:t>
            </w:r>
          </w:p>
        </w:tc>
      </w:tr>
      <w:tr>
        <w:trPr>
          <w:trHeight w:val="232"/>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447,452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jc w:val="both"/>
        <w:ind w:firstLine="8"/>
        <w:spacing w:after="0" w:line="239" w:lineRule="auto"/>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debt discount as of March 31, 2022 represents the discount resulting from the allocation of the equity component (conversion option) from the liability component of the 2024 Notes, net of issuance premium, prior to the adoption of ASU 2020-06 on April 1, 2022. Upon the adoption of ASU 2020-06, the equity component was reversed. As a result, the December 31, 2022 debt discount represents only the issuance premium.</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2024 Notes at an effective interest rate of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recognized related to the 2024 Notes was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28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10"/>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r>
      <w:tr>
        <w:trPr>
          <w:trHeight w:val="177"/>
        </w:trPr>
        <w:tc>
          <w:tcPr>
            <w:tcW w:w="2820" w:type="dxa"/>
            <w:vAlign w:val="bottom"/>
          </w:tcPr>
          <w:p>
            <w:pPr>
              <w:ind w:left="20"/>
              <w:spacing w:after="0" w:line="178" w:lineRule="exact"/>
              <w:rPr>
                <w:sz w:val="20"/>
                <w:szCs w:val="20"/>
                <w:color w:val="auto"/>
              </w:rPr>
            </w:pPr>
            <w:r>
              <w:rPr>
                <w:rFonts w:ascii="Arial" w:cs="Arial" w:eastAsia="Arial" w:hAnsi="Arial"/>
                <w:sz w:val="16"/>
                <w:szCs w:val="16"/>
                <w:color w:val="auto"/>
              </w:rPr>
              <w:t>Amortization of debt discount and</w:t>
            </w:r>
          </w:p>
        </w:tc>
        <w:tc>
          <w:tcPr>
            <w:tcW w:w="1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8"/>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issuance costs</w:t>
            </w:r>
          </w:p>
        </w:tc>
        <w:tc>
          <w:tcPr>
            <w:tcW w:w="1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13,389</w:t>
            </w:r>
          </w:p>
        </w:tc>
      </w:tr>
      <w:tr>
        <w:trPr>
          <w:trHeight w:val="238"/>
        </w:trPr>
        <w:tc>
          <w:tcPr>
            <w:tcW w:w="2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44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14,748</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 AND STOCKHOLDERS' EQUITY</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2022, the Company's board of directors and the majority of the Company's stockholders approved increasing the number of authorized shares of the Company’s common stock from 200,000,000 authorized shares to 300,000,000 authorized shares. The additional shares of common stock authorized have rights identical to the Company’s outstanding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2022 Equity Incentive Plan</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May 26, 2022, the Company's board of directors approved the 2022 Equity Incentive Plan (the "2022 Plan"). The Company's stockholders subsequently adopted the 2022 Plan on July 12, 2022. The Company reserved 8.0 million shares of the Company's common stock for issuance under the 2022 Plan plus the number of shares subject to awards that were outstanding under the 2012 Plan as of 12:01 a.m. Pacific Time on June 22, 2022 (the “Prior Plan Expiration Time”), to the extent that, after the Prior Plan Expiration Time, such shares would have recycled back to the 2012 Plan (as defined below) in connection with the awards’ expiration, termination, cancellation, forfeiture, or repurchase, as described further below, and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December 31, 2022, 6.7 million shares remained available for future grants under the 2022 Plan.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2012 Equity Incentive Plan</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June 2012, the Company's board of directors approved the 2012 Equity Incentive Plan (the "2012 Plan"). The Company's stockholders subsequently adopted the 2012 Plan in July 2012, which became effective in August 2012. The 2012 Plan expired on June 22, 2022.</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2017 New Employee Inducement Incentive Plan</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details on the 2017 New Employee Inducement Incentive Plan (the "2017 Plan"), please refer to the Form 10-K. No grants were made under the 2017 Plan during the three months ended December 31, 2022. As of December 31, 2022, 1.4 million shares remained available for future grants under the 2017 Plan.</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December 31,</w:t>
            </w:r>
          </w:p>
        </w:tc>
        <w:tc>
          <w:tcPr>
            <w:tcW w:w="260" w:type="dxa"/>
            <w:vAlign w:val="bottom"/>
          </w:tcPr>
          <w:p>
            <w:pPr>
              <w:spacing w:after="0"/>
              <w:rPr>
                <w:sz w:val="18"/>
                <w:szCs w:val="18"/>
                <w:color w:val="auto"/>
              </w:rPr>
            </w:pPr>
          </w:p>
        </w:tc>
        <w:tc>
          <w:tcPr>
            <w:tcW w:w="3300" w:type="dxa"/>
            <w:vAlign w:val="bottom"/>
            <w:gridSpan w:val="6"/>
          </w:tcPr>
          <w:p>
            <w:pPr>
              <w:jc w:val="right"/>
              <w:ind w:right="399"/>
              <w:spacing w:after="0"/>
              <w:rPr>
                <w:sz w:val="20"/>
                <w:szCs w:val="20"/>
                <w:color w:val="auto"/>
              </w:rPr>
            </w:pPr>
            <w:r>
              <w:rPr>
                <w:rFonts w:ascii="Arial" w:cs="Arial" w:eastAsia="Arial" w:hAnsi="Arial"/>
                <w:sz w:val="16"/>
                <w:szCs w:val="16"/>
                <w:b w:val="1"/>
                <w:bCs w:val="1"/>
                <w:color w:val="auto"/>
              </w:rPr>
              <w:t>Nine Months Ended December 31,</w:t>
            </w:r>
          </w:p>
        </w:tc>
        <w:tc>
          <w:tcPr>
            <w:tcW w:w="0" w:type="dxa"/>
            <w:vAlign w:val="bottom"/>
          </w:tcPr>
          <w:p>
            <w:pPr>
              <w:spacing w:after="0"/>
              <w:rPr>
                <w:sz w:val="1"/>
                <w:szCs w:val="1"/>
                <w:color w:val="auto"/>
              </w:rPr>
            </w:pPr>
          </w:p>
        </w:tc>
      </w:tr>
      <w:tr>
        <w:trPr>
          <w:trHeight w:val="212"/>
        </w:trPr>
        <w:tc>
          <w:tcPr>
            <w:tcW w:w="3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26,628</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38,676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18,958</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30,742</w:t>
            </w:r>
          </w:p>
        </w:tc>
        <w:tc>
          <w:tcPr>
            <w:tcW w:w="0" w:type="dxa"/>
            <w:vAlign w:val="bottom"/>
          </w:tcPr>
          <w:p>
            <w:pPr>
              <w:spacing w:after="0"/>
              <w:rPr>
                <w:sz w:val="1"/>
                <w:szCs w:val="1"/>
                <w:color w:val="auto"/>
              </w:rPr>
            </w:pPr>
          </w:p>
        </w:tc>
      </w:tr>
      <w:tr>
        <w:trPr>
          <w:trHeight w:val="212"/>
        </w:trPr>
        <w:tc>
          <w:tcPr>
            <w:tcW w:w="398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21,081</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33,737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73,516</w:t>
            </w:r>
          </w:p>
        </w:tc>
        <w:tc>
          <w:tcPr>
            <w:tcW w:w="4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106,159</w:t>
            </w: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3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20" w:type="dxa"/>
            <w:vAlign w:val="bottom"/>
            <w:gridSpan w:val="4"/>
          </w:tcPr>
          <w:p>
            <w:pPr>
              <w:spacing w:after="0"/>
              <w:rPr>
                <w:sz w:val="20"/>
                <w:szCs w:val="20"/>
                <w:color w:val="auto"/>
              </w:rPr>
            </w:pPr>
            <w:r>
              <w:rPr>
                <w:rFonts w:ascii="Arial" w:cs="Arial" w:eastAsia="Arial" w:hAnsi="Arial"/>
                <w:sz w:val="16"/>
                <w:szCs w:val="16"/>
                <w:color w:val="auto"/>
              </w:rPr>
              <w:t>The following table presents the stock option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9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 Per</w:t>
            </w:r>
          </w:p>
        </w:tc>
        <w:tc>
          <w:tcPr>
            <w:tcW w:w="0" w:type="dxa"/>
            <w:vAlign w:val="bottom"/>
          </w:tcPr>
          <w:p>
            <w:pPr>
              <w:spacing w:after="0"/>
              <w:rPr>
                <w:sz w:val="1"/>
                <w:szCs w:val="1"/>
                <w:color w:val="auto"/>
              </w:rPr>
            </w:pPr>
          </w:p>
        </w:tc>
      </w:tr>
      <w:tr>
        <w:trPr>
          <w:trHeight w:val="215"/>
        </w:trPr>
        <w:tc>
          <w:tcPr>
            <w:tcW w:w="39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2022</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Canceled/Forfeited</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Outstanding at December 31, 2022</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4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Vested and expected to vest December 31, 2022</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4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at December 31, 2022</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in the nine months ended December 31, 2022 and 2021 was $40,000 and $14.0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there was no unrecognized compensation cost related to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grant any stock options during the nine months ended December 31,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of the Company's option grants has been estimated on the date of grant using the Black-Scholes pricing model.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Purchase Rights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activities related to stock purchase rights during the three months ended December 31,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there was no unrecognized compensation cost related to stock purchase rights.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b w:val="1"/>
                <w:bCs w:val="1"/>
                <w:i w:val="1"/>
                <w:iCs w:val="1"/>
                <w:color w:val="auto"/>
              </w:rPr>
              <w:t>Restricted Stock Units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6260" w:type="dxa"/>
            <w:vAlign w:val="bottom"/>
          </w:tcPr>
          <w:p>
            <w:pPr>
              <w:spacing w:after="0"/>
              <w:rPr>
                <w:sz w:val="20"/>
                <w:szCs w:val="20"/>
                <w:color w:val="auto"/>
              </w:rPr>
            </w:pPr>
            <w:r>
              <w:rPr>
                <w:rFonts w:ascii="Arial" w:cs="Arial" w:eastAsia="Arial" w:hAnsi="Arial"/>
                <w:sz w:val="16"/>
                <w:szCs w:val="16"/>
                <w:color w:val="auto"/>
              </w:rPr>
              <w:t>The following table presents the RSU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260" w:type="dxa"/>
            <w:vAlign w:val="bottom"/>
          </w:tcPr>
          <w:p>
            <w:pPr>
              <w:spacing w:after="0"/>
              <w:rPr>
                <w:sz w:val="24"/>
                <w:szCs w:val="24"/>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 Grant</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Date Fair Value</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13,096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there was $93.4 million of total unrecognized compensation cost related to RSUs.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PSUs are issued to a group of executives with vesting that is contingent on both market performance and continued service. The PSUs generally vest over periods ranging from one to three years based on Total Shareholder Return ("TSR"), as measured relative to specified market indices during the period from grant date through vesting date. A 2x multiplier will be applied for each percentage point of positive or negative relative TSR,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All PSU awards vest at the end of the respective performance periods, for those executives with continued service.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60" w:type="dxa"/>
            <w:vAlign w:val="bottom"/>
          </w:tcPr>
          <w:p>
            <w:pPr>
              <w:spacing w:after="0"/>
              <w:rPr>
                <w:sz w:val="20"/>
                <w:szCs w:val="20"/>
                <w:color w:val="auto"/>
              </w:rPr>
            </w:pPr>
            <w:r>
              <w:rPr>
                <w:rFonts w:ascii="Arial" w:cs="Arial" w:eastAsia="Arial" w:hAnsi="Arial"/>
                <w:sz w:val="16"/>
                <w:szCs w:val="16"/>
                <w:color w:val="auto"/>
              </w:rPr>
              <w:t xml:space="preserve">The following table presents the PSU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60" w:type="dxa"/>
            <w:vAlign w:val="bottom"/>
          </w:tcPr>
          <w:p>
            <w:pPr>
              <w:spacing w:after="0"/>
              <w:rPr>
                <w:sz w:val="24"/>
                <w:szCs w:val="24"/>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 Grant</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Date Fair Value</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60" w:firstLine="8"/>
        <w:spacing w:after="0" w:line="357" w:lineRule="auto"/>
        <w:tabs>
          <w:tab w:leader="none" w:pos="103"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 xml:space="preserve">Represents additional PSUs awarded as a result of the achievement of performance goals above the performance targets established at grant. Total unrecognized compensation cost related to PSUs </w:t>
      </w:r>
      <w:r>
        <w:rPr>
          <w:rFonts w:ascii="Arial" w:cs="Arial" w:eastAsia="Arial" w:hAnsi="Arial"/>
          <w:sz w:val="16"/>
          <w:szCs w:val="16"/>
          <w:color w:val="auto"/>
        </w:rPr>
        <w:t>was $10.6 million at December 31, 2022.</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December 31, 2022, there was approximately $2.1 million of unrecognized compensation cost related to employee stock purchases. This cost is expected to be recognized over a weighted average period of 0.3 years. In July 2022, the Company added 3.6 million shares to the ESPP for future issuances, and as of December 31, 2022, a total of 2.5 million shares were available for issuance under the ESPP.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Repurchases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August 2022, the Company repurchased in privately negotiated transactions with a limited number of holders 10,695,000 shares of its common stock for approximately $60 million. There were no stock repurchases during the nine months ended December 31, 2021.</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Issuance</w:t>
      </w:r>
    </w:p>
    <w:p>
      <w:pPr>
        <w:spacing w:after="0" w:line="3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August 11, 2022, the Company issued 1,015,024 shares of the Company’s common stock to settle its financial advisory fee for services provided in connection with Exchange Transaction and the issuance of the Term Loan and Warrants. The fair value of the shares was allocated to the Exchange Transaction as third-party costs and the issuance of Term Loan and Warrants as debt issuance costs based on a systematic and rational approach.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Company's effective tax rate was (0.1)% and (0.2)% for the three months ended December 31, 2022 and 2021, respectively; and was (1.7)% and (0.4)% for the nine months ended December 31, 2022 and 2021, respectively. The difference in the effective tax rate and the U.S. federal statutory rate was primarily due to the full valuation allowance the Company maintains against its deferred tax assets and driven by current tax liabilities of profitable foreign subsidiaries and state minimum taxes in the United States. The effective tax rate is calculated by dividing the Provision for income taxes by the Loss before provision for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loss per share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dollars in thousands, except per share data</w:t>
      </w:r>
      <w:r>
        <w:rPr>
          <w:rFonts w:ascii="Arial" w:cs="Arial" w:eastAsia="Arial" w:hAnsi="Arial"/>
          <w:sz w:val="16"/>
          <w:szCs w:val="16"/>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38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December 31,</w:t>
            </w:r>
          </w:p>
        </w:tc>
        <w:tc>
          <w:tcPr>
            <w:tcW w:w="3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35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(129,801)</w:t>
            </w:r>
          </w:p>
        </w:tc>
      </w:tr>
      <w:tr>
        <w:trPr>
          <w:trHeight w:val="177"/>
        </w:trPr>
        <w:tc>
          <w:tcPr>
            <w:tcW w:w="3500" w:type="dxa"/>
            <w:vAlign w:val="bottom"/>
          </w:tcPr>
          <w:p>
            <w:pPr>
              <w:ind w:left="20"/>
              <w:spacing w:after="0" w:line="178" w:lineRule="exact"/>
              <w:rPr>
                <w:sz w:val="20"/>
                <w:szCs w:val="20"/>
                <w:color w:val="auto"/>
              </w:rPr>
            </w:pPr>
            <w:r>
              <w:rPr>
                <w:rFonts w:ascii="Arial" w:cs="Arial" w:eastAsia="Arial" w:hAnsi="Arial"/>
                <w:sz w:val="16"/>
                <w:szCs w:val="16"/>
                <w:color w:val="auto"/>
              </w:rPr>
              <w:t>Weighted average common shares outstanding</w:t>
            </w: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6"/>
                <w:szCs w:val="16"/>
                <w:color w:val="auto"/>
              </w:rPr>
              <w:t>- basic and diluted (in thousands)</w:t>
            </w: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113,201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113,510</w:t>
            </w: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116,298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111,960</w:t>
            </w:r>
          </w:p>
        </w:tc>
      </w:tr>
      <w:tr>
        <w:trPr>
          <w:trHeight w:val="259"/>
        </w:trPr>
        <w:tc>
          <w:tcPr>
            <w:tcW w:w="35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Net loss per share - basic and diluted</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(0.38)</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25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potentially dilutive common shares were excluded from the calculation of diluted earnings per share because their inclusion would have been anti-dilutive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243"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Three Months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1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620" w:type="dxa"/>
            <w:vAlign w:val="bottom"/>
          </w:tcPr>
          <w:p>
            <w:pPr>
              <w:jc w:val="right"/>
              <w:spacing w:after="0"/>
              <w:rPr>
                <w:sz w:val="20"/>
                <w:szCs w:val="20"/>
                <w:color w:val="auto"/>
              </w:rPr>
            </w:pPr>
            <w:r>
              <w:rPr>
                <w:rFonts w:ascii="Arial" w:cs="Arial" w:eastAsia="Arial" w:hAnsi="Arial"/>
                <w:sz w:val="16"/>
                <w:szCs w:val="16"/>
                <w:color w:val="auto"/>
              </w:rPr>
              <w:t>16,281</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9,192</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2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Total anti-dilutive shares</w:t>
            </w:r>
          </w:p>
        </w:tc>
        <w:tc>
          <w:tcPr>
            <w:tcW w:w="620" w:type="dxa"/>
            <w:vAlign w:val="bottom"/>
          </w:tcPr>
          <w:p>
            <w:pPr>
              <w:jc w:val="right"/>
              <w:spacing w:after="0"/>
              <w:rPr>
                <w:sz w:val="20"/>
                <w:szCs w:val="20"/>
                <w:color w:val="auto"/>
              </w:rPr>
            </w:pPr>
            <w:r>
              <w:rPr>
                <w:rFonts w:ascii="Arial" w:cs="Arial" w:eastAsia="Arial" w:hAnsi="Arial"/>
                <w:sz w:val="16"/>
                <w:szCs w:val="16"/>
                <w:color w:val="auto"/>
              </w:rPr>
              <w:t>19,466</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10,853</w:t>
            </w:r>
          </w:p>
        </w:tc>
      </w:tr>
      <w:tr>
        <w:trPr>
          <w:trHeight w:val="21"/>
        </w:trPr>
        <w:tc>
          <w:tcPr>
            <w:tcW w:w="7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933"/>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12. GEOGRAPHICAL INFORMATION</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8"/>
        </w:trPr>
        <w:tc>
          <w:tcPr>
            <w:tcW w:w="6940" w:type="dxa"/>
            <w:vAlign w:val="bottom"/>
            <w:gridSpan w:val="6"/>
          </w:tcPr>
          <w:p>
            <w:pPr>
              <w:spacing w:after="0"/>
              <w:rPr>
                <w:sz w:val="20"/>
                <w:szCs w:val="20"/>
                <w:color w:val="auto"/>
              </w:rPr>
            </w:pPr>
            <w:r>
              <w:rPr>
                <w:rFonts w:ascii="Arial" w:cs="Arial" w:eastAsia="Arial" w:hAnsi="Arial"/>
                <w:sz w:val="16"/>
                <w:szCs w:val="16"/>
                <w:color w:val="auto"/>
              </w:rPr>
              <w:t>The following tables set forth the geographic information for each period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2"/>
        </w:trPr>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0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December 31,</w:t>
            </w: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December 31,</w:t>
            </w:r>
          </w:p>
        </w:tc>
      </w:tr>
      <w:tr>
        <w:trPr>
          <w:trHeight w:val="212"/>
        </w:trPr>
        <w:tc>
          <w:tcPr>
            <w:tcW w:w="126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133,891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106,849</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315,114</w:t>
            </w:r>
          </w:p>
        </w:tc>
      </w:tr>
      <w:tr>
        <w:trPr>
          <w:trHeight w:val="213"/>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50,509</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50,025</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141,644</w:t>
            </w:r>
          </w:p>
        </w:tc>
      </w:tr>
      <w:tr>
        <w:trPr>
          <w:trHeight w:val="238"/>
        </w:trPr>
        <w:tc>
          <w:tcPr>
            <w:tcW w:w="4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184,400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156,874</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559,409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456,758</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47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Property and Equipment as of</w:t>
            </w:r>
          </w:p>
        </w:tc>
        <w:tc>
          <w:tcPr>
            <w:tcW w:w="660" w:type="dxa"/>
            <w:vAlign w:val="bottom"/>
          </w:tcPr>
          <w:p>
            <w:pPr>
              <w:spacing w:after="0"/>
              <w:rPr>
                <w:sz w:val="18"/>
                <w:szCs w:val="18"/>
                <w:color w:val="auto"/>
              </w:rPr>
            </w:pPr>
          </w:p>
        </w:tc>
      </w:tr>
      <w:tr>
        <w:trPr>
          <w:trHeight w:val="219"/>
        </w:trPr>
        <w:tc>
          <w:tcPr>
            <w:tcW w:w="584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660" w:type="dxa"/>
            <w:vAlign w:val="bottom"/>
            <w:tcBorders>
              <w:bottom w:val="single" w:sz="8" w:color="auto"/>
            </w:tcBorders>
          </w:tcPr>
          <w:p>
            <w:pPr>
              <w:spacing w:after="0"/>
              <w:rPr>
                <w:sz w:val="19"/>
                <w:szCs w:val="19"/>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60" w:type="dxa"/>
            <w:vAlign w:val="bottom"/>
            <w:shd w:val="clear" w:color="auto" w:fill="CCEEFF"/>
          </w:tcPr>
          <w:p>
            <w:pPr>
              <w:jc w:val="right"/>
              <w:ind w:right="1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56,998</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7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73,967</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3,917</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5,049</w:t>
            </w:r>
          </w:p>
        </w:tc>
      </w:tr>
      <w:tr>
        <w:trPr>
          <w:trHeight w:val="237"/>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2060" w:type="dxa"/>
            <w:vAlign w:val="bottom"/>
            <w:tcBorders>
              <w:bottom w:val="single" w:sz="8" w:color="auto"/>
            </w:tcBorders>
            <w:shd w:val="clear" w:color="auto" w:fill="CCEEFF"/>
          </w:tcPr>
          <w:p>
            <w:pPr>
              <w:jc w:val="right"/>
              <w:ind w:right="1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60,915</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ind w:right="17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79,016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Fuze</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222222"/>
        </w:rPr>
        <w:t xml:space="preserve">On January 18, 2022, the Company acquired 100% of the outstanding shares of common stock of Fuze, Inc. for a total consideration of $213.8 million, which consisted of $132.9 million in cash and $80.9 million in shares of common stock of the Company (based on $15.48 closing price of the Company's stock on January 18, 2022), of which approximately $1.3 million in cash and up to 1,153,523 shares were held back as part of the merger agreement, and 346,053 shares were held back (pursuant to indemnity obligations) and reserved for later issuance. Subsequently, in May 2022, the approximately $1.3 million in cash held back was released as part of the working capital adjustment. The results of Fuze, Inc.’s operations have been included in the Company's consolidated financial statements, including </w:t>
      </w:r>
      <w:r>
        <w:rPr>
          <w:rFonts w:ascii="Arial" w:cs="Arial" w:eastAsia="Arial" w:hAnsi="Arial"/>
          <w:sz w:val="16"/>
          <w:szCs w:val="16"/>
          <w:color w:val="000000"/>
        </w:rPr>
        <w:t>revenue for the three and nine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 leading SaaS provider of voice, video, contact center, and communication APIs powered by a global cloud communications platform. From our proprietary cloud technology platform, organizations across all their locations and employees have access to unified communications, team collaboration, video conferencing, contact center, data and analytics, communication APIs, and other services, enabling them to be more productive and responsive to their customers.</w:t>
      </w:r>
    </w:p>
    <w:p>
      <w:pPr>
        <w:spacing w:after="0" w:line="13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customers range from small businesses to large enterprises and their users are spread across more than 180 countries. In recent years, we have increased our focus on the mid-market and enterprise customer sectors.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a portfolio of cloud-based offerings that are subscription-based, made available at different rates, varying by the specific functionalities, services, and number of users. We generate service revenue from communications services subscriptions and platform usage. 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11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Our flagship service is our 8x8 XCaaS platform, which is a unified, cloud-based technology platform that includes a range of enterprise-grade Unified Communications-as-a-Service (UCaaS) and Contact Center-as-a-Service (CCaaS) solutions. Our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customers purchase service plans with increasing functionality designated as X1, X2, etc., through X8, based on the specific communication needs and customer engagement profile of each user. Because XCaaS serves as a single integration framework for communications across an organization, customers can reduce costs associated with provisioning and management, increase customization based on use cases, and ensure compliance with security and data privacy requirements on a global scale. XCaaS also includes integrations with more than 50 third party applications, including Microsoft Teams.</w:t>
      </w:r>
    </w:p>
    <w:p>
      <w:pPr>
        <w:spacing w:after="0" w:line="239" w:lineRule="exact"/>
        <w:rPr>
          <w:sz w:val="20"/>
          <w:szCs w:val="20"/>
          <w:color w:val="auto"/>
        </w:rPr>
      </w:pPr>
    </w:p>
    <w:p>
      <w:pPr>
        <w:ind w:right="320"/>
        <w:spacing w:after="0" w:line="242" w:lineRule="auto"/>
        <w:rPr>
          <w:sz w:val="20"/>
          <w:szCs w:val="20"/>
          <w:color w:val="auto"/>
        </w:rPr>
      </w:pPr>
      <w:r>
        <w:rPr>
          <w:rFonts w:ascii="Arial" w:cs="Arial" w:eastAsia="Arial" w:hAnsi="Arial"/>
          <w:sz w:val="16"/>
          <w:szCs w:val="16"/>
          <w:color w:val="auto"/>
        </w:rPr>
        <w:t>In January 2022, we acquired Fuze, Inc., a competitor in UCaaS for the enterprise, for approximately $213.8 million in stock and cash. The acquisition of Fuze, Inc. increased our installed base of enterprise customers and accelerated innovation on the XCaaS platform.</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AND OUTLOOK</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third quarter of fiscal 2023, our total revenue grew $27.5 million, or approximately 18% year-over-year, to $184.4 million. Excluding $26.5 million of revenue from the Fuze customer base, our total revenue increased approximately 1% for the three months ended December 31, 2022. During the nine months ended December 31, 2022, our total revenue grew $102.7 million, or approximately 22% year-over-year, to $559.4 million. Excluding $84.4 million of revenue from the Fuze customer base, our total revenue increased 4% for the nine months ended December 31, 2022.</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As part of our long-term strategy to increase profitability and cash flow, we continue to focus on reducing the cost of delivering our services and improving our operating efficiency, while increasing our revenue and Annualized Recurring Subscriptions and Usage Revenue (ARR) from XCaaS and enterprise customers. We believe that continued innovation is necessary to meet the evolving needs of today’s workforce and is a critical factor in attracting and retaining high value enterprise customers. We have focused our sales and marketing to drive awareness of the XCaaS product and unique features that 8x8 provides its customers.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are committed to increasing our investment in research and development in fiscal 2023 compared to fiscal 2022 because we believe innovation will drive future competitive advantage through product differentiation and is an important variable in achieving sustainable growth. Our acquisition of Fuze, Inc. increased our engineering resources dedicated to innovation on our XCaaS platform.</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ARR from mid-market and enterprise customers represented 76% of total ARR and increased 30% compared to the same period in fiscal 2022. ARR associated with small business customers increased 4% year-over-year and accounted for 24% of total ARR, compared to 28% of ARR a year ago. We have focused our sales and marketing resources on increasing our enterprise ARR as a long-term strategy due to enterprise customers' longer commitments, higher retention, and better efficiency ratios. Enterprise customers are also more likely to need the advanced capabilities of our contact center solutions and realize the advantages of our unified XCaaS platform. See "Key Business Metrics" section below for further discussion on how we define ARR.</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At the end of the third quarter of fiscal 2023, enterprise customers accounted for 57% of total ARR and approximately 40% of our ARR was derived from customers deploying the UCaaS and CCaaS capabilities of our XCaaS platform.</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In August 2022, we took steps to improve our capital structure by refinancing approximately $403.8 million of $500.0 million aggregate principal amount of 2024 Notes through an exchange for approximately $201.9 million in 2028 Notes plus approximately $181.8 million in cash. The cash payment was funded with the partial proceeds of a $250.0 million senior secured term loan facility due in 2027 entered into on August 10, 2022. At the same time as we issued the 2028 Notes, we repurchased 10,695,000 shares of our common stock for approximately $60.0 million in privately negotiated transactions with a limited number of holders. Subsequently, on September 28, 2022, we repurchased an additional $6.0 million in aggregate principal amount of the 2024 Notes in a separate privately negotiated transaction. On December 9, 2022, we repurchased an additional aggregate principal amount of $21.8 million of the 2024 Notes through privately negotiated transactions with two of the remaining 2024 Notes holders for an aggregate purchase price of $20.1 million. Approximately $68.3 million of the 2024 Notes was outstanding as of December 31, 2022. See Part I, Item 1,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0000FF"/>
        </w:rPr>
        <w:t>8</w:t>
      </w:r>
      <w:r>
        <w:rPr>
          <w:rFonts w:ascii="Arial" w:cs="Arial" w:eastAsia="Arial" w:hAnsi="Arial"/>
          <w:sz w:val="16"/>
          <w:szCs w:val="16"/>
          <w:i w:val="1"/>
          <w:iCs w:val="1"/>
          <w:color w:val="auto"/>
        </w:rPr>
        <w:t>, Convertible Senior Notes, Term Loan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Capped Calls </w:t>
      </w:r>
      <w:r>
        <w:rPr>
          <w:rFonts w:ascii="Arial" w:cs="Arial" w:eastAsia="Arial" w:hAnsi="Arial"/>
          <w:sz w:val="16"/>
          <w:szCs w:val="16"/>
          <w:color w:val="auto"/>
        </w:rPr>
        <w:t>to our condensed consolidated financial statements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-130175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6"/>
          <w:szCs w:val="16"/>
          <w:color w:val="auto"/>
        </w:rPr>
        <w:t>Approximately two-thirds of our investment in research and development is focused on extending the contact center capabilities of our XCaaS platform. We plan to continue our efforts to reduce our unit costs to improve our gross profit margin as our business scales. Additionally, we plan to reduce our investments in sales and marketing as a percentage of revenue as we focus on driving improved efficiencies in our customer acquisition and sales operations.</w:t>
      </w:r>
    </w:p>
    <w:p>
      <w:pPr>
        <w:spacing w:after="0" w:line="200" w:lineRule="exact"/>
        <w:rPr>
          <w:sz w:val="20"/>
          <w:szCs w:val="20"/>
          <w:color w:val="auto"/>
        </w:rPr>
      </w:pP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part of this focus, in October 2022 and January 2023, we conducted two separate workforce reductions involving approximately 300 employees, primarily focused on sales and marketing and general and administrative functions. We expect these workforce reductions and organizational realignments to improve our operational efficiency and align our resources to our critical areas of focus including streamlining sales and marketing, enhancing customer support, accelerating CCaaS innovation, and strengthening our financial position.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full extent of the long-term impact of the COVID-19 pandemic on our business, operations and financial results will depend on numerous evolving factors that we may not be able to accurately predict, including those set forth under the section entitled "Risk Factors" in the Form 10-K. Our workforce continues to spend significant time working from home, even as travel for our employees begins to return to pre-COVID-19 levels. It is not clear what the full potential effects of the global health crisis caused by COVID-19 will be on our business, including the effects on our customers, suppliers or vendors, or on our financial results, 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future, particularly if governments were to re-enact various measures previously implemented to slow the spread of COVID-19, including orders to close non-essential businesses and for residents to isolate in their homes.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BUSINESS METRICS</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management periodically reviews certain key business metrics to evaluate our operations, allocate resources, and drive financial performance in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Annualized Recurring Subscriptions and Usage Revenue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management reviews Annualized Recurring Subscriptions and Usage Revenue (“ARR”) and believes it may be useful to investors to evaluate trends in future revenues of the Company. Our management believes ARR is an important indicator for measuring the overall performance of the business. Our management uses trends in ARR to assess our ongoing operations, allocate resources, and drive the financial performance of the business. We define ARR as equal to the sum of the most recent month of (i) recurring subscription amounts and (ii) platform usage charges for all CPaaS customers (subject to a minimum billings threshold for a period of at least six consecutive months), multiplied by 12. 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COMPONENTS OF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and CPaaS offerings. We plan to continue to invest resources to increase service revenue through a combination of sales and marketing efforts, expansion of our global connectivity, innovation in product and technology, and strategic acquisitions of technologies and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revenue consists of revenues from professional services, primarily in support of deployment of our solutions and/or platform, and revenues from sales and rentals of IP telephones in conjunction with our cloud telephony service. Other revenue is dependent on the number and size of customers who choose to purchase or rent an IP telephone in conjunction with our UCaaS service and choose to engage our professional services organization for implementation and deployment of our cloud UCaaS and CCaaS solutions.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and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other revenue consists primarily of direct and indirect costs associated with the purchasing of IP telephones as well as the scheduling, shipping and handling, personnel costs, expenditures incurred in connection with the professional services associated with the deployment and implementation of our products, and allocated IT and facilities costs.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74"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and allocated IT and facilities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promotional expenses,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IT and facilities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expense, net, consists primarily of interest expense related to the term loan and convertible notes, partially offset by income earned on our cash, cash equivalents, investments, and gains / losses from foreign exchange, debt extinguishment and warrants measurement.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Provision for (benefit from)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net 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following discussion should be read in conjunction with our condensed consolidated financial statements and the notes thereto. Our results of operations for the three and nine months ended December 31, 2022 and the discussion below, include Fuze, Inc.'s results of operations, while the results of operations for the three and nine months ended December 31, 2021 did not include Fuze, Inc.’s results of operations, since it was acquired on January 18, 2022. Our results of operations are also impacted by fluctuations in foreign currencies. For additional information, please refer to Part 1, Item 3. Quantitative and Qualitative Disclosures About Market Risks.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gridSpan w:val="3"/>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43"/>
        </w:trPr>
        <w:tc>
          <w:tcPr>
            <w:tcW w:w="32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3260" w:type="dxa"/>
            <w:vAlign w:val="bottom"/>
            <w:gridSpan w:val="3"/>
          </w:tcPr>
          <w:p>
            <w:pPr>
              <w:spacing w:after="0"/>
              <w:rPr>
                <w:sz w:val="20"/>
                <w:szCs w:val="20"/>
                <w:color w:val="auto"/>
              </w:rPr>
            </w:pPr>
            <w:r>
              <w:rPr>
                <w:rFonts w:ascii="Arial" w:cs="Arial" w:eastAsia="Arial" w:hAnsi="Arial"/>
                <w:sz w:val="16"/>
                <w:szCs w:val="16"/>
                <w:b w:val="1"/>
                <w:bCs w:val="1"/>
                <w:color w:val="auto"/>
              </w:rPr>
              <w:t>Service revenue</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6"/>
        </w:trPr>
        <w:tc>
          <w:tcPr>
            <w:tcW w:w="68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spacing w:after="0"/>
              <w:rPr>
                <w:sz w:val="24"/>
                <w:szCs w:val="24"/>
                <w:color w:val="auto"/>
              </w:rPr>
            </w:pPr>
          </w:p>
        </w:tc>
        <w:tc>
          <w:tcPr>
            <w:tcW w:w="20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4"/>
                <w:szCs w:val="24"/>
                <w:color w:val="auto"/>
              </w:rPr>
            </w:pPr>
          </w:p>
        </w:tc>
      </w:tr>
      <w:tr>
        <w:trPr>
          <w:trHeight w:val="213"/>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175,765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149,396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26,369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1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6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95.2 %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9"/>
        </w:trPr>
        <w:tc>
          <w:tcPr>
            <w:tcW w:w="3260" w:type="dxa"/>
            <w:vAlign w:val="bottom"/>
            <w:gridSpan w:val="3"/>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Nine Months Ended December 31,</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533,482</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429,568</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ind w:right="939"/>
              <w:spacing w:after="0"/>
              <w:rPr>
                <w:sz w:val="20"/>
                <w:szCs w:val="20"/>
                <w:color w:val="auto"/>
              </w:rPr>
            </w:pPr>
            <w:r>
              <w:rPr>
                <w:rFonts w:ascii="Arial" w:cs="Arial" w:eastAsia="Arial" w:hAnsi="Arial"/>
                <w:sz w:val="16"/>
                <w:szCs w:val="16"/>
                <w:color w:val="auto"/>
              </w:rPr>
              <w:t>103,914</w:t>
            </w:r>
          </w:p>
        </w:tc>
        <w:tc>
          <w:tcPr>
            <w:tcW w:w="1060" w:type="dxa"/>
            <w:vAlign w:val="bottom"/>
          </w:tcPr>
          <w:p>
            <w:pPr>
              <w:jc w:val="right"/>
              <w:spacing w:after="0"/>
              <w:rPr>
                <w:sz w:val="20"/>
                <w:szCs w:val="20"/>
                <w:color w:val="auto"/>
              </w:rPr>
            </w:pPr>
            <w:r>
              <w:rPr>
                <w:rFonts w:ascii="Arial" w:cs="Arial" w:eastAsia="Arial" w:hAnsi="Arial"/>
                <w:sz w:val="16"/>
                <w:szCs w:val="16"/>
                <w:color w:val="auto"/>
              </w:rPr>
              <w:t>24.2 %</w:t>
            </w:r>
          </w:p>
        </w:tc>
      </w:tr>
      <w:tr>
        <w:trPr>
          <w:trHeight w:val="219"/>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6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69" w:lineRule="exact"/>
        <w:rPr>
          <w:sz w:val="20"/>
          <w:szCs w:val="20"/>
          <w:color w:val="auto"/>
        </w:rPr>
      </w:pPr>
    </w:p>
    <w:p>
      <w:pPr>
        <w:jc w:val="both"/>
        <w:spacing w:after="0"/>
        <w:rPr>
          <w:sz w:val="20"/>
          <w:szCs w:val="20"/>
          <w:color w:val="auto"/>
        </w:rPr>
      </w:pPr>
      <w:r>
        <w:rPr>
          <w:rFonts w:ascii="Arial" w:cs="Arial" w:eastAsia="Arial" w:hAnsi="Arial"/>
          <w:sz w:val="16"/>
          <w:szCs w:val="16"/>
          <w:color w:val="auto"/>
        </w:rPr>
        <w:t>Service revenue increased for the three and nine months ended December 31, 2022, as compared to the three and nine months ended December 31, 2021, primarily due to a net increase in our installed base of mid-market and enterprise customers, expanded deployments by existing customers, and growth in related telecom usage by our customers. Nearly all growth for service revenue in the three months ended December 31, 2022 was attributable to our acquisition of Fuze, Inc., which contributed approximately $26.5 million and $83.7 million in service revenue for the three and nine months ended December 31, 2022, respectively. The increase in service revenue reflected increased sales of our UCaaS and CCaaS solutions, increased adoption of our XCaaS integrated communication and collaboration platform, and growth in sales of our UCaaS direct routing solution for Microsoft Teams users. The increase in service revenue from these sources was partially offset by a decrease in usage revenue generated by our CPaaS products, primarily in the Asia-Pacific region.</w:t>
      </w:r>
    </w:p>
    <w:p>
      <w:pPr>
        <w:spacing w:after="0" w:line="200" w:lineRule="exact"/>
        <w:rPr>
          <w:sz w:val="20"/>
          <w:szCs w:val="20"/>
          <w:color w:val="auto"/>
        </w:rPr>
      </w:pPr>
    </w:p>
    <w:p>
      <w:pPr>
        <w:spacing w:after="0" w:line="213"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We expect our service revenue to grow over time with our diverse platform offering as we increase the features and functionality of our platform and expand the global coverage of our UCaaS services.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Other revenue</w:t>
            </w: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7"/>
        </w:trPr>
        <w:tc>
          <w:tcPr>
            <w:tcW w:w="1100" w:type="dxa"/>
            <w:vAlign w:val="bottom"/>
            <w:tcBorders>
              <w:top w:val="single" w:sz="8" w:color="auto"/>
              <w:bottom w:val="single" w:sz="8" w:color="CCEEFF"/>
            </w:tcBorders>
          </w:tcPr>
          <w:p>
            <w:pPr>
              <w:spacing w:after="0"/>
              <w:rPr>
                <w:sz w:val="21"/>
                <w:szCs w:val="21"/>
                <w:color w:val="auto"/>
              </w:rPr>
            </w:pPr>
          </w:p>
        </w:tc>
        <w:tc>
          <w:tcPr>
            <w:tcW w:w="21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1"/>
                <w:szCs w:val="21"/>
                <w:color w:val="auto"/>
              </w:rPr>
            </w:pPr>
          </w:p>
        </w:tc>
      </w:tr>
      <w:tr>
        <w:trPr>
          <w:trHeight w:val="21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8,635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7,478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1,157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4.7 %</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0"/>
        </w:trPr>
        <w:tc>
          <w:tcPr>
            <w:tcW w:w="3280" w:type="dxa"/>
            <w:vAlign w:val="bottom"/>
            <w:gridSpan w:val="2"/>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25,927</w:t>
            </w:r>
          </w:p>
        </w:tc>
        <w:tc>
          <w:tcPr>
            <w:tcW w:w="14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27,190</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ind w:right="899"/>
              <w:spacing w:after="0"/>
              <w:rPr>
                <w:sz w:val="20"/>
                <w:szCs w:val="20"/>
                <w:color w:val="auto"/>
              </w:rPr>
            </w:pPr>
            <w:r>
              <w:rPr>
                <w:rFonts w:ascii="Arial" w:cs="Arial" w:eastAsia="Arial" w:hAnsi="Arial"/>
                <w:sz w:val="16"/>
                <w:szCs w:val="16"/>
                <w:color w:val="auto"/>
              </w:rPr>
              <w:t>(1,263)</w:t>
            </w: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32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Other revenue increased for the three months ended December 31, 2022, as compared to the three months ended December 31, 2021, due to increased product revenue. Other revenue decreased for the nine months ended December 31, 2022, as compared to the nine months ended December 31, 2021, due to decreased professional services revenue.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our total revenues for the three and nine months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3280" w:type="dxa"/>
            <w:vAlign w:val="bottom"/>
            <w:gridSpan w:val="4"/>
          </w:tcPr>
          <w:p>
            <w:pPr>
              <w:spacing w:after="0"/>
              <w:rPr>
                <w:sz w:val="20"/>
                <w:szCs w:val="20"/>
                <w:color w:val="auto"/>
              </w:rPr>
            </w:pPr>
            <w:r>
              <w:rPr>
                <w:rFonts w:ascii="Arial" w:cs="Arial" w:eastAsia="Arial" w:hAnsi="Arial"/>
                <w:sz w:val="16"/>
                <w:szCs w:val="16"/>
                <w:color w:val="0000FF"/>
              </w:rPr>
              <w:t>Table of Contents</w:t>
            </w: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98"/>
        </w:trPr>
        <w:tc>
          <w:tcPr>
            <w:tcW w:w="32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3280" w:type="dxa"/>
            <w:vAlign w:val="bottom"/>
            <w:gridSpan w:val="4"/>
          </w:tcPr>
          <w:p>
            <w:pPr>
              <w:spacing w:after="0"/>
              <w:rPr>
                <w:sz w:val="20"/>
                <w:szCs w:val="20"/>
                <w:color w:val="auto"/>
              </w:rPr>
            </w:pPr>
            <w:r>
              <w:rPr>
                <w:rFonts w:ascii="Arial" w:cs="Arial" w:eastAsia="Arial" w:hAnsi="Arial"/>
                <w:sz w:val="16"/>
                <w:szCs w:val="16"/>
                <w:b w:val="1"/>
                <w:bCs w:val="1"/>
                <w:color w:val="auto"/>
              </w:rPr>
              <w:t>Cost of service revenue</w:t>
            </w: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6"/>
        </w:trPr>
        <w:tc>
          <w:tcPr>
            <w:tcW w:w="126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13"/>
        </w:trPr>
        <w:tc>
          <w:tcPr>
            <w:tcW w:w="32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47,335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48,763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(1,428)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3280" w:type="dxa"/>
            <w:vAlign w:val="bottom"/>
            <w:gridSpan w:val="4"/>
          </w:tcPr>
          <w:p>
            <w:pPr>
              <w:ind w:left="20"/>
              <w:spacing w:after="0"/>
              <w:rPr>
                <w:sz w:val="20"/>
                <w:szCs w:val="20"/>
                <w:color w:val="auto"/>
              </w:rPr>
            </w:pPr>
            <w:r>
              <w:rPr>
                <w:rFonts w:ascii="Arial" w:cs="Arial" w:eastAsia="Arial" w:hAnsi="Arial"/>
                <w:sz w:val="16"/>
                <w:szCs w:val="16"/>
                <w:color w:val="auto"/>
              </w:rPr>
              <w:t>Percentage of service revenue</w:t>
            </w: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26.9 %</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3"/>
        </w:trPr>
        <w:tc>
          <w:tcPr>
            <w:tcW w:w="3280" w:type="dxa"/>
            <w:vAlign w:val="bottom"/>
            <w:gridSpan w:val="4"/>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3"/>
        </w:trPr>
        <w:tc>
          <w:tcPr>
            <w:tcW w:w="3280" w:type="dxa"/>
            <w:vAlign w:val="bottom"/>
            <w:gridSpan w:val="4"/>
          </w:tcPr>
          <w:p>
            <w:pPr>
              <w:ind w:left="20"/>
              <w:spacing w:after="0"/>
              <w:rPr>
                <w:sz w:val="20"/>
                <w:szCs w:val="20"/>
                <w:color w:val="auto"/>
              </w:rPr>
            </w:pPr>
            <w:r>
              <w:rPr>
                <w:rFonts w:ascii="Arial" w:cs="Arial" w:eastAsia="Arial" w:hAnsi="Arial"/>
                <w:sz w:val="16"/>
                <w:szCs w:val="16"/>
                <w:color w:val="auto"/>
              </w:rPr>
              <w:t>Nine Months Ended December 31,</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151,920</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141,971</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959"/>
              <w:spacing w:after="0"/>
              <w:rPr>
                <w:sz w:val="20"/>
                <w:szCs w:val="20"/>
                <w:color w:val="auto"/>
              </w:rPr>
            </w:pPr>
            <w:r>
              <w:rPr>
                <w:rFonts w:ascii="Arial" w:cs="Arial" w:eastAsia="Arial" w:hAnsi="Arial"/>
                <w:sz w:val="16"/>
                <w:szCs w:val="16"/>
                <w:color w:val="auto"/>
              </w:rPr>
              <w:t>9,949</w:t>
            </w:r>
          </w:p>
        </w:tc>
        <w:tc>
          <w:tcPr>
            <w:tcW w:w="104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19"/>
        </w:trPr>
        <w:tc>
          <w:tcPr>
            <w:tcW w:w="32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Percentage of service revenue</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6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Cost of service revenue decreased in dollars and as a percentage of service revenue for the three months ended December 31, 2022, as compared to the three months ended December 31, 2021, due to decreases of $2.8 million in communication infrastructure costs resulting from cost of sales improvement process and $1.0 million in amortization of capitalized software. This was partially offset by a $1.0 million increase in depreciation and amortization of intangibles.</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Cost of service revenue increased in dollars but decreased as a percentage of service revenue for the nine months ended December 31, 2022, as compared to the nine months ended December 31, 2021, due to increases of $5.2 million in employee and consulting related costs, $2.9 million in depreciation of intangibles, $2.5 million in communication and infrastructure costs, and $1.1 million in software costs. This was partially offset by a decrease of $2.1 million in amortization of capitalized software.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We expect cost of service revenue will increase in absolute dollars but generally decrease as a percentage of revenue in future periods.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Cost of other revenue</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7"/>
        </w:trPr>
        <w:tc>
          <w:tcPr>
            <w:tcW w:w="1680" w:type="dxa"/>
            <w:vAlign w:val="bottom"/>
            <w:tcBorders>
              <w:top w:val="single" w:sz="8" w:color="auto"/>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1"/>
                <w:szCs w:val="21"/>
                <w:color w:val="auto"/>
              </w:rPr>
            </w:pPr>
          </w:p>
        </w:tc>
      </w:tr>
      <w:tr>
        <w:trPr>
          <w:trHeight w:val="21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10,176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11,071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(895)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Percentage of other revenue</w:t>
            </w: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117.8 %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148.0 %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9"/>
        </w:trPr>
        <w:tc>
          <w:tcPr>
            <w:tcW w:w="3240" w:type="dxa"/>
            <w:vAlign w:val="bottom"/>
            <w:gridSpan w:val="2"/>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34,302</w:t>
            </w:r>
          </w:p>
        </w:tc>
        <w:tc>
          <w:tcPr>
            <w:tcW w:w="100" w:type="dxa"/>
            <w:vAlign w:val="bottom"/>
          </w:tcPr>
          <w:p>
            <w:pPr>
              <w:spacing w:after="0"/>
              <w:rPr>
                <w:sz w:val="18"/>
                <w:szCs w:val="18"/>
                <w:color w:val="auto"/>
              </w:rPr>
            </w:pP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37,086</w:t>
            </w:r>
          </w:p>
        </w:tc>
        <w:tc>
          <w:tcPr>
            <w:tcW w:w="100" w:type="dxa"/>
            <w:vAlign w:val="bottom"/>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899"/>
              <w:spacing w:after="0"/>
              <w:rPr>
                <w:sz w:val="20"/>
                <w:szCs w:val="20"/>
                <w:color w:val="auto"/>
              </w:rPr>
            </w:pPr>
            <w:r>
              <w:rPr>
                <w:rFonts w:ascii="Arial" w:cs="Arial" w:eastAsia="Arial" w:hAnsi="Arial"/>
                <w:sz w:val="16"/>
                <w:szCs w:val="16"/>
                <w:color w:val="auto"/>
              </w:rPr>
              <w:t>(2,784)</w:t>
            </w: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other revenue</w:t>
            </w: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Cost of other revenue decreased both in dollars and as a percentage of other revenue for the three months ended December 31, 2022, as compared to the three months ended December 31, 2021, primarily due to decreased personnel and related costs to deliver our professional services.</w:t>
      </w:r>
    </w:p>
    <w:p>
      <w:pPr>
        <w:spacing w:after="0" w:line="20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other revenue decreased in dollars and as a percentage of other revenue for the nine months ended December 31, 2022, primarily due to decreased personnel and related costs to deliver our professional services, which also declined in revenue.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68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18"/>
        </w:trPr>
        <w:tc>
          <w:tcPr>
            <w:tcW w:w="3260" w:type="dxa"/>
            <w:vAlign w:val="bottom"/>
            <w:gridSpan w:val="3"/>
          </w:tcPr>
          <w:p>
            <w:pPr>
              <w:spacing w:after="0"/>
              <w:rPr>
                <w:sz w:val="20"/>
                <w:szCs w:val="20"/>
                <w:color w:val="auto"/>
              </w:rPr>
            </w:pPr>
            <w:r>
              <w:rPr>
                <w:rFonts w:ascii="Arial" w:cs="Arial" w:eastAsia="Arial" w:hAnsi="Arial"/>
                <w:sz w:val="16"/>
                <w:szCs w:val="16"/>
                <w:b w:val="1"/>
                <w:bCs w:val="1"/>
                <w:color w:val="auto"/>
              </w:rPr>
              <w:t>Research and development</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1"/>
        </w:trPr>
        <w:tc>
          <w:tcPr>
            <w:tcW w:w="1580" w:type="dxa"/>
            <w:vAlign w:val="bottom"/>
            <w:tcBorders>
              <w:top w:val="single" w:sz="8" w:color="auto"/>
              <w:bottom w:val="single" w:sz="8" w:color="CCEEFF"/>
            </w:tcBorders>
          </w:tcPr>
          <w:p>
            <w:pPr>
              <w:spacing w:after="0"/>
              <w:rPr>
                <w:sz w:val="22"/>
                <w:szCs w:val="22"/>
                <w:color w:val="auto"/>
              </w:rPr>
            </w:pPr>
          </w:p>
        </w:tc>
        <w:tc>
          <w:tcPr>
            <w:tcW w:w="540" w:type="dxa"/>
            <w:vAlign w:val="bottom"/>
            <w:tcBorders>
              <w:top w:val="single" w:sz="8" w:color="auto"/>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2"/>
                <w:szCs w:val="22"/>
                <w:color w:val="auto"/>
              </w:rPr>
            </w:pPr>
          </w:p>
        </w:tc>
      </w:tr>
      <w:tr>
        <w:trPr>
          <w:trHeight w:val="212"/>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38,791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27,911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10,880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39.0 %</w:t>
            </w:r>
          </w:p>
        </w:tc>
      </w:tr>
      <w:tr>
        <w:trPr>
          <w:trHeight w:val="21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0"/>
        </w:trPr>
        <w:tc>
          <w:tcPr>
            <w:tcW w:w="3260" w:type="dxa"/>
            <w:vAlign w:val="bottom"/>
            <w:gridSpan w:val="3"/>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Nine Months Ended December 31,</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109,765</w:t>
            </w: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81,801</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939"/>
              <w:spacing w:after="0"/>
              <w:rPr>
                <w:sz w:val="20"/>
                <w:szCs w:val="20"/>
                <w:color w:val="auto"/>
              </w:rPr>
            </w:pPr>
            <w:r>
              <w:rPr>
                <w:rFonts w:ascii="Arial" w:cs="Arial" w:eastAsia="Arial" w:hAnsi="Arial"/>
                <w:sz w:val="16"/>
                <w:szCs w:val="16"/>
                <w:color w:val="auto"/>
              </w:rPr>
              <w:t>27,964</w:t>
            </w:r>
          </w:p>
        </w:tc>
        <w:tc>
          <w:tcPr>
            <w:tcW w:w="1060" w:type="dxa"/>
            <w:vAlign w:val="bottom"/>
          </w:tcPr>
          <w:p>
            <w:pPr>
              <w:jc w:val="right"/>
              <w:spacing w:after="0"/>
              <w:rPr>
                <w:sz w:val="20"/>
                <w:szCs w:val="20"/>
                <w:color w:val="auto"/>
              </w:rPr>
            </w:pPr>
            <w:r>
              <w:rPr>
                <w:rFonts w:ascii="Arial" w:cs="Arial" w:eastAsia="Arial" w:hAnsi="Arial"/>
                <w:sz w:val="16"/>
                <w:szCs w:val="16"/>
                <w:color w:val="auto"/>
              </w:rPr>
              <w:t>34.2 %</w:t>
            </w:r>
          </w:p>
        </w:tc>
      </w:tr>
      <w:tr>
        <w:trPr>
          <w:trHeight w:val="219"/>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Research and development expenses increased in dollars and as a percentage of revenue for the three months ended December 31, 2022, as compared to the three months ended December 31, 2021, primarily due to increases of $8.9 million in personnel-related and consulting costs substantially related to our acquisition of Fuze, Inc. and $1.3 million in software licenses, and a $1.8 million reduction in capitalized internal-use software cost. These increases were partially offset by a $2.3 million decrease in stock-based compensation expenses.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Research and development increased in dollars and as a percentage of other revenue for the nine months ended December 31, 2022, as compared to the nine months ended December 31, 2021, primarily due to increases of $20.0 million in personnel-related and consulting costs substantially related to our acquisition of Fuze, Inc., $4.2 million in software licenses, and $2.5 million in public cloud services, and a $5.9 million reduction in capitalized internal-use software costs. These increases were partially offset by decreases of $3.7 million in stock-based compensation expenses and $1.2 million in amortization of capitalized software.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plan to continue to invest in research and development to accelerate our efforts to expand the capabilities and scope of our XCaaS platform to enhance our users'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Sales and marketing</w:t>
            </w: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1"/>
        </w:trPr>
        <w:tc>
          <w:tcPr>
            <w:tcW w:w="1580" w:type="dxa"/>
            <w:vAlign w:val="bottom"/>
            <w:tcBorders>
              <w:top w:val="single" w:sz="8" w:color="auto"/>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2"/>
                <w:szCs w:val="22"/>
                <w:color w:val="auto"/>
              </w:rPr>
            </w:pPr>
          </w:p>
        </w:tc>
      </w:tr>
      <w:tr>
        <w:trPr>
          <w:trHeight w:val="212"/>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79,021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76,797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2,224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42.9 %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0"/>
        </w:trPr>
        <w:tc>
          <w:tcPr>
            <w:tcW w:w="3280" w:type="dxa"/>
            <w:vAlign w:val="bottom"/>
            <w:gridSpan w:val="2"/>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243,035</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229,438</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ind w:right="959"/>
              <w:spacing w:after="0"/>
              <w:rPr>
                <w:sz w:val="20"/>
                <w:szCs w:val="20"/>
                <w:color w:val="auto"/>
              </w:rPr>
            </w:pPr>
            <w:r>
              <w:rPr>
                <w:rFonts w:ascii="Arial" w:cs="Arial" w:eastAsia="Arial" w:hAnsi="Arial"/>
                <w:sz w:val="16"/>
                <w:szCs w:val="16"/>
                <w:color w:val="auto"/>
              </w:rPr>
              <w:t>13,597</w:t>
            </w:r>
          </w:p>
        </w:tc>
        <w:tc>
          <w:tcPr>
            <w:tcW w:w="102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Sales and marketing expenses increased in dollars but decreased as a percentage of revenue for the three months ended December 31, 2022, as compared to the three months ended December 31, 2021, primarily due to increases of $4.7 million in channel commissions and $2.9 million in amortization of intangibles. These increases were partially offset by a decrease of $5.3 million in personnel-related and consulting expenditures, including a $5.0 million decrease in stock-based compensation expense.</w:t>
      </w: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Sales and marketing increased in dollars but decreased as a percentage of revenue for the nine months ended December 31, 2022, as compared to the nine months ended December 31, 2021, primarily due to increases of $19.1 million in channel commissions, $8.7 million in amortization of intangibles, and $2.9 million in amortization of deferred sales commission costs. These increases were partially offset by a decrease of $18.5 million in personnel-related and consulting expenditures, including a $17.2 million decrease in stock-based compensation expense.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gridSpan w:val="3"/>
          </w:tcPr>
          <w:p>
            <w:pPr>
              <w:spacing w:after="0"/>
              <w:rPr>
                <w:sz w:val="20"/>
                <w:szCs w:val="20"/>
                <w:color w:val="auto"/>
              </w:rPr>
            </w:pPr>
            <w:r>
              <w:rPr>
                <w:rFonts w:ascii="Arial" w:cs="Arial" w:eastAsia="Arial" w:hAnsi="Arial"/>
                <w:sz w:val="16"/>
                <w:szCs w:val="16"/>
                <w:color w:val="auto"/>
              </w:rPr>
              <w:t>We expect sales and marketing costs as a percentage</w:t>
            </w:r>
          </w:p>
        </w:tc>
        <w:tc>
          <w:tcPr>
            <w:tcW w:w="7060" w:type="dxa"/>
            <w:vAlign w:val="bottom"/>
            <w:gridSpan w:val="9"/>
          </w:tcPr>
          <w:p>
            <w:pPr>
              <w:ind w:left="140"/>
              <w:spacing w:after="0"/>
              <w:rPr>
                <w:sz w:val="20"/>
                <w:szCs w:val="20"/>
                <w:color w:val="auto"/>
              </w:rPr>
            </w:pPr>
            <w:r>
              <w:rPr>
                <w:rFonts w:ascii="Arial" w:cs="Arial" w:eastAsia="Arial" w:hAnsi="Arial"/>
                <w:sz w:val="16"/>
                <w:szCs w:val="16"/>
                <w:color w:val="auto"/>
              </w:rPr>
              <w:t>of revenue to decrease over time as we continue to focus on improving our cost structure and</w:t>
            </w:r>
          </w:p>
        </w:tc>
      </w:tr>
      <w:tr>
        <w:trPr>
          <w:trHeight w:val="195"/>
        </w:trPr>
        <w:tc>
          <w:tcPr>
            <w:tcW w:w="3240" w:type="dxa"/>
            <w:vAlign w:val="bottom"/>
            <w:gridSpan w:val="2"/>
          </w:tcPr>
          <w:p>
            <w:pPr>
              <w:spacing w:after="0"/>
              <w:rPr>
                <w:sz w:val="20"/>
                <w:szCs w:val="20"/>
                <w:color w:val="auto"/>
              </w:rPr>
            </w:pPr>
            <w:r>
              <w:rPr>
                <w:rFonts w:ascii="Arial" w:cs="Arial" w:eastAsia="Arial" w:hAnsi="Arial"/>
                <w:sz w:val="16"/>
                <w:szCs w:val="16"/>
                <w:color w:val="auto"/>
              </w:rPr>
              <w:t>achieving operational efficiencies.</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3"/>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General and administrative</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5"/>
        </w:trPr>
        <w:tc>
          <w:tcPr>
            <w:tcW w:w="2080" w:type="dxa"/>
            <w:vAlign w:val="bottom"/>
            <w:tcBorders>
              <w:top w:val="single" w:sz="8" w:color="auto"/>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29,950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(2,792)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3"/>
        </w:trPr>
        <w:tc>
          <w:tcPr>
            <w:tcW w:w="3240" w:type="dxa"/>
            <w:vAlign w:val="bottom"/>
            <w:gridSpan w:val="2"/>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90,212</w:t>
            </w:r>
          </w:p>
        </w:tc>
        <w:tc>
          <w:tcPr>
            <w:tcW w:w="100" w:type="dxa"/>
            <w:vAlign w:val="bottom"/>
          </w:tcPr>
          <w:p>
            <w:pPr>
              <w:spacing w:after="0"/>
              <w:rPr>
                <w:sz w:val="18"/>
                <w:szCs w:val="18"/>
                <w:color w:val="auto"/>
              </w:rPr>
            </w:pP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80,064</w:t>
            </w:r>
          </w:p>
        </w:tc>
        <w:tc>
          <w:tcPr>
            <w:tcW w:w="100" w:type="dxa"/>
            <w:vAlign w:val="bottom"/>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939"/>
              <w:spacing w:after="0"/>
              <w:rPr>
                <w:sz w:val="20"/>
                <w:szCs w:val="20"/>
                <w:color w:val="auto"/>
              </w:rPr>
            </w:pPr>
            <w:r>
              <w:rPr>
                <w:rFonts w:ascii="Arial" w:cs="Arial" w:eastAsia="Arial" w:hAnsi="Arial"/>
                <w:sz w:val="16"/>
                <w:szCs w:val="16"/>
                <w:color w:val="auto"/>
              </w:rPr>
              <w:t>10,148</w:t>
            </w:r>
          </w:p>
        </w:tc>
        <w:tc>
          <w:tcPr>
            <w:tcW w:w="1080" w:type="dxa"/>
            <w:vAlign w:val="bottom"/>
          </w:tcPr>
          <w:p>
            <w:pPr>
              <w:jc w:val="right"/>
              <w:spacing w:after="0"/>
              <w:rPr>
                <w:sz w:val="20"/>
                <w:szCs w:val="20"/>
                <w:color w:val="auto"/>
              </w:rPr>
            </w:pPr>
            <w:r>
              <w:rPr>
                <w:rFonts w:ascii="Arial" w:cs="Arial" w:eastAsia="Arial" w:hAnsi="Arial"/>
                <w:sz w:val="16"/>
                <w:szCs w:val="16"/>
                <w:color w:val="auto"/>
              </w:rPr>
              <w:t>12.7 %</w:t>
            </w:r>
          </w:p>
        </w:tc>
        <w:tc>
          <w:tcPr>
            <w:tcW w:w="80" w:type="dxa"/>
            <w:vAlign w:val="bottom"/>
          </w:tcPr>
          <w:p>
            <w:pPr>
              <w:spacing w:after="0"/>
              <w:rPr>
                <w:sz w:val="18"/>
                <w:szCs w:val="18"/>
                <w:color w:val="auto"/>
              </w:rPr>
            </w:pP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8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General and administrative expenses decreased both in dollars and as a percentage of other revenue for the three months ended December 31, 2022, as compared to the three months ended December 31, 2021, primarily due to decreases of $5.8 million in stock-based compensation expenses and $4.9 million in acquisition and integration costs. These decreases were partially offset by increases of $4.2 million in personnel-related and consulting costs, $1.9 million in legal and regulatory costs, and $1.3 million in facilities and overhead costs.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General and administrative increased in dollars but decreased as a percentage of other revenue for the nine months ended December 31, 2022, as compared to the nine months ended December 31, 2021, primarily due to increases of $11.5 million in personnel-related and consulting salary costs, $5.6 million in legal and regulatory costs, $4.4 million in facilities and overhead costs, $1.5 million in contract termination expense, and $1.2 million in bad debt and credit loss. These increases were partially offset by a $11.8 million decrease in stock-based compensation expenses.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to continue improving our cost structure and achieve operational efficiencies, and therefore, also expect that general and administrative expenses as a percentage of total revenue will decline over time.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Other income (expense), net</w:t>
            </w: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96"/>
        </w:trPr>
        <w:tc>
          <w:tcPr>
            <w:tcW w:w="2180" w:type="dxa"/>
            <w:vAlign w:val="bottom"/>
            <w:tcBorders>
              <w:top w:val="single" w:sz="8" w:color="auto"/>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1160" w:type="dxa"/>
            <w:vAlign w:val="bottom"/>
            <w:tcBorders>
              <w:bottom w:val="single" w:sz="8" w:color="auto"/>
            </w:tcBorders>
          </w:tcPr>
          <w:p>
            <w:pPr>
              <w:spacing w:after="0"/>
              <w:rPr>
                <w:sz w:val="24"/>
                <w:szCs w:val="24"/>
                <w:color w:val="auto"/>
              </w:rPr>
            </w:pPr>
          </w:p>
        </w:tc>
      </w:tr>
      <w:tr>
        <w:trPr>
          <w:trHeight w:val="212"/>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(5,866)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(2,046)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34.9 %</w:t>
            </w:r>
          </w:p>
        </w:tc>
      </w:tr>
      <w:tr>
        <w:trPr>
          <w:trHeight w:val="213"/>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0"/>
        </w:trPr>
        <w:tc>
          <w:tcPr>
            <w:tcW w:w="3260" w:type="dxa"/>
            <w:vAlign w:val="bottom"/>
            <w:gridSpan w:val="2"/>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13"/>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7,154</w:t>
            </w:r>
          </w:p>
        </w:tc>
        <w:tc>
          <w:tcPr>
            <w:tcW w:w="14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(15,623)</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859"/>
              <w:spacing w:after="0"/>
              <w:rPr>
                <w:sz w:val="20"/>
                <w:szCs w:val="20"/>
                <w:color w:val="auto"/>
              </w:rPr>
            </w:pPr>
            <w:r>
              <w:rPr>
                <w:rFonts w:ascii="Arial" w:cs="Arial" w:eastAsia="Arial" w:hAnsi="Arial"/>
                <w:sz w:val="16"/>
                <w:szCs w:val="16"/>
                <w:color w:val="auto"/>
              </w:rPr>
              <w:t>22,777</w:t>
            </w:r>
          </w:p>
        </w:tc>
        <w:tc>
          <w:tcPr>
            <w:tcW w:w="1160" w:type="dxa"/>
            <w:vAlign w:val="bottom"/>
          </w:tcPr>
          <w:p>
            <w:pPr>
              <w:jc w:val="right"/>
              <w:spacing w:after="0"/>
              <w:rPr>
                <w:sz w:val="20"/>
                <w:szCs w:val="20"/>
                <w:color w:val="auto"/>
              </w:rPr>
            </w:pPr>
            <w:r>
              <w:rPr>
                <w:rFonts w:ascii="Arial" w:cs="Arial" w:eastAsia="Arial" w:hAnsi="Arial"/>
                <w:sz w:val="16"/>
                <w:szCs w:val="16"/>
                <w:color w:val="auto"/>
              </w:rPr>
              <w:t>(145.8)%</w:t>
            </w:r>
          </w:p>
        </w:tc>
      </w:tr>
      <w:tr>
        <w:trPr>
          <w:trHeight w:val="21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income (expense), net decreased for the three months ended December 31, 2022, as compared to the three months ended December 31, 2021, primarily due to a $3.3 million increase in interest expense of our debt, $2.4 million foreign exchange loss, and $0.8 million loss from revaluation of warrants liability. These were partially offset by a $2.1 million gain from debt extinguishment and $1.8 million gain from sale of intangibles.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Other income (expense), net increased for the nine months ended December 31, 2022, as compared to the nine months ended December 31, 2021, primarily due to a $18.2 million gain from debt extinguishment from the 2024 convertible notes, $2.4 million gain from foreign exchange transactions, $1.8 million gain from sale of intangibles, and $0.5 million gain on remeasurement of warrants issued in connection with the term loan.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0"/>
        </w:trPr>
        <w:tc>
          <w:tcPr>
            <w:tcW w:w="2080" w:type="dxa"/>
            <w:vAlign w:val="bottom"/>
            <w:tcBorders>
              <w:top w:val="single" w:sz="8" w:color="auto"/>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auto"/>
            </w:tcBorders>
          </w:tcPr>
          <w:p>
            <w:pPr>
              <w:spacing w:after="0"/>
              <w:rPr>
                <w:sz w:val="22"/>
                <w:szCs w:val="22"/>
                <w:color w:val="auto"/>
              </w:rPr>
            </w:pPr>
          </w:p>
        </w:tc>
      </w:tr>
      <w:tr>
        <w:trPr>
          <w:trHeight w:val="21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December 31,</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(50)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7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9"/>
        </w:trPr>
        <w:tc>
          <w:tcPr>
            <w:tcW w:w="3280" w:type="dxa"/>
            <w:vAlign w:val="bottom"/>
            <w:gridSpan w:val="2"/>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Nine Months Ended December 31,</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14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919"/>
              <w:spacing w:after="0"/>
              <w:rPr>
                <w:sz w:val="20"/>
                <w:szCs w:val="20"/>
                <w:color w:val="auto"/>
              </w:rPr>
            </w:pPr>
            <w:r>
              <w:rPr>
                <w:rFonts w:ascii="Arial" w:cs="Arial" w:eastAsia="Arial" w:hAnsi="Arial"/>
                <w:sz w:val="16"/>
                <w:szCs w:val="16"/>
                <w:color w:val="auto"/>
              </w:rPr>
              <w:t>465</w:t>
            </w:r>
          </w:p>
        </w:tc>
        <w:tc>
          <w:tcPr>
            <w:tcW w:w="1100" w:type="dxa"/>
            <w:vAlign w:val="bottom"/>
          </w:tcPr>
          <w:p>
            <w:pPr>
              <w:jc w:val="right"/>
              <w:spacing w:after="0"/>
              <w:rPr>
                <w:sz w:val="20"/>
                <w:szCs w:val="20"/>
                <w:color w:val="auto"/>
              </w:rPr>
            </w:pPr>
            <w:r>
              <w:rPr>
                <w:rFonts w:ascii="Arial" w:cs="Arial" w:eastAsia="Arial" w:hAnsi="Arial"/>
                <w:sz w:val="16"/>
                <w:szCs w:val="16"/>
                <w:color w:val="auto"/>
              </w:rPr>
              <w:t>80.7 %</w:t>
            </w:r>
          </w:p>
        </w:tc>
      </w:tr>
      <w:tr>
        <w:trPr>
          <w:trHeight w:val="21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was no material change to our provision for income taxes for the nine months ended December 31, 2022, and no material changes are currently anticipated for the remainder of fiscal 2023.</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74"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As of December 31, 2022, we had $131.7 million of cash and cash equivalents and investments, including $1.3 million in restricted cash in support of letters of credit securing leases for office facilities and certain equipment.</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We believe that our existing cash, cash equivalents and investment balances and our anticipated cash flows from operations will be sufficient to meet our working capital, expenditure, and contractual obligation requirements for the next 12 months and the foreseeable future. During the three months ended December 31, 2022, we repaid $21.8 million of our existing convertible notes maturing in 2024, as further described in Part I, Item 1, Note 8. </w:t>
      </w:r>
      <w:r>
        <w:rPr>
          <w:rFonts w:ascii="Arial" w:cs="Arial" w:eastAsia="Arial" w:hAnsi="Arial"/>
          <w:sz w:val="16"/>
          <w:szCs w:val="16"/>
          <w:i w:val="1"/>
          <w:iCs w:val="1"/>
          <w:color w:val="auto"/>
        </w:rPr>
        <w:t>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Senior Notes, Term Loan and Capped Calls </w:t>
      </w:r>
      <w:r>
        <w:rPr>
          <w:rFonts w:ascii="Arial" w:cs="Arial" w:eastAsia="Arial" w:hAnsi="Arial"/>
          <w:sz w:val="16"/>
          <w:szCs w:val="16"/>
          <w:color w:val="auto"/>
        </w:rPr>
        <w:t>to our condensed consolidated financial statements. Although we believe we have adequate sources of liquidity</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next 12 months and the foreseeable future, any future refinancing, the success of our operations, the global economic outlook (including the impact of inflationary pressures and foreign currency exchange rate and interest rate fluctuations), and the pace of sustainable growth in our markets, as well as continued uncertainty as a result of the COVID-19 pandemic and the continuing war in Ukraine, among other factors, could impact our business and liquidity.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Period-over-Period Changes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Net cash provided by operating activities for the nine months ended December 31, 2022 was $35.2 million, as compared to $18.2 million for the nine months ended December 31, 2021. Cash used in or provided by operating activities is primarily affected by:</w:t>
      </w:r>
    </w:p>
    <w:p>
      <w:pPr>
        <w:spacing w:after="0" w:line="114"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income or loss;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non-cash expense items, such as depreciation, amortization, and impairments;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non-cash gain associated with extinguishment of debt, or changes in fair value of liabilities;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non-cash expense associated with stock options and stock-based compensation and awards;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gain or loss on sale of assets; and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working capital accounts, particularly related to the timing of collections from receivables and payments of obligations, such as commissions.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the nine months ended December 31, 2022, net cash provided in operating activities reflected an adjustment of $141.7 million in non-cash charges to our net loss, including stock-based compensation expense of $73.5 million, depreciation and amortization expenses of $40.4 million, amortization of deferred sales commission costs of $28.5 million, $18.3 million gain from debt extinguishment, operating lease expenses of $8.7 million, impairment of capitalized software of $3.7 million , and $1.8 million gain on sale of assets. Non-cash adjustments were partially offset by $42.9 million of working capital adjustments driven by $23.5 million in deferred sales commission costs and $22.9 million in accounts payable and accruals.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Net cash provided in investing activities was $0.4 million for the nine months ended December 31, 2022, as compared to $30.1 million of cash used in the nine months ended December 31, 2021. The cash provided by investing activities during the nine months ended December 31, 2022 primarily related to $10.1 million of net proceeds from sales and maturities of investments, $2.7 million in net acquisition of property, plant and equipment, and $1.0 million in proceeds from sale of property, plant and equipment, which was partially offset by $6.8 million in capitalization of internally developed software, and $1.3 million payout of the cash holdback related to the Fuze, Inc. acquisition.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used in financing activities was $36.3 million for the nine months ended December 31, 2022, as compared to $100.0 million of cash provided by financing activities for the nine months ended December 31, 2021. The cash used in financing activities for the nine months ended December 31, 2022 was primarily driven by $211.8 million of net repayment and refinancing of convertible senior notes and $60.2 million of shares repurchased, which were substantially offset by $234.0 million of net proceeds from the term loan.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Our consolidated financial statements are prepared in accordance with U.S. GAAP. Refer to Note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and Significant Accounting Policies</w:t>
      </w:r>
      <w:r>
        <w:rPr>
          <w:rFonts w:ascii="Arial" w:cs="Arial" w:eastAsia="Arial" w:hAnsi="Arial"/>
          <w:sz w:val="16"/>
          <w:szCs w:val="16"/>
          <w:color w:val="auto"/>
        </w:rPr>
        <w:t xml:space="preserve">, in the Notes to Consolidated Financial Statements included in this Quarterly Report, which describes the significant accounting policies and methods used in the preparation of our consolidated financial statements. Other than the adoption of ASU 2020-06 as discussed in Note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in the Notes to the Condensed Consolidated Financial Statements included in this Quarterly Report, there have been no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during the three months ended December 31, 2022 to our critical accounting policies and estimates previously disclosed in the Form 10-K.</w:t>
      </w:r>
    </w:p>
    <w:p>
      <w:pPr>
        <w:spacing w:after="0" w:line="105" w:lineRule="exact"/>
        <w:rPr>
          <w:sz w:val="20"/>
          <w:szCs w:val="20"/>
          <w:color w:val="auto"/>
        </w:rPr>
      </w:pPr>
    </w:p>
    <w:p>
      <w:pPr>
        <w:ind w:right="4940"/>
        <w:spacing w:after="0" w:line="453"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Fluctuation Risk</w:t>
      </w:r>
    </w:p>
    <w:p>
      <w:pPr>
        <w:jc w:val="both"/>
        <w:spacing w:after="0" w:line="256" w:lineRule="auto"/>
        <w:rPr>
          <w:sz w:val="20"/>
          <w:szCs w:val="20"/>
          <w:color w:val="auto"/>
        </w:rPr>
      </w:pPr>
      <w:r>
        <w:rPr>
          <w:rFonts w:ascii="Arial" w:cs="Arial" w:eastAsia="Arial" w:hAnsi="Arial"/>
          <w:sz w:val="16"/>
          <w:szCs w:val="16"/>
          <w:color w:val="auto"/>
        </w:rPr>
        <w:t>We had cash, cash equivalents, and investments totaling $131.7 million as of December 31, 2022. Cash equivalents and investments were invested primarily in money market funds, United States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United States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of December 31, 2022, there were $68.3 million of convertible senior notes maturing in 2024 and $201.9 million of convertible senior notes maturing in 2028 outstanding, and a $250.0 million senior secured term loan facility maturing in 2027. The fair value of the convertible notes is subject to interest rate risk, market risk, and other factors due to the conversion feature. The fair value of the convertible senior notes will generally increase as the Company's common stock price increases and will generally decrease as its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operate in international markets and typically invoice our customers and pay our expenses in local currencies, primarily the British pound and the Euro. As a result, changes in foreign currency exchange rates relative to the United States dollar may impact our revenue and operating expenses upon translation in our consolidated financial statements. Historically, the impacts on revenue and expenses have substantially offset one another, and the effects of currency on operating and net income have not been material. As our foreign operations expand, the impact of changes in foreign currency exchange rates on our revenue and operating expenses may not continue to offset one another and may impact our operating results.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Gains or losses from the revaluation of certain cash balances, accounts receivable balances, and intercompany balances that are denominated in local currencies, primarily the British pound and the Euro, are reflected as foreign currency translation adjustments in our Condensed Consolidated Statements of Comprehensive Loss. A hypothetical decrease in all foreign currencies against the United States dollar of 10% would not result in a material foreign currency loss on foreign-denominated balances as of December 31, 2022.</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At this time, we do not, but we may in the future, enter into financial instruments to hedge our foreign currency exchange risk.</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management, with the participation of our Interim Chief Executive Officer and Interim Chief Financial Officer, has evaluated the effectiveness of our disclosure controls and procedures, as such term is defined in Rules 13a-15(e) and 15d-15(e) under the Exchange Act, as of December 31, 2022. As permitted by SEC guidance for newly acquired businesses, this evaluation did not include an assessment of those disclosure controls and procedures that are subsumed by and did not include an assessment of internal control over financial reporting as it relates to Fuze, Inc., which was acquired on January 18, 2022. The Company has excluded Fuze from its assessment of the effectiveness of its internal control over financial reporting as of December 31, 2022. Based on such evaluation, our Interim Chief Executive Officer and Interim Chief Financial Officer have concluded that, as of December 31, 2022, our disclosure controls and procedures were effective at the reasonable assurance level.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74"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During the three months ended December 31, 2022, there was no change in our internal control over financial reporting that has materially affected, or is reasonably likely to materially affect, our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management, including the Interim Chief Executive Officer and Interim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5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Information with respect to this item may be found in Note 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under the heading “Legal Proceedings” in the Notes to Unaudited Condensed Consolidated Financial Statements included in this Quarterly Report is incorporated by reference in response to this item.</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and in Part II, Item 1A of the Form 10-Q for the period ended June 30, 2022 under the heading “Risk Factors,” which are incorporated by reference in this Quarterly Report. Additional risks and uncertainties not presently known to us or that we currently deem immaterial may also affect our operations.</w:t>
      </w:r>
    </w:p>
    <w:p>
      <w:pPr>
        <w:spacing w:after="0" w:line="3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Cyber intrusions, breaches of our networks or systems or those of our service and cloud storage providers, and other malicious acts could adversely impact our business.</w:t>
      </w:r>
    </w:p>
    <w:p>
      <w:pPr>
        <w:spacing w:after="0" w:line="203"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Our business operations, from our internal and service operations to research and development activities, sales and marketing efforts and customer and partner communications, depend on our ability to protect our network from interruption by damage from</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hackers, social engineering and phishing, ransomware, computer viruses, worms, other malicious software programs, or similar disruptive problems or other events beyond our control. Individuals or entities have attempted, and will attempt, to penetrate our network security, and that of our platform, and try to cause harm to our business operations, including by misappropriating our proprietary information or that of our customers, employees and business partners or causing interruptions of our products and platform. In particular, cyberattacks and other malicious internet-based activity continue to increase in frequency and in magnitude both generally and specifically against us and other cloud-service providers. For example, during the second quarter of fiscal 2023, we detected malware on our network that permitted an intrusion by an unauthorized third party to access certain data stored on our network. We responded quickly and implemented measures to identify and remove the intruder and malware from our network and secure our data. We subsequently learned during the third quarter of fiscal 2023, in December 2022, that the unauthorized third party possessed approximately a terabyte of our confidential information from several back-office servers. The unauthorized third party attempted to make ransom demands for the return of our confidential information, which we did not pay. We continue to implement new technological measures to prevent, detect, and contain such intrusions as well as build and strengthen ongoing employee awareness, education and training, but we cannot guarantee we will be able to prevent, detect or contain all future cyber intrusions, nor can we guarantee that our backup systems, regular data backups, security protocols, DDoS mitigation, and other procedures that are currently in place, or may be in place in the future, will be adequate to prevent significant damage, system failure, or data loss.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Inherent in our provision of services are the storage, processing, and transmission of our customers' data, which may include confidential and sensitive information.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 as well as the Federal Communications Commission’s, or the FCC’s, customer proprietary network information (“CPNI”) rules. We may be targets of cyber threats and security breaches, given the nature of the information that we store, process, and transmit and the fact that we provide communications services to a broad range of businesses. To the extent that state-sponsored incidents of cybersecurity breaches increase due to geopolitical tensions, this risk may continue to increase.</w:t>
      </w: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social engineering and phishing, ransomware,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5"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w:t>
      </w:r>
    </w:p>
    <w:p>
      <w:pPr>
        <w:spacing w:after="0" w:line="126" w:lineRule="exact"/>
        <w:rPr>
          <w:rFonts w:ascii="Arial" w:cs="Arial" w:eastAsia="Arial" w:hAnsi="Arial"/>
          <w:sz w:val="16"/>
          <w:szCs w:val="16"/>
          <w:color w:val="auto"/>
        </w:rPr>
      </w:pPr>
    </w:p>
    <w:p>
      <w:pPr>
        <w:ind w:left="240" w:hanging="232"/>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gridSpan w:val="18"/>
          </w:tcPr>
          <w:p>
            <w:pPr>
              <w:spacing w:after="0"/>
              <w:rPr>
                <w:sz w:val="20"/>
                <w:szCs w:val="20"/>
                <w:color w:val="auto"/>
              </w:rPr>
            </w:pPr>
            <w:r>
              <w:rPr>
                <w:rFonts w:ascii="Arial" w:cs="Arial" w:eastAsia="Arial" w:hAnsi="Arial"/>
                <w:sz w:val="16"/>
                <w:szCs w:val="16"/>
                <w:b w:val="1"/>
                <w:bCs w:val="1"/>
                <w:color w:val="auto"/>
              </w:rPr>
              <w:t>ITEM 6. EXHIBITS</w:t>
            </w: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2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Incorporated by Reference</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1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Exhibit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60" w:type="dxa"/>
            <w:vAlign w:val="bottom"/>
            <w:gridSpan w:val="13"/>
            <w:vMerge w:val="restart"/>
          </w:tcPr>
          <w:p>
            <w:pPr>
              <w:ind w:left="1240"/>
              <w:spacing w:after="0"/>
              <w:rPr>
                <w:sz w:val="20"/>
                <w:szCs w:val="20"/>
                <w:color w:val="auto"/>
              </w:rPr>
            </w:pPr>
            <w:r>
              <w:rPr>
                <w:rFonts w:ascii="Arial" w:cs="Arial" w:eastAsia="Arial" w:hAnsi="Arial"/>
                <w:sz w:val="16"/>
                <w:szCs w:val="16"/>
                <w:b w:val="1"/>
                <w:bCs w:val="1"/>
                <w:color w:val="auto"/>
              </w:rPr>
              <w:t>Exhibit Description</w:t>
            </w:r>
          </w:p>
        </w:tc>
        <w:tc>
          <w:tcPr>
            <w:tcW w:w="10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Company</w:t>
            </w:r>
          </w:p>
        </w:tc>
        <w:tc>
          <w:tcPr>
            <w:tcW w:w="11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Filing Date</w:t>
            </w:r>
          </w:p>
        </w:tc>
        <w:tc>
          <w:tcPr>
            <w:tcW w:w="10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Exhibit</w:t>
            </w:r>
          </w:p>
        </w:tc>
        <w:tc>
          <w:tcPr>
            <w:tcW w:w="860" w:type="dxa"/>
            <w:vAlign w:val="bottom"/>
          </w:tcPr>
          <w:p>
            <w:pPr>
              <w:jc w:val="center"/>
              <w:ind w:left="99"/>
              <w:spacing w:after="0" w:line="161"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gridSpan w:val="13"/>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1180" w:type="dxa"/>
            <w:vAlign w:val="bottom"/>
            <w:vMerge w:val="continue"/>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jc w:val="center"/>
              <w:ind w:left="99"/>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70"/>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5740" w:type="dxa"/>
            <w:vAlign w:val="bottom"/>
            <w:gridSpan w:val="17"/>
          </w:tcPr>
          <w:p>
            <w:pPr>
              <w:spacing w:after="0" w:line="170" w:lineRule="exact"/>
              <w:rPr>
                <w:rFonts w:ascii="Arial" w:cs="Arial" w:eastAsia="Arial" w:hAnsi="Arial"/>
                <w:sz w:val="16"/>
                <w:szCs w:val="16"/>
                <w:color w:val="0000FF"/>
              </w:rPr>
            </w:pPr>
            <w:hyperlink r:id="rId63">
              <w:r>
                <w:rPr>
                  <w:rFonts w:ascii="Arial" w:cs="Arial" w:eastAsia="Arial" w:hAnsi="Arial"/>
                  <w:sz w:val="16"/>
                  <w:szCs w:val="16"/>
                  <w:color w:val="0000FF"/>
                </w:rPr>
                <w:t>Certificate of Amendment to the Restated Certificate of Incorporation of</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7/13/2022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22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Registrant, dated July 12, 2022</w:t>
              </w:r>
            </w:hyperlink>
          </w:p>
        </w:tc>
        <w:tc>
          <w:tcPr>
            <w:tcW w:w="284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3.2</w:t>
            </w:r>
          </w:p>
        </w:tc>
        <w:tc>
          <w:tcPr>
            <w:tcW w:w="3200" w:type="dxa"/>
            <w:vAlign w:val="bottom"/>
            <w:tcBorders>
              <w:bottom w:val="single" w:sz="8" w:color="0000FF"/>
            </w:tcBorders>
            <w:gridSpan w:val="7"/>
          </w:tcPr>
          <w:p>
            <w:pPr>
              <w:spacing w:after="0"/>
              <w:rPr>
                <w:rFonts w:ascii="Arial" w:cs="Arial" w:eastAsia="Arial" w:hAnsi="Arial"/>
                <w:sz w:val="16"/>
                <w:szCs w:val="16"/>
                <w:color w:val="0000FF"/>
              </w:rPr>
            </w:pPr>
            <w:hyperlink r:id="rId64">
              <w:r>
                <w:rPr>
                  <w:rFonts w:ascii="Arial" w:cs="Arial" w:eastAsia="Arial" w:hAnsi="Arial"/>
                  <w:sz w:val="16"/>
                  <w:szCs w:val="16"/>
                  <w:color w:val="0000FF"/>
                </w:rPr>
                <w:t>Amended and Restated By-Laws of 8x8, Inc.</w:t>
              </w:r>
            </w:hyperlink>
          </w:p>
        </w:tc>
        <w:tc>
          <w:tcPr>
            <w:tcW w:w="2540" w:type="dxa"/>
            <w:vAlign w:val="bottom"/>
            <w:gridSpan w:val="10"/>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7/28/2015</w:t>
            </w: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5740" w:type="dxa"/>
            <w:vAlign w:val="bottom"/>
            <w:gridSpan w:val="17"/>
          </w:tcPr>
          <w:p>
            <w:pPr>
              <w:spacing w:after="0"/>
              <w:rPr>
                <w:rFonts w:ascii="Arial" w:cs="Arial" w:eastAsia="Arial" w:hAnsi="Arial"/>
                <w:sz w:val="16"/>
                <w:szCs w:val="16"/>
                <w:color w:val="0000FF"/>
              </w:rPr>
            </w:pPr>
            <w:hyperlink r:id="rId65">
              <w:r>
                <w:rPr>
                  <w:rFonts w:ascii="Arial" w:cs="Arial" w:eastAsia="Arial" w:hAnsi="Arial"/>
                  <w:sz w:val="16"/>
                  <w:szCs w:val="16"/>
                  <w:color w:val="0000FF"/>
                </w:rPr>
                <w:t>Promotion Letter, dated November 30, 2022, between 8x8, Inc. and Samuel</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11/30/2022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542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Wilson*</w:t>
              </w:r>
            </w:hyperlink>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5740" w:type="dxa"/>
            <w:vAlign w:val="bottom"/>
            <w:gridSpan w:val="17"/>
          </w:tcPr>
          <w:p>
            <w:pPr>
              <w:spacing w:after="0"/>
              <w:rPr>
                <w:rFonts w:ascii="Arial" w:cs="Arial" w:eastAsia="Arial" w:hAnsi="Arial"/>
                <w:sz w:val="16"/>
                <w:szCs w:val="16"/>
                <w:color w:val="0000FF"/>
              </w:rPr>
            </w:pPr>
            <w:hyperlink r:id="rId66">
              <w:r>
                <w:rPr>
                  <w:rFonts w:ascii="Arial" w:cs="Arial" w:eastAsia="Arial" w:hAnsi="Arial"/>
                  <w:sz w:val="16"/>
                  <w:szCs w:val="16"/>
                  <w:color w:val="0000FF"/>
                </w:rPr>
                <w:t>Promotion Letter, dated November 30, 2022, between 8x8, Inc. and Kevin</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11/30/2022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4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5"/>
              </w:rPr>
            </w:pPr>
            <w:hyperlink r:id="rId66">
              <w:r>
                <w:rPr>
                  <w:rFonts w:ascii="Arial" w:cs="Arial" w:eastAsia="Arial" w:hAnsi="Arial"/>
                  <w:sz w:val="16"/>
                  <w:szCs w:val="16"/>
                  <w:color w:val="0000FF"/>
                  <w:w w:val="95"/>
                </w:rPr>
                <w:t>Kraus*</w:t>
              </w:r>
            </w:hyperlink>
          </w:p>
        </w:tc>
        <w:tc>
          <w:tcPr>
            <w:tcW w:w="480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10.3</w:t>
            </w:r>
          </w:p>
        </w:tc>
        <w:tc>
          <w:tcPr>
            <w:tcW w:w="5740" w:type="dxa"/>
            <w:vAlign w:val="bottom"/>
            <w:gridSpan w:val="17"/>
          </w:tcPr>
          <w:p>
            <w:pPr>
              <w:spacing w:after="0"/>
              <w:rPr>
                <w:rFonts w:ascii="Arial" w:cs="Arial" w:eastAsia="Arial" w:hAnsi="Arial"/>
                <w:sz w:val="16"/>
                <w:szCs w:val="16"/>
                <w:color w:val="0000FF"/>
              </w:rPr>
            </w:pPr>
            <w:hyperlink r:id="rId67">
              <w:r>
                <w:rPr>
                  <w:rFonts w:ascii="Arial" w:cs="Arial" w:eastAsia="Arial" w:hAnsi="Arial"/>
                  <w:sz w:val="16"/>
                  <w:szCs w:val="16"/>
                  <w:color w:val="0000FF"/>
                </w:rPr>
                <w:t>Separation and General Release Agreement, dated December 5, 2022,</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12/7/2022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25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between 8x8, Inc. and David Sipes*</w:t>
              </w:r>
            </w:hyperlink>
          </w:p>
        </w:tc>
        <w:tc>
          <w:tcPr>
            <w:tcW w:w="2540" w:type="dxa"/>
            <w:vAlign w:val="bottom"/>
            <w:tcBorders>
              <w:top w:val="single" w:sz="8" w:color="0000FF"/>
            </w:tcBorders>
            <w:gridSpan w:val="3"/>
          </w:tcPr>
          <w:p>
            <w:pPr>
              <w:spacing w:after="0"/>
              <w:rPr>
                <w:sz w:val="12"/>
                <w:szCs w:val="12"/>
                <w:color w:val="auto"/>
              </w:rPr>
            </w:pPr>
          </w:p>
        </w:tc>
        <w:tc>
          <w:tcPr>
            <w:tcW w:w="24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5740" w:type="dxa"/>
            <w:vAlign w:val="bottom"/>
            <w:gridSpan w:val="17"/>
          </w:tcPr>
          <w:p>
            <w:pPr>
              <w:spacing w:after="0"/>
              <w:rPr>
                <w:sz w:val="20"/>
                <w:szCs w:val="20"/>
                <w:color w:val="auto"/>
              </w:rPr>
            </w:pPr>
            <w:r>
              <w:rPr>
                <w:rFonts w:ascii="Arial" w:cs="Arial" w:eastAsia="Arial" w:hAnsi="Arial"/>
                <w:sz w:val="16"/>
                <w:szCs w:val="16"/>
                <w:color w:val="0000FF"/>
              </w:rPr>
              <w:t>Certification of Interim Chief Executive Officer of the Registrant pursuant to</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88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8"/>
              </w:rPr>
              <w:t>Rule 13a-14</w:t>
            </w:r>
          </w:p>
        </w:tc>
        <w:tc>
          <w:tcPr>
            <w:tcW w:w="4460" w:type="dxa"/>
            <w:vAlign w:val="bottom"/>
            <w:tcBorders>
              <w:top w:val="single" w:sz="8" w:color="0000FF"/>
            </w:tcBorders>
            <w:gridSpan w:val="7"/>
          </w:tcPr>
          <w:p>
            <w:pPr>
              <w:spacing w:after="0"/>
              <w:rPr>
                <w:sz w:val="12"/>
                <w:szCs w:val="12"/>
                <w:color w:val="auto"/>
              </w:rPr>
            </w:pPr>
          </w:p>
        </w:tc>
        <w:tc>
          <w:tcPr>
            <w:tcW w:w="1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31.2</w:t>
            </w:r>
          </w:p>
        </w:tc>
        <w:tc>
          <w:tcPr>
            <w:tcW w:w="5740" w:type="dxa"/>
            <w:vAlign w:val="bottom"/>
            <w:gridSpan w:val="17"/>
          </w:tcPr>
          <w:p>
            <w:pPr>
              <w:spacing w:after="0"/>
              <w:rPr>
                <w:sz w:val="20"/>
                <w:szCs w:val="20"/>
                <w:color w:val="auto"/>
              </w:rPr>
            </w:pPr>
            <w:r>
              <w:rPr>
                <w:rFonts w:ascii="Arial" w:cs="Arial" w:eastAsia="Arial" w:hAnsi="Arial"/>
                <w:sz w:val="16"/>
                <w:szCs w:val="16"/>
                <w:color w:val="0000FF"/>
              </w:rPr>
              <w:t>Certification of Interim Chief Financial Officer of the Registrant pursuant to Rule</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5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13a-14</w:t>
            </w:r>
          </w:p>
        </w:tc>
        <w:tc>
          <w:tcPr>
            <w:tcW w:w="5140" w:type="dxa"/>
            <w:vAlign w:val="bottom"/>
            <w:tcBorders>
              <w:top w:val="single" w:sz="8" w:color="0000FF"/>
            </w:tcBorders>
            <w:gridSpan w:val="13"/>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58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Certification of Interim Chief Executive Officer of the Registrant pursuant to 18</w:t>
            </w:r>
          </w:p>
        </w:tc>
        <w:tc>
          <w:tcPr>
            <w:tcW w:w="16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32.1</w:t>
            </w:r>
          </w:p>
        </w:tc>
        <w:tc>
          <w:tcPr>
            <w:tcW w:w="5740" w:type="dxa"/>
            <w:vAlign w:val="bottom"/>
            <w:gridSpan w:val="17"/>
          </w:tcPr>
          <w:p>
            <w:pPr>
              <w:spacing w:after="0" w:line="142" w:lineRule="exact"/>
              <w:rPr>
                <w:sz w:val="20"/>
                <w:szCs w:val="20"/>
                <w:color w:val="auto"/>
              </w:rPr>
            </w:pPr>
            <w:r>
              <w:rPr>
                <w:rFonts w:ascii="Arial" w:cs="Arial" w:eastAsia="Arial" w:hAnsi="Arial"/>
                <w:sz w:val="16"/>
                <w:szCs w:val="16"/>
                <w:color w:val="0000FF"/>
              </w:rPr>
              <w:t>U.S.C. 1350, as adopted pursuant to Section 906 of the Sarbanes-Oxley Act of</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2002</w:t>
            </w: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40" w:type="dxa"/>
            <w:vAlign w:val="bottom"/>
            <w:gridSpan w:val="17"/>
          </w:tcPr>
          <w:p>
            <w:pPr>
              <w:spacing w:after="0"/>
              <w:rPr>
                <w:sz w:val="20"/>
                <w:szCs w:val="20"/>
                <w:color w:val="auto"/>
              </w:rPr>
            </w:pPr>
            <w:r>
              <w:rPr>
                <w:rFonts w:ascii="Arial" w:cs="Arial" w:eastAsia="Arial" w:hAnsi="Arial"/>
                <w:sz w:val="16"/>
                <w:szCs w:val="16"/>
                <w:color w:val="0000FF"/>
              </w:rPr>
              <w:t>Certification of Interim Chief Financial Officer of the Registrant pursuant to 18</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32.2</w:t>
            </w:r>
          </w:p>
        </w:tc>
        <w:tc>
          <w:tcPr>
            <w:tcW w:w="552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U.S.C. 1350, as adopted pursuant to Section 906 of the Sarbanes-Oxley Act</w:t>
            </w:r>
          </w:p>
        </w:tc>
        <w:tc>
          <w:tcPr>
            <w:tcW w:w="220" w:type="dxa"/>
            <w:vAlign w:val="bottom"/>
            <w:gridSpan w:val="4"/>
          </w:tcPr>
          <w:p>
            <w:pPr>
              <w:spacing w:after="0" w:line="142" w:lineRule="exact"/>
              <w:rPr>
                <w:sz w:val="20"/>
                <w:szCs w:val="20"/>
                <w:color w:val="auto"/>
              </w:rPr>
            </w:pPr>
            <w:r>
              <w:rPr>
                <w:rFonts w:ascii="Arial" w:cs="Arial" w:eastAsia="Arial" w:hAnsi="Arial"/>
                <w:sz w:val="16"/>
                <w:szCs w:val="16"/>
                <w:color w:val="0000FF"/>
              </w:rPr>
              <w:t>of</w:t>
            </w: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2002</w:t>
            </w: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jc w:val="both"/>
        <w:ind w:left="1140" w:right="4280"/>
        <w:spacing w:after="0" w:line="211" w:lineRule="auto"/>
        <w:rPr>
          <w:sz w:val="20"/>
          <w:szCs w:val="20"/>
          <w:color w:val="auto"/>
        </w:rPr>
      </w:pPr>
      <w:r>
        <w:rPr>
          <w:rFonts w:ascii="Arial" w:cs="Arial" w:eastAsia="Arial" w:hAnsi="Arial"/>
          <w:sz w:val="16"/>
          <w:szCs w:val="16"/>
          <w:color w:val="auto"/>
        </w:rPr>
        <w:t>The following materials from 8x8, Inc.'s Quarterly Report on Form 10-Q for the three and nine months ended December 31, 2022, formatted in Inline XBRL: (i) Condensed Consolidated Balance Sheets as of December 31,</w:t>
      </w:r>
    </w:p>
    <w:p>
      <w:pPr>
        <w:spacing w:after="0" w:line="1" w:lineRule="exact"/>
        <w:rPr>
          <w:sz w:val="20"/>
          <w:szCs w:val="20"/>
          <w:color w:val="auto"/>
        </w:rPr>
      </w:pPr>
    </w:p>
    <w:p>
      <w:pPr>
        <w:ind w:left="1140" w:right="4240"/>
        <w:spacing w:after="0" w:line="211" w:lineRule="auto"/>
        <w:rPr>
          <w:sz w:val="20"/>
          <w:szCs w:val="20"/>
          <w:color w:val="auto"/>
        </w:rPr>
      </w:pPr>
      <w:r>
        <w:rPr>
          <w:rFonts w:ascii="Arial" w:cs="Arial" w:eastAsia="Arial" w:hAnsi="Arial"/>
          <w:sz w:val="16"/>
          <w:szCs w:val="16"/>
          <w:color w:val="auto"/>
        </w:rPr>
        <w:t>2022 and March 31, 2022, (ii) Condensed Consolidated Statements of Operations for the three and nine months ended December 31, 2022 and 2021,</w:t>
      </w:r>
    </w:p>
    <w:p>
      <w:pPr>
        <w:ind w:left="1140" w:right="4240" w:hanging="7"/>
        <w:spacing w:after="0" w:line="211" w:lineRule="auto"/>
        <w:tabs>
          <w:tab w:leader="none" w:pos="14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Loss for the three and nine months ended December 31, 2022 and 2021, (iv) Condensed Consolidated Statements of Stockholders’ Equity as of December 31, 2022 and 2021, (v) Condensed Consolidated Statements of Cash Flows for the nine months ended December 31, 2022 and 2021, and (vi) Notes to Consolidated Financial Statements, tagged as blocks of text and including detailed tags</w:t>
      </w:r>
    </w:p>
    <w:p>
      <w:pPr>
        <w:spacing w:after="0" w:line="1" w:lineRule="exact"/>
        <w:rPr>
          <w:sz w:val="20"/>
          <w:szCs w:val="20"/>
          <w:color w:val="auto"/>
        </w:rPr>
      </w:pPr>
    </w:p>
    <w:p>
      <w:pPr>
        <w:ind w:left="420"/>
        <w:spacing w:after="0"/>
        <w:tabs>
          <w:tab w:leader="none" w:pos="1120" w:val="left"/>
          <w:tab w:leader="none" w:pos="1064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XBRL Instance Document</w:t>
      </w:r>
      <w:r>
        <w:rPr>
          <w:sz w:val="20"/>
          <w:szCs w:val="20"/>
          <w:color w:val="auto"/>
        </w:rPr>
        <w:tab/>
      </w:r>
      <w:r>
        <w:rPr>
          <w:rFonts w:ascii="Arial" w:cs="Arial" w:eastAsia="Arial" w:hAnsi="Arial"/>
          <w:sz w:val="16"/>
          <w:szCs w:val="16"/>
          <w:color w:val="auto"/>
        </w:rPr>
        <w:t>X</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 or arrangement.</w:t>
      </w:r>
    </w:p>
    <w:p>
      <w:pPr>
        <w:sectPr>
          <w:pgSz w:w="11900" w:h="16838" w:orient="portrait"/>
          <w:cols w:equalWidth="0" w:num="1">
            <w:col w:w="11060"/>
          </w:cols>
          <w:pgMar w:left="320" w:top="14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 w:right="5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February 6, 2023.</w:t>
      </w:r>
    </w:p>
    <w:p>
      <w:pPr>
        <w:spacing w:after="0" w:line="26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8x8, Inc.</w:t>
      </w:r>
    </w:p>
    <w:p>
      <w:pPr>
        <w:spacing w:after="0" w:line="28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 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10795</wp:posOffset>
            </wp:positionV>
            <wp:extent cx="4380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Suzy Seandel</w:t>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6"/>
          <w:szCs w:val="16"/>
          <w:i w:val="1"/>
          <w:iCs w:val="1"/>
          <w:color w:val="auto"/>
        </w:rPr>
        <w:t>(Principal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color w:val="auto"/>
        </w:rPr>
        <w:t>Exhibit 31.1</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5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660" w:right="240" w:hanging="328"/>
        <w:spacing w:after="0" w:line="26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6"/>
          <w:szCs w:val="16"/>
          <w:color w:val="auto"/>
        </w:rPr>
      </w:pPr>
    </w:p>
    <w:p>
      <w:pPr>
        <w:ind w:left="1300" w:right="240" w:hanging="320"/>
        <w:spacing w:after="0" w:line="26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6"/>
          <w:szCs w:val="16"/>
          <w:color w:val="auto"/>
        </w:rPr>
      </w:pPr>
    </w:p>
    <w:p>
      <w:pPr>
        <w:ind w:left="1300" w:right="160" w:hanging="320"/>
        <w:spacing w:after="0" w:line="253"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6"/>
          <w:szCs w:val="16"/>
          <w:color w:val="auto"/>
        </w:rPr>
      </w:pPr>
    </w:p>
    <w:p>
      <w:pPr>
        <w:jc w:val="both"/>
        <w:ind w:left="1300" w:right="220" w:hanging="320"/>
        <w:spacing w:after="0" w:line="278"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6"/>
          <w:szCs w:val="16"/>
          <w:color w:val="auto"/>
        </w:rPr>
      </w:pPr>
    </w:p>
    <w:p>
      <w:pPr>
        <w:ind w:left="1300" w:right="20" w:hanging="320"/>
        <w:spacing w:after="0" w:line="26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300" w:right="640" w:hanging="320"/>
        <w:spacing w:after="0" w:line="278"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February 6,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Interim Chief Executive Officer</w:t>
      </w:r>
    </w:p>
    <w:p>
      <w:pPr>
        <w:sectPr>
          <w:pgSz w:w="11900" w:h="16838" w:orient="portrait"/>
          <w:cols w:equalWidth="0" w:num="1">
            <w:col w:w="11240"/>
          </w:cols>
          <w:pgMar w:left="320" w:top="105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color w:val="auto"/>
        </w:rPr>
        <w:t>Exhibit 31.2</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Kevin Kraus, certify that:</w:t>
      </w:r>
    </w:p>
    <w:p>
      <w:pPr>
        <w:spacing w:after="0" w:line="15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660" w:right="240" w:hanging="328"/>
        <w:spacing w:after="0" w:line="26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6"/>
          <w:szCs w:val="16"/>
          <w:color w:val="auto"/>
        </w:rPr>
      </w:pPr>
    </w:p>
    <w:p>
      <w:pPr>
        <w:ind w:left="1300" w:right="240" w:hanging="320"/>
        <w:spacing w:after="0" w:line="26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6"/>
          <w:szCs w:val="16"/>
          <w:color w:val="auto"/>
        </w:rPr>
      </w:pPr>
    </w:p>
    <w:p>
      <w:pPr>
        <w:ind w:left="1300" w:right="160" w:hanging="320"/>
        <w:spacing w:after="0" w:line="253"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6"/>
          <w:szCs w:val="16"/>
          <w:color w:val="auto"/>
        </w:rPr>
      </w:pPr>
    </w:p>
    <w:p>
      <w:pPr>
        <w:jc w:val="both"/>
        <w:ind w:left="1300" w:right="220" w:hanging="320"/>
        <w:spacing w:after="0" w:line="278"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6"/>
          <w:szCs w:val="16"/>
          <w:color w:val="auto"/>
        </w:rPr>
      </w:pPr>
    </w:p>
    <w:p>
      <w:pPr>
        <w:ind w:left="1300" w:right="20" w:hanging="320"/>
        <w:spacing w:after="0" w:line="26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300" w:right="640" w:hanging="320"/>
        <w:spacing w:after="0" w:line="278"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February 6,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Interim Chief Financial Officer</w:t>
      </w:r>
    </w:p>
    <w:p>
      <w:pPr>
        <w:sectPr>
          <w:pgSz w:w="11900" w:h="16838" w:orient="portrait"/>
          <w:cols w:equalWidth="0" w:num="1">
            <w:col w:w="11240"/>
          </w:cols>
          <w:pgMar w:left="320" w:top="105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color w:val="auto"/>
        </w:rPr>
        <w:t>Exhibit 32.1</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connection with the Quarterly Report on Form 10-Q of 8x8, Inc. (the "Company") for the period ended December 31, 2022, as filed with the Securities and Exchange Commission on the date hereof (the "Report"), I, Samuel Wilson, Interim Chief Executive Officer of the Company, hereby certify, pursuant to 18 U.S.C. Section 1350, as adopted pursuant to Section 906 of the Sarbanes-Oxley Act of 2002, that:</w:t>
      </w:r>
    </w:p>
    <w:p>
      <w:pPr>
        <w:spacing w:after="0" w:line="13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Interim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February 6, 2023</w:t>
      </w:r>
    </w:p>
    <w:p>
      <w:pPr>
        <w:spacing w:after="0" w:line="15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105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color w:val="auto"/>
        </w:rPr>
        <w:t>Exhibit 32.2</w:t>
      </w:r>
    </w:p>
    <w:p>
      <w:pPr>
        <w:spacing w:after="0" w:line="1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connection with the Quarterly Report on Form 10-Q of 8x8, Inc. (the "Company") for the period ended December 31, 2022, as filed with the Securities and Exchange Commission on the date hereof (the "Report"), I, Kevin Kraus, Interim Chief Financial Officer of the Company, hereby certify, pursuant to 18 U.S.C. Section 1350, as adopted pursuant to Section 906 of the Sarbanes-Oxley Act of 2002, that:</w:t>
      </w:r>
    </w:p>
    <w:p>
      <w:pPr>
        <w:spacing w:after="0" w:line="13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Interim 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February 6, 2023</w:t>
      </w:r>
    </w:p>
    <w:p>
      <w:pPr>
        <w:spacing w:after="0" w:line="15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Roman"/>
      <w:start w:val="3"/>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63" Type="http://schemas.openxmlformats.org/officeDocument/2006/relationships/hyperlink" Target="https://www.sec.gov/Archives/edgar/data/1023731/000102373122000124/exhibit31certificateofamen.htm" TargetMode="External"/><Relationship Id="rId64" Type="http://schemas.openxmlformats.org/officeDocument/2006/relationships/hyperlink" Target="http://www.sec.gov/Archives/edgar/data/1023731/000113626115000219/exh3-2.htm" TargetMode="External"/><Relationship Id="rId65" Type="http://schemas.openxmlformats.org/officeDocument/2006/relationships/hyperlink" Target="https://www.sec.gov/Archives/edgar/data/1023731/000119312522294947/d411656dex101.htm" TargetMode="External"/><Relationship Id="rId66" Type="http://schemas.openxmlformats.org/officeDocument/2006/relationships/hyperlink" Target="https://www.sec.gov/Archives/edgar/data/1023731/000119312522294947/d411656dex102.htm" TargetMode="External"/><Relationship Id="rId67" Type="http://schemas.openxmlformats.org/officeDocument/2006/relationships/hyperlink" Target="https://www.sec.gov/Archives/edgar/data/1023731/000102373122000231/davesipes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2023-02-07T05:15:27Z</dcterms:created>
  <dcterms:modified xsi:type="dcterms:W3CDTF">2023-02-07T05:15:27Z</dcterms:modified>
</cp:coreProperties>
</file>