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92075</wp:posOffset>
            </wp:positionV>
            <wp:extent cx="1637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127000</wp:posOffset>
            </wp:positionV>
            <wp:extent cx="1637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82" w:lineRule="exact"/>
        <w:rPr>
          <w:sz w:val="24"/>
          <w:szCs w:val="24"/>
          <w:color w:val="auto"/>
        </w:rPr>
      </w:pPr>
    </w:p>
    <w:p>
      <w:pPr>
        <w:ind w:left="3900" w:right="2720" w:hanging="3892"/>
        <w:spacing w:after="0" w:line="400" w:lineRule="auto"/>
        <w:tabs>
          <w:tab w:leader="none" w:pos="215"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2024</w:t>
      </w:r>
    </w:p>
    <w:p>
      <w:pPr>
        <w:jc w:val="center"/>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sz w:val="24"/>
          <w:szCs w:val="24"/>
          <w:color w:val="auto"/>
        </w:rPr>
      </w:pPr>
    </w:p>
    <w:p>
      <w:pPr>
        <w:ind w:left="3600"/>
        <w:spacing w:after="0"/>
        <w:rPr>
          <w:sz w:val="20"/>
          <w:szCs w:val="20"/>
          <w:color w:val="auto"/>
        </w:rPr>
      </w:pPr>
      <w:r>
        <w:rPr>
          <w:rFonts w:ascii="Arial" w:cs="Arial" w:eastAsia="Arial" w:hAnsi="Arial"/>
          <w:sz w:val="16"/>
          <w:szCs w:val="16"/>
          <w:b w:val="1"/>
          <w:bCs w:val="1"/>
          <w:color w:val="auto"/>
        </w:rPr>
        <w:t>For the transition period from ________to _________</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001-38312</w:t>
      </w:r>
    </w:p>
    <w:p>
      <w:pPr>
        <w:spacing w:after="0" w:line="6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52070</wp:posOffset>
            </wp:positionV>
            <wp:extent cx="72009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8x8, INC.</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5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Delaware</w:t>
            </w:r>
          </w:p>
        </w:tc>
        <w:tc>
          <w:tcPr>
            <w:tcW w:w="100" w:type="dxa"/>
            <w:vAlign w:val="bottom"/>
          </w:tcPr>
          <w:p>
            <w:pPr>
              <w:spacing w:after="0"/>
              <w:rPr>
                <w:sz w:val="18"/>
                <w:szCs w:val="18"/>
                <w:color w:val="auto"/>
              </w:rPr>
            </w:pPr>
          </w:p>
        </w:tc>
        <w:tc>
          <w:tcPr>
            <w:tcW w:w="5580" w:type="dxa"/>
            <w:vAlign w:val="bottom"/>
            <w:tcBorders>
              <w:bottom w:val="single" w:sz="8" w:color="auto"/>
            </w:tcBorders>
          </w:tcPr>
          <w:p>
            <w:pPr>
              <w:jc w:val="right"/>
              <w:ind w:right="2284"/>
              <w:spacing w:after="0"/>
              <w:rPr>
                <w:sz w:val="20"/>
                <w:szCs w:val="20"/>
                <w:color w:val="auto"/>
              </w:rPr>
            </w:pPr>
            <w:r>
              <w:rPr>
                <w:rFonts w:ascii="Arial" w:cs="Arial" w:eastAsia="Arial" w:hAnsi="Arial"/>
                <w:sz w:val="16"/>
                <w:szCs w:val="16"/>
                <w:b w:val="1"/>
                <w:bCs w:val="1"/>
                <w:color w:val="auto"/>
              </w:rPr>
              <w:t>77-0142404</w:t>
            </w:r>
          </w:p>
        </w:tc>
      </w:tr>
      <w:tr>
        <w:trPr>
          <w:trHeight w:val="188"/>
        </w:trPr>
        <w:tc>
          <w:tcPr>
            <w:tcW w:w="5660" w:type="dxa"/>
            <w:vAlign w:val="bottom"/>
            <w:gridSpan w:val="2"/>
          </w:tcPr>
          <w:p>
            <w:pPr>
              <w:jc w:val="center"/>
              <w:ind w:right="120"/>
              <w:spacing w:after="0"/>
              <w:rPr>
                <w:sz w:val="20"/>
                <w:szCs w:val="20"/>
                <w:color w:val="auto"/>
              </w:rPr>
            </w:pPr>
            <w:r>
              <w:rPr>
                <w:rFonts w:ascii="Arial" w:cs="Arial" w:eastAsia="Arial" w:hAnsi="Arial"/>
                <w:sz w:val="14"/>
                <w:szCs w:val="14"/>
                <w:color w:val="auto"/>
              </w:rPr>
              <w:t>(State or Other Jurisdiction of Incorporation or Organization)</w:t>
            </w:r>
          </w:p>
        </w:tc>
        <w:tc>
          <w:tcPr>
            <w:tcW w:w="5580" w:type="dxa"/>
            <w:vAlign w:val="bottom"/>
          </w:tcPr>
          <w:p>
            <w:pPr>
              <w:jc w:val="center"/>
              <w:spacing w:after="0"/>
              <w:rPr>
                <w:sz w:val="20"/>
                <w:szCs w:val="20"/>
                <w:color w:val="auto"/>
              </w:rPr>
            </w:pPr>
            <w:r>
              <w:rPr>
                <w:rFonts w:ascii="Arial" w:cs="Arial" w:eastAsia="Arial" w:hAnsi="Arial"/>
                <w:sz w:val="14"/>
                <w:szCs w:val="14"/>
                <w:color w:val="auto"/>
              </w:rPr>
              <w:t>(I.R.S. Employer Identification Number)</w:t>
            </w:r>
          </w:p>
        </w:tc>
      </w:tr>
    </w:tbl>
    <w:p>
      <w:pPr>
        <w:spacing w:after="0" w:line="12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675 Creekside Way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Campbell, CA 95008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23495</wp:posOffset>
            </wp:positionV>
            <wp:extent cx="2674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727-1885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34925</wp:posOffset>
            </wp:positionV>
            <wp:extent cx="2674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6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0"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3"/>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PAR VALUE $0.001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139" w:lineRule="exact"/>
        <w:rPr>
          <w:sz w:val="24"/>
          <w:szCs w:val="24"/>
          <w:color w:val="auto"/>
        </w:rPr>
      </w:pPr>
    </w:p>
    <w:p>
      <w:pPr>
        <w:jc w:val="both"/>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2" w:lineRule="exact"/>
        <w:rPr>
          <w:sz w:val="24"/>
          <w:szCs w:val="24"/>
          <w:color w:val="auto"/>
        </w:rPr>
      </w:pPr>
    </w:p>
    <w:p>
      <w:pPr>
        <w:jc w:val="both"/>
        <w:spacing w:after="0" w:line="20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jc w:val="both"/>
        <w:spacing w:after="0" w:line="29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48" w:lineRule="exact"/>
        <w:rPr>
          <w:sz w:val="24"/>
          <w:szCs w:val="24"/>
          <w:color w:val="auto"/>
        </w:rPr>
      </w:pPr>
    </w:p>
    <w:tbl>
      <w:tblPr>
        <w:tblLayout w:type="fixed"/>
        <w:tblInd w:w="800" w:type="dxa"/>
        <w:tblCellMar>
          <w:top w:w="0" w:type="dxa"/>
          <w:left w:w="0" w:type="dxa"/>
          <w:bottom w:w="0" w:type="dxa"/>
          <w:right w:w="0" w:type="dxa"/>
        </w:tblCellMar>
      </w:tblPr>
      <w:tr>
        <w:trPr>
          <w:trHeight w:val="203"/>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320" w:type="dxa"/>
            <w:vAlign w:val="bottom"/>
          </w:tcPr>
          <w:p>
            <w:pPr>
              <w:ind w:left="18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0" w:lineRule="exact"/>
        <w:rPr>
          <w:sz w:val="24"/>
          <w:szCs w:val="24"/>
          <w:color w:val="auto"/>
        </w:rPr>
      </w:pPr>
    </w:p>
    <w:p>
      <w:pPr>
        <w:spacing w:after="0" w:line="20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760"/>
        <w:spacing w:after="0" w:line="22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July 31, 2024 was 128,330,234.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920" w:type="dxa"/>
            <w:vAlign w:val="bottom"/>
            <w:gridSpan w:val="26"/>
          </w:tcPr>
          <w:p>
            <w:pPr>
              <w:spacing w:after="0"/>
              <w:rPr>
                <w:sz w:val="20"/>
                <w:szCs w:val="20"/>
                <w:color w:val="auto"/>
              </w:rPr>
            </w:pPr>
            <w:r>
              <w:rPr>
                <w:rFonts w:ascii="Arial" w:cs="Arial" w:eastAsia="Arial" w:hAnsi="Arial"/>
                <w:sz w:val="16"/>
                <w:szCs w:val="16"/>
                <w:color w:val="0000FF"/>
              </w:rPr>
              <w:t>Table of Contents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4"/>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2"/>
          </w:tcPr>
          <w:p>
            <w:pPr>
              <w:jc w:val="center"/>
              <w:ind w:right="3720"/>
              <w:spacing w:after="0"/>
              <w:rPr>
                <w:sz w:val="20"/>
                <w:szCs w:val="20"/>
                <w:color w:val="auto"/>
              </w:rPr>
            </w:pPr>
            <w:r>
              <w:rPr>
                <w:rFonts w:ascii="Arial" w:cs="Arial" w:eastAsia="Arial" w:hAnsi="Arial"/>
                <w:sz w:val="16"/>
                <w:szCs w:val="16"/>
                <w:b w:val="1"/>
                <w:bCs w:val="1"/>
                <w:color w:val="auto"/>
              </w:rPr>
              <w:t>8X8, INC.</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00" w:type="dxa"/>
            <w:vAlign w:val="bottom"/>
            <w:gridSpan w:val="9"/>
          </w:tcPr>
          <w:p>
            <w:pPr>
              <w:jc w:val="center"/>
              <w:ind w:right="2280"/>
              <w:spacing w:after="0"/>
              <w:rPr>
                <w:sz w:val="20"/>
                <w:szCs w:val="20"/>
                <w:color w:val="auto"/>
              </w:rPr>
            </w:pPr>
            <w:r>
              <w:rPr>
                <w:rFonts w:ascii="Arial" w:cs="Arial" w:eastAsia="Arial" w:hAnsi="Arial"/>
                <w:sz w:val="16"/>
                <w:szCs w:val="16"/>
                <w:b w:val="1"/>
                <w:bCs w:val="1"/>
                <w:color w:val="auto"/>
              </w:rPr>
              <w:t>INDEX TO QUARTERLY REPORT ON FORM 10-Q</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60" w:type="dxa"/>
            <w:vAlign w:val="bottom"/>
            <w:gridSpan w:val="8"/>
          </w:tcPr>
          <w:p>
            <w:pPr>
              <w:jc w:val="center"/>
              <w:ind w:right="2640"/>
              <w:spacing w:after="0"/>
              <w:rPr>
                <w:sz w:val="20"/>
                <w:szCs w:val="20"/>
                <w:color w:val="auto"/>
              </w:rPr>
            </w:pPr>
            <w:r>
              <w:rPr>
                <w:rFonts w:ascii="Arial" w:cs="Arial" w:eastAsia="Arial" w:hAnsi="Arial"/>
                <w:sz w:val="16"/>
                <w:szCs w:val="16"/>
                <w:b w:val="1"/>
                <w:bCs w:val="1"/>
                <w:color w:val="auto"/>
              </w:rPr>
              <w:t>FOR THE QUARTER ENDED JUNE 30, 2024</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32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0" w:type="dxa"/>
            <w:vAlign w:val="bottom"/>
            <w:tcBorders>
              <w:bottom w:val="single" w:sz="8" w:color="0000FF"/>
            </w:tcBorders>
            <w:gridSpan w:val="16"/>
          </w:tcPr>
          <w:p>
            <w:pPr>
              <w:spacing w:after="0" w:line="149" w:lineRule="exact"/>
              <w:rPr>
                <w:sz w:val="20"/>
                <w:szCs w:val="20"/>
                <w:color w:val="auto"/>
              </w:rPr>
            </w:pPr>
            <w:r>
              <w:rPr>
                <w:rFonts w:ascii="Arial" w:cs="Arial" w:eastAsia="Arial" w:hAnsi="Arial"/>
                <w:sz w:val="16"/>
                <w:szCs w:val="16"/>
                <w:b w:val="1"/>
                <w:bCs w:val="1"/>
                <w:color w:val="0000FF"/>
              </w:rPr>
              <w:t>Forward-Looking Statements and Risk Factors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gridSpan w:val="2"/>
          </w:tcPr>
          <w:p>
            <w:pPr>
              <w:jc w:val="center"/>
              <w:ind w:left="539"/>
              <w:spacing w:after="0" w:line="169" w:lineRule="exact"/>
              <w:rPr>
                <w:sz w:val="20"/>
                <w:szCs w:val="20"/>
                <w:color w:val="auto"/>
              </w:rPr>
            </w:pPr>
            <w:r>
              <w:rPr>
                <w:rFonts w:ascii="Arial" w:cs="Arial" w:eastAsia="Arial" w:hAnsi="Arial"/>
                <w:sz w:val="16"/>
                <w:szCs w:val="16"/>
                <w:color w:val="0000FF"/>
                <w:w w:val="89"/>
              </w:rPr>
              <w:t>2</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gridSpan w:val="25"/>
            <w:vMerge w:val="restart"/>
          </w:tcPr>
          <w:p>
            <w:pPr>
              <w:spacing w:after="0"/>
              <w:rPr>
                <w:sz w:val="20"/>
                <w:szCs w:val="20"/>
                <w:color w:val="auto"/>
              </w:rPr>
            </w:pPr>
            <w:r>
              <w:rPr>
                <w:rFonts w:ascii="Arial" w:cs="Arial" w:eastAsia="Arial" w:hAnsi="Arial"/>
                <w:sz w:val="16"/>
                <w:szCs w:val="16"/>
                <w:b w:val="1"/>
                <w:bCs w:val="1"/>
                <w:color w:val="0000FF"/>
              </w:rPr>
              <w:t>PART I. FINANCIAL INFORMATION</w:t>
            </w: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900" w:type="dxa"/>
            <w:vAlign w:val="bottom"/>
            <w:gridSpan w:val="25"/>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Item 1. Financial Statements (unaudited):</w:t>
            </w:r>
          </w:p>
        </w:tc>
        <w:tc>
          <w:tcPr>
            <w:tcW w:w="6820" w:type="dxa"/>
            <w:vAlign w:val="bottom"/>
            <w:gridSpan w:val="11"/>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13"/>
            <w:vMerge w:val="restart"/>
          </w:tcPr>
          <w:p>
            <w:pPr>
              <w:spacing w:after="0"/>
              <w:rPr>
                <w:sz w:val="20"/>
                <w:szCs w:val="20"/>
                <w:color w:val="auto"/>
              </w:rPr>
            </w:pPr>
            <w:r>
              <w:rPr>
                <w:rFonts w:ascii="Arial" w:cs="Arial" w:eastAsia="Arial" w:hAnsi="Arial"/>
                <w:sz w:val="16"/>
                <w:szCs w:val="16"/>
                <w:color w:val="0000FF"/>
              </w:rPr>
              <w:t>Condensed Consolidated Balance Sheets</w:t>
            </w:r>
          </w:p>
        </w:tc>
        <w:tc>
          <w:tcPr>
            <w:tcW w:w="6660" w:type="dxa"/>
            <w:vAlign w:val="bottom"/>
            <w:gridSpan w:val="10"/>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bottom w:val="single" w:sz="8" w:color="0000FF"/>
            </w:tcBorders>
            <w:gridSpan w:val="13"/>
            <w:vMerge w:val="continue"/>
          </w:tcPr>
          <w:p>
            <w:pPr>
              <w:spacing w:after="0"/>
              <w:rPr>
                <w:sz w:val="17"/>
                <w:szCs w:val="17"/>
                <w:color w:val="auto"/>
              </w:rPr>
            </w:pPr>
          </w:p>
        </w:tc>
        <w:tc>
          <w:tcPr>
            <w:tcW w:w="6660" w:type="dxa"/>
            <w:vAlign w:val="bottom"/>
            <w:gridSpan w:val="10"/>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gridSpan w:val="15"/>
            <w:vMerge w:val="restart"/>
          </w:tcPr>
          <w:p>
            <w:pPr>
              <w:spacing w:after="0"/>
              <w:rPr>
                <w:sz w:val="20"/>
                <w:szCs w:val="20"/>
                <w:color w:val="auto"/>
              </w:rPr>
            </w:pPr>
            <w:r>
              <w:rPr>
                <w:rFonts w:ascii="Arial" w:cs="Arial" w:eastAsia="Arial" w:hAnsi="Arial"/>
                <w:sz w:val="16"/>
                <w:szCs w:val="16"/>
                <w:color w:val="0000FF"/>
              </w:rPr>
              <w:t>Condensed Consolidated Statements of Operations</w:t>
            </w:r>
          </w:p>
        </w:tc>
        <w:tc>
          <w:tcPr>
            <w:tcW w:w="5960" w:type="dxa"/>
            <w:vAlign w:val="bottom"/>
            <w:gridSpan w:val="8"/>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FF"/>
            </w:tcBorders>
            <w:gridSpan w:val="15"/>
            <w:vMerge w:val="continue"/>
          </w:tcPr>
          <w:p>
            <w:pPr>
              <w:spacing w:after="0"/>
              <w:rPr>
                <w:sz w:val="17"/>
                <w:szCs w:val="17"/>
                <w:color w:val="auto"/>
              </w:rPr>
            </w:pPr>
          </w:p>
        </w:tc>
        <w:tc>
          <w:tcPr>
            <w:tcW w:w="5960" w:type="dxa"/>
            <w:vAlign w:val="bottom"/>
            <w:gridSpan w:val="8"/>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gridSpan w:val="18"/>
            <w:vMerge w:val="restart"/>
          </w:tcPr>
          <w:p>
            <w:pPr>
              <w:spacing w:after="0"/>
              <w:rPr>
                <w:sz w:val="20"/>
                <w:szCs w:val="20"/>
                <w:color w:val="auto"/>
              </w:rPr>
            </w:pPr>
            <w:r>
              <w:rPr>
                <w:rFonts w:ascii="Arial" w:cs="Arial" w:eastAsia="Arial" w:hAnsi="Arial"/>
                <w:sz w:val="16"/>
                <w:szCs w:val="16"/>
                <w:color w:val="0000FF"/>
              </w:rPr>
              <w:t>Condensed Consolidated Statements of Comprehensive Loss</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Borders>
              <w:bottom w:val="single" w:sz="8" w:color="0000FF"/>
            </w:tcBorders>
            <w:gridSpan w:val="18"/>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gridSpan w:val="17"/>
            <w:vMerge w:val="restart"/>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FF"/>
            </w:tcBorders>
            <w:gridSpan w:val="17"/>
            <w:vMerge w:val="continue"/>
          </w:tcPr>
          <w:p>
            <w:pPr>
              <w:spacing w:after="0"/>
              <w:rPr>
                <w:sz w:val="17"/>
                <w:szCs w:val="17"/>
                <w:color w:val="auto"/>
              </w:rPr>
            </w:pPr>
          </w:p>
        </w:tc>
        <w:tc>
          <w:tcPr>
            <w:tcW w:w="3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5</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16"/>
            <w:vMerge w:val="restart"/>
          </w:tcPr>
          <w:p>
            <w:pPr>
              <w:spacing w:after="0"/>
              <w:rPr>
                <w:sz w:val="20"/>
                <w:szCs w:val="20"/>
                <w:color w:val="auto"/>
              </w:rPr>
            </w:pPr>
            <w:r>
              <w:rPr>
                <w:rFonts w:ascii="Arial" w:cs="Arial" w:eastAsia="Arial" w:hAnsi="Arial"/>
                <w:sz w:val="16"/>
                <w:szCs w:val="16"/>
                <w:color w:val="0000FF"/>
              </w:rPr>
              <w:t>Condensed Consolidated Statements of Cash Flows</w:t>
            </w:r>
          </w:p>
        </w:tc>
        <w:tc>
          <w:tcPr>
            <w:tcW w:w="5900" w:type="dxa"/>
            <w:vAlign w:val="bottom"/>
            <w:gridSpan w:val="7"/>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bottom w:val="single" w:sz="8" w:color="0000FF"/>
            </w:tcBorders>
            <w:gridSpan w:val="16"/>
            <w:vMerge w:val="continue"/>
          </w:tcPr>
          <w:p>
            <w:pPr>
              <w:spacing w:after="0"/>
              <w:rPr>
                <w:sz w:val="17"/>
                <w:szCs w:val="17"/>
                <w:color w:val="auto"/>
              </w:rPr>
            </w:pPr>
          </w:p>
        </w:tc>
        <w:tc>
          <w:tcPr>
            <w:tcW w:w="5900" w:type="dxa"/>
            <w:vAlign w:val="bottom"/>
            <w:gridSpan w:val="7"/>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6</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60" w:type="dxa"/>
            <w:vAlign w:val="bottom"/>
            <w:gridSpan w:val="23"/>
            <w:vMerge w:val="restart"/>
          </w:tcPr>
          <w:p>
            <w:pPr>
              <w:spacing w:after="0"/>
              <w:rPr>
                <w:sz w:val="20"/>
                <w:szCs w:val="20"/>
                <w:color w:val="auto"/>
              </w:rPr>
            </w:pPr>
            <w:r>
              <w:rPr>
                <w:rFonts w:ascii="Arial" w:cs="Arial" w:eastAsia="Arial" w:hAnsi="Arial"/>
                <w:sz w:val="16"/>
                <w:szCs w:val="16"/>
                <w:color w:val="0000FF"/>
              </w:rPr>
              <w:t>Notes to Unaudited Condensed Consolidated Financial Statements</w:t>
            </w: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23"/>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E32E1"/>
                <w:w w:val="89"/>
              </w:rPr>
              <w:t>8</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E32E1"/>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24"/>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1320" w:type="dxa"/>
            <w:vAlign w:val="bottom"/>
            <w:gridSpan w:val="3"/>
          </w:tcPr>
          <w:p>
            <w:pPr>
              <w:jc w:val="center"/>
              <w:ind w:right="20"/>
              <w:spacing w:after="0"/>
              <w:rPr>
                <w:sz w:val="20"/>
                <w:szCs w:val="20"/>
                <w:color w:val="auto"/>
              </w:rPr>
            </w:pPr>
            <w:r>
              <w:rPr>
                <w:rFonts w:ascii="Arial" w:cs="Arial" w:eastAsia="Arial" w:hAnsi="Arial"/>
                <w:sz w:val="16"/>
                <w:szCs w:val="16"/>
                <w:color w:val="0E32E1"/>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Borders>
              <w:top w:val="single" w:sz="8" w:color="0000FF"/>
            </w:tcBorders>
            <w:gridSpan w:val="20"/>
            <w:vMerge w:val="restart"/>
          </w:tcPr>
          <w:p>
            <w:pPr>
              <w:spacing w:after="0"/>
              <w:rPr>
                <w:sz w:val="20"/>
                <w:szCs w:val="20"/>
                <w:color w:val="auto"/>
              </w:rPr>
            </w:pPr>
            <w:r>
              <w:rPr>
                <w:rFonts w:ascii="Arial" w:cs="Arial" w:eastAsia="Arial" w:hAnsi="Arial"/>
                <w:sz w:val="16"/>
                <w:szCs w:val="16"/>
                <w:color w:val="0000FF"/>
              </w:rPr>
              <w:t>Item 3. Quantitative and Qualitative Disclosures About Market Risk</w:t>
            </w:r>
          </w:p>
        </w:tc>
        <w:tc>
          <w:tcPr>
            <w:tcW w:w="2120" w:type="dxa"/>
            <w:vAlign w:val="bottom"/>
            <w:tcBorders>
              <w:top w:val="single" w:sz="8" w:color="0000FF"/>
            </w:tcBorders>
            <w:gridSpan w:val="3"/>
            <w:vMerge w:val="restart"/>
          </w:tcPr>
          <w:p>
            <w:pPr>
              <w:spacing w:after="0" w:line="20" w:lineRule="exact"/>
              <w:rPr>
                <w:sz w:val="1"/>
                <w:szCs w:val="1"/>
                <w:color w:val="auto"/>
              </w:rPr>
            </w:pPr>
          </w:p>
        </w:tc>
        <w:tc>
          <w:tcPr>
            <w:tcW w:w="2880" w:type="dxa"/>
            <w:vAlign w:val="bottom"/>
            <w:vMerge w:val="restart"/>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bottom w:val="single" w:sz="8" w:color="0000FF"/>
            </w:tcBorders>
            <w:gridSpan w:val="20"/>
            <w:vMerge w:val="continue"/>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28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780" w:type="dxa"/>
            <w:vAlign w:val="bottom"/>
            <w:gridSpan w:val="24"/>
            <w:vMerge w:val="restart"/>
          </w:tcPr>
          <w:p>
            <w:pPr>
              <w:spacing w:after="0"/>
              <w:rPr>
                <w:sz w:val="20"/>
                <w:szCs w:val="20"/>
                <w:color w:val="auto"/>
              </w:rPr>
            </w:pPr>
            <w:r>
              <w:rPr>
                <w:rFonts w:ascii="Arial" w:cs="Arial" w:eastAsia="Arial" w:hAnsi="Arial"/>
                <w:sz w:val="16"/>
                <w:szCs w:val="16"/>
                <w:color w:val="0000FF"/>
              </w:rPr>
              <w:t>Item 4. Controls and Procedures</w:t>
            </w: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24"/>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E32E1"/>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b w:val="1"/>
                <w:bCs w:val="1"/>
                <w:color w:val="0000FF"/>
              </w:rPr>
              <w:t>PART II. OTHER INFORMATION</w:t>
            </w:r>
          </w:p>
        </w:tc>
        <w:tc>
          <w:tcPr>
            <w:tcW w:w="7480" w:type="dxa"/>
            <w:vAlign w:val="bottom"/>
            <w:gridSpan w:val="15"/>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7"/>
            <w:vMerge w:val="restart"/>
          </w:tcPr>
          <w:p>
            <w:pPr>
              <w:spacing w:after="0"/>
              <w:rPr>
                <w:sz w:val="20"/>
                <w:szCs w:val="20"/>
                <w:color w:val="auto"/>
              </w:rPr>
            </w:pPr>
            <w:r>
              <w:rPr>
                <w:rFonts w:ascii="Arial" w:cs="Arial" w:eastAsia="Arial" w:hAnsi="Arial"/>
                <w:sz w:val="16"/>
                <w:szCs w:val="16"/>
                <w:color w:val="0000FF"/>
              </w:rPr>
              <w:t>Item 1. Legal Proceedings</w:t>
            </w:r>
          </w:p>
        </w:tc>
        <w:tc>
          <w:tcPr>
            <w:tcW w:w="7900" w:type="dxa"/>
            <w:vAlign w:val="bottom"/>
            <w:gridSpan w:val="17"/>
            <w:vMerge w:val="restart"/>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7"/>
            <w:vMerge w:val="continue"/>
          </w:tcPr>
          <w:p>
            <w:pPr>
              <w:spacing w:after="0"/>
              <w:rPr>
                <w:sz w:val="17"/>
                <w:szCs w:val="17"/>
                <w:color w:val="auto"/>
              </w:rPr>
            </w:pPr>
          </w:p>
        </w:tc>
        <w:tc>
          <w:tcPr>
            <w:tcW w:w="7900" w:type="dxa"/>
            <w:vAlign w:val="bottom"/>
            <w:gridSpan w:val="17"/>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0000FF"/>
            </w:tcBorders>
            <w:gridSpan w:val="7"/>
            <w:vMerge w:val="restart"/>
          </w:tcPr>
          <w:p>
            <w:pPr>
              <w:spacing w:after="0"/>
              <w:rPr>
                <w:sz w:val="20"/>
                <w:szCs w:val="20"/>
                <w:color w:val="auto"/>
              </w:rPr>
            </w:pPr>
            <w:r>
              <w:rPr>
                <w:rFonts w:ascii="Arial" w:cs="Arial" w:eastAsia="Arial" w:hAnsi="Arial"/>
                <w:sz w:val="16"/>
                <w:szCs w:val="16"/>
                <w:color w:val="0000FF"/>
              </w:rPr>
              <w:t>Item 1A. Risk Factors</w:t>
            </w:r>
          </w:p>
        </w:tc>
        <w:tc>
          <w:tcPr>
            <w:tcW w:w="7900" w:type="dxa"/>
            <w:vAlign w:val="bottom"/>
            <w:gridSpan w:val="17"/>
            <w:vMerge w:val="restart"/>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tcBorders>
              <w:top w:val="single" w:sz="8" w:color="0E32E1"/>
            </w:tcBorders>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7"/>
            <w:vMerge w:val="continue"/>
          </w:tcPr>
          <w:p>
            <w:pPr>
              <w:spacing w:after="0"/>
              <w:rPr>
                <w:sz w:val="17"/>
                <w:szCs w:val="17"/>
                <w:color w:val="auto"/>
              </w:rPr>
            </w:pPr>
          </w:p>
        </w:tc>
        <w:tc>
          <w:tcPr>
            <w:tcW w:w="7900" w:type="dxa"/>
            <w:vAlign w:val="bottom"/>
            <w:gridSpan w:val="17"/>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E32E1"/>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Item 2. Unregistered Sales of Equity Securities and Use of Proceeds</w:t>
            </w:r>
          </w:p>
        </w:tc>
        <w:tc>
          <w:tcPr>
            <w:tcW w:w="488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12"/>
            <w:vMerge w:val="restart"/>
          </w:tcPr>
          <w:p>
            <w:pPr>
              <w:spacing w:after="0"/>
              <w:rPr>
                <w:sz w:val="20"/>
                <w:szCs w:val="20"/>
                <w:color w:val="auto"/>
              </w:rPr>
            </w:pPr>
            <w:r>
              <w:rPr>
                <w:rFonts w:ascii="Arial" w:cs="Arial" w:eastAsia="Arial" w:hAnsi="Arial"/>
                <w:sz w:val="16"/>
                <w:szCs w:val="16"/>
                <w:color w:val="0000FF"/>
              </w:rPr>
              <w:t>Item 3. Defaults Upon Senior Securities</w:t>
            </w:r>
          </w:p>
        </w:tc>
        <w:tc>
          <w:tcPr>
            <w:tcW w:w="6940" w:type="dxa"/>
            <w:vAlign w:val="bottom"/>
            <w:gridSpan w:val="12"/>
            <w:vMerge w:val="restart"/>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0000FF"/>
            </w:tcBorders>
            <w:gridSpan w:val="12"/>
            <w:vMerge w:val="continue"/>
          </w:tcPr>
          <w:p>
            <w:pPr>
              <w:spacing w:after="0"/>
              <w:rPr>
                <w:sz w:val="17"/>
                <w:szCs w:val="17"/>
                <w:color w:val="auto"/>
              </w:rPr>
            </w:pPr>
          </w:p>
        </w:tc>
        <w:tc>
          <w:tcPr>
            <w:tcW w:w="6940" w:type="dxa"/>
            <w:vAlign w:val="bottom"/>
            <w:gridSpan w:val="12"/>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gridSpan w:val="8"/>
            <w:vMerge w:val="restart"/>
          </w:tcPr>
          <w:p>
            <w:pPr>
              <w:spacing w:after="0"/>
              <w:rPr>
                <w:sz w:val="20"/>
                <w:szCs w:val="20"/>
                <w:color w:val="auto"/>
              </w:rPr>
            </w:pPr>
            <w:r>
              <w:rPr>
                <w:rFonts w:ascii="Arial" w:cs="Arial" w:eastAsia="Arial" w:hAnsi="Arial"/>
                <w:sz w:val="16"/>
                <w:szCs w:val="16"/>
                <w:color w:val="0000FF"/>
              </w:rPr>
              <w:t>Item 4. Mine Safety Disclosures</w:t>
            </w:r>
          </w:p>
        </w:tc>
        <w:tc>
          <w:tcPr>
            <w:tcW w:w="7500" w:type="dxa"/>
            <w:vAlign w:val="bottom"/>
            <w:gridSpan w:val="16"/>
            <w:vMerge w:val="restart"/>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0000FF"/>
            </w:tcBorders>
            <w:gridSpan w:val="8"/>
            <w:vMerge w:val="continue"/>
          </w:tcPr>
          <w:p>
            <w:pPr>
              <w:spacing w:after="0"/>
              <w:rPr>
                <w:sz w:val="17"/>
                <w:szCs w:val="17"/>
                <w:color w:val="auto"/>
              </w:rPr>
            </w:pPr>
          </w:p>
        </w:tc>
        <w:tc>
          <w:tcPr>
            <w:tcW w:w="7500" w:type="dxa"/>
            <w:vAlign w:val="bottom"/>
            <w:gridSpan w:val="16"/>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6"/>
            <w:vMerge w:val="restart"/>
          </w:tcPr>
          <w:p>
            <w:pPr>
              <w:spacing w:after="0"/>
              <w:rPr>
                <w:sz w:val="20"/>
                <w:szCs w:val="20"/>
                <w:color w:val="auto"/>
              </w:rPr>
            </w:pPr>
            <w:r>
              <w:rPr>
                <w:rFonts w:ascii="Arial" w:cs="Arial" w:eastAsia="Arial" w:hAnsi="Arial"/>
                <w:sz w:val="16"/>
                <w:szCs w:val="16"/>
                <w:color w:val="0000FF"/>
              </w:rPr>
              <w:t>Item 5. Other Information</w:t>
            </w:r>
          </w:p>
        </w:tc>
        <w:tc>
          <w:tcPr>
            <w:tcW w:w="7980" w:type="dxa"/>
            <w:vAlign w:val="bottom"/>
            <w:gridSpan w:val="18"/>
            <w:vMerge w:val="restart"/>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FF"/>
            </w:tcBorders>
            <w:gridSpan w:val="6"/>
            <w:vMerge w:val="continue"/>
          </w:tcPr>
          <w:p>
            <w:pPr>
              <w:spacing w:after="0"/>
              <w:rPr>
                <w:sz w:val="17"/>
                <w:szCs w:val="17"/>
                <w:color w:val="auto"/>
              </w:rPr>
            </w:pPr>
          </w:p>
        </w:tc>
        <w:tc>
          <w:tcPr>
            <w:tcW w:w="7980" w:type="dxa"/>
            <w:vAlign w:val="bottom"/>
            <w:gridSpan w:val="18"/>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780" w:type="dxa"/>
            <w:vAlign w:val="bottom"/>
            <w:gridSpan w:val="24"/>
            <w:vMerge w:val="restart"/>
          </w:tcPr>
          <w:p>
            <w:pPr>
              <w:spacing w:after="0"/>
              <w:rPr>
                <w:sz w:val="20"/>
                <w:szCs w:val="20"/>
                <w:color w:val="auto"/>
              </w:rPr>
            </w:pPr>
            <w:r>
              <w:rPr>
                <w:rFonts w:ascii="Arial" w:cs="Arial" w:eastAsia="Arial" w:hAnsi="Arial"/>
                <w:sz w:val="16"/>
                <w:szCs w:val="16"/>
                <w:color w:val="0000FF"/>
              </w:rPr>
              <w:t>Item 6. Exhibits</w:t>
            </w: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24"/>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9140" w:type="dxa"/>
            <w:vAlign w:val="bottom"/>
            <w:gridSpan w:val="22"/>
            <w:shd w:val="clear" w:color="auto" w:fill="0000FF"/>
          </w:tcPr>
          <w:p>
            <w:pPr>
              <w:spacing w:after="0"/>
              <w:rPr>
                <w:sz w:val="2"/>
                <w:szCs w:val="2"/>
                <w:color w:val="auto"/>
              </w:rPr>
            </w:pPr>
          </w:p>
        </w:tc>
        <w:tc>
          <w:tcPr>
            <w:tcW w:w="620" w:type="dxa"/>
            <w:vAlign w:val="bottom"/>
            <w:tcBorders>
              <w:right w:val="single" w:sz="8" w:color="0E32E1"/>
            </w:tcBorders>
          </w:tcPr>
          <w:p>
            <w:pPr>
              <w:spacing w:after="0"/>
              <w:rPr>
                <w:sz w:val="2"/>
                <w:szCs w:val="2"/>
                <w:color w:val="auto"/>
              </w:rPr>
            </w:pPr>
          </w:p>
        </w:tc>
        <w:tc>
          <w:tcPr>
            <w:tcW w:w="80" w:type="dxa"/>
            <w:vAlign w:val="bottom"/>
            <w:shd w:val="clear" w:color="auto" w:fill="0E32E1"/>
          </w:tcPr>
          <w:p>
            <w:pPr>
              <w:spacing w:after="0"/>
              <w:rPr>
                <w:sz w:val="2"/>
                <w:szCs w:val="2"/>
                <w:color w:val="auto"/>
              </w:rPr>
            </w:pPr>
          </w:p>
        </w:tc>
        <w:tc>
          <w:tcPr>
            <w:tcW w:w="620" w:type="dxa"/>
            <w:vAlign w:val="bottom"/>
            <w:tcBorders>
              <w:left w:val="single" w:sz="8" w:color="0E32E1"/>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3"/>
          </w:tcPr>
          <w:p>
            <w:pPr>
              <w:spacing w:after="0"/>
              <w:rPr>
                <w:sz w:val="20"/>
                <w:szCs w:val="20"/>
                <w:color w:val="auto"/>
              </w:rPr>
            </w:pPr>
            <w:r>
              <w:rPr>
                <w:rFonts w:ascii="Arial" w:cs="Arial" w:eastAsia="Arial" w:hAnsi="Arial"/>
                <w:sz w:val="16"/>
                <w:szCs w:val="16"/>
                <w:b w:val="1"/>
                <w:bCs w:val="1"/>
                <w:color w:val="0000FF"/>
              </w:rPr>
              <w:t>Signature</w:t>
            </w:r>
          </w:p>
        </w:tc>
        <w:tc>
          <w:tcPr>
            <w:tcW w:w="9140" w:type="dxa"/>
            <w:vAlign w:val="bottom"/>
            <w:gridSpan w:val="22"/>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Risk Factors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Statements contained in this quarterly report on Form 10-Q, or this "Quarterly Report," regarding our expectations, beliefs, estimates, intentions or strategies are forward-looking statements within the meaning of Section 27A of the Securities Act of 1933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average annual service revenue per customer; cost of service revenue; growth in service revenue; research and development expenses; costs related to our continued growth initiatives; hiring of employees; sales and marketing expenses; unit costs and cost reductions; gross profit margin; general and administrative expenses in future periods; liquidity; indebtedness; capital; cash, cash equivalents and investment balances; anticipated cash flows; operating efficiency; and the ongoing impact of the COVID-19 pandemic.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11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economic downturns on us and our customers;</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cost increases and general inflationary pressures, as well as supply chain shortages and disruptions, on our operating expenses;</w:t>
      </w:r>
    </w:p>
    <w:p>
      <w:pPr>
        <w:spacing w:after="0" w:line="14"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delayed draw term loan facility and convertible senior notes due 2028, including the impact of increased interest expense and timing of any future repayments or refinancing on our stock price;</w:t>
      </w:r>
    </w:p>
    <w:p>
      <w:pPr>
        <w:ind w:left="640" w:hanging="308"/>
        <w:spacing w:after="0" w:line="23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cancellations and rate of customer churn;</w:t>
      </w:r>
    </w:p>
    <w:p>
      <w:pPr>
        <w:ind w:left="660" w:right="20" w:hanging="328"/>
        <w:spacing w:after="0" w:line="24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ongoing volatility and conflict in the political and economic environment, including the impact of Russia’s invasion of Ukraine and conflicts in the Middle East, and any related macro-economic impacts;</w:t>
      </w:r>
    </w:p>
    <w:p>
      <w:pPr>
        <w:ind w:left="660" w:hanging="328"/>
        <w:spacing w:after="0" w:line="25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acceptance and demand for our new and existing cloud communication and collaboration services and features, including voice, contact center, video, messaging, and communication application programming interfaces;</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competitive market pressures, and any changes in the competitive dynamics of the markets in which we compete;</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quality and reliability of our services;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business;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acquisition costs;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network of channel partners to provide substantial new customer demand;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timing and extent of improvements in operating results from increased spending in marketing, sales, and research and development;</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existing employees;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infrastructure of third-party network service providers;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failure in our physical infrastructure;</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defects or bugs in our software;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cybersecurity breaches;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compatibility of our software with third-party applications and mobile platforms;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continued compliance with industry standards and regulatory and privacy requirements, globally;</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introduction and adoption of our cloud software solutions in markets outside of the United States;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any reduction in spending may not achieve the desired result or may result in a reduction in revenue;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relating to the acquisition and integration of businesses we have acquired or may acquire in the future, including most recently, Fuze, Inc.;</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fluctuations in the value of the United States Dollar and other currencies that underlie our business transactions;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substantial amount of indebtedness, which could have important consequences to our business;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future intellectual property infringement claims and other litigation that could adversely impact our business and operating results;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instability in the banking system in recent years, which could adversely impact our operations and operating results.</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Please refer to the "Risk Factors" section of our annual report on Form 10-K for the fiscal year ended March 31, 2024 (the "Form 10-K")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fiscal year ends on March 31 of each calendar year. Each reference to a fiscal year in this Quarterly Report refers to the fiscal year ended March 31 of the calendar year indicated (for example, fiscal 2025 refers to the fiscal year ended March 31, 2025). Unless the context requires otherwise, references to "we," "us," "our," "8x8," and the "Company" refer to 8x8,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4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2024</w:t>
            </w:r>
          </w:p>
        </w:tc>
        <w:tc>
          <w:tcPr>
            <w:tcW w:w="340" w:type="dxa"/>
            <w:vAlign w:val="bottom"/>
          </w:tcPr>
          <w:p>
            <w:pPr>
              <w:spacing w:after="0"/>
              <w:rPr>
                <w:sz w:val="17"/>
                <w:szCs w:val="17"/>
                <w:color w:val="auto"/>
              </w:rPr>
            </w:pPr>
          </w:p>
        </w:tc>
        <w:tc>
          <w:tcPr>
            <w:tcW w:w="1840" w:type="dxa"/>
            <w:vAlign w:val="bottom"/>
          </w:tcPr>
          <w:p>
            <w:pPr>
              <w:jc w:val="right"/>
              <w:ind w:right="499"/>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197"/>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116,262</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Restricted cash</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Short-term investments</w:t>
            </w: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Accounts receivable, net</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59,205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58,979</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sales commission costs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35,933</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35,258</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247,836</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51,400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53,181</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35,924</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81,618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86,717</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266,574</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36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sales commission costs, non-current</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52,859</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non-current</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12,783</w:t>
            </w:r>
          </w:p>
        </w:tc>
        <w:tc>
          <w:tcPr>
            <w:tcW w:w="0" w:type="dxa"/>
            <w:vAlign w:val="bottom"/>
          </w:tcPr>
          <w:p>
            <w:pPr>
              <w:spacing w:after="0"/>
              <w:rPr>
                <w:sz w:val="1"/>
                <w:szCs w:val="1"/>
                <w:color w:val="auto"/>
              </w:rPr>
            </w:pPr>
          </w:p>
        </w:tc>
      </w:tr>
      <w:tr>
        <w:trPr>
          <w:trHeight w:val="235"/>
        </w:trPr>
        <w:tc>
          <w:tcPr>
            <w:tcW w:w="6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assets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755,739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755,979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48,862</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Accrued and other liabilities</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75,369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78,102</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11,295</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34,325</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172,584</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55,179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56,647</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7,810</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Convertible senior notes, non-current</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198,033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197,796</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211,894</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 non-current</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7,290</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651,151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654,021</w:t>
            </w:r>
          </w:p>
        </w:tc>
        <w:tc>
          <w:tcPr>
            <w:tcW w:w="0" w:type="dxa"/>
            <w:vAlign w:val="bottom"/>
          </w:tcPr>
          <w:p>
            <w:pPr>
              <w:spacing w:after="0"/>
              <w:rPr>
                <w:sz w:val="1"/>
                <w:szCs w:val="1"/>
                <w:color w:val="auto"/>
              </w:rPr>
            </w:pPr>
          </w:p>
        </w:tc>
      </w:tr>
      <w:tr>
        <w:trPr>
          <w:trHeight w:val="195"/>
        </w:trPr>
        <w:tc>
          <w:tcPr>
            <w:tcW w:w="6780" w:type="dxa"/>
            <w:vAlign w:val="bottom"/>
          </w:tcPr>
          <w:p>
            <w:pPr>
              <w:ind w:left="20"/>
              <w:spacing w:after="0"/>
              <w:rPr>
                <w:sz w:val="20"/>
                <w:szCs w:val="20"/>
                <w:color w:val="auto"/>
              </w:rPr>
            </w:pPr>
            <w:r>
              <w:rPr>
                <w:rFonts w:ascii="Arial" w:cs="Arial" w:eastAsia="Arial" w:hAnsi="Arial"/>
                <w:sz w:val="16"/>
                <w:szCs w:val="16"/>
                <w:color w:val="auto"/>
              </w:rPr>
              <w:t xml:space="preserve">Commitments and contingencies (Note </w:t>
            </w:r>
            <w:r>
              <w:rPr>
                <w:rFonts w:ascii="Arial" w:cs="Arial" w:eastAsia="Arial" w:hAnsi="Arial"/>
                <w:sz w:val="16"/>
                <w:szCs w:val="16"/>
                <w:color w:val="0000FF"/>
              </w:rPr>
              <w:t>7</w:t>
            </w: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40"/>
              <w:spacing w:after="0" w:line="162" w:lineRule="exact"/>
              <w:rPr>
                <w:sz w:val="20"/>
                <w:szCs w:val="20"/>
                <w:color w:val="auto"/>
              </w:rPr>
            </w:pPr>
            <w:r>
              <w:rPr>
                <w:rFonts w:ascii="Arial" w:cs="Arial" w:eastAsia="Arial" w:hAnsi="Arial"/>
                <w:sz w:val="16"/>
                <w:szCs w:val="16"/>
                <w:color w:val="auto"/>
              </w:rPr>
              <w:t>Preferred stock: $0.001 par value, 5,000,000 shares authorized, none issued and</w:t>
            </w:r>
          </w:p>
        </w:tc>
        <w:tc>
          <w:tcPr>
            <w:tcW w:w="360" w:type="dxa"/>
            <w:vAlign w:val="bottom"/>
          </w:tcPr>
          <w:p>
            <w:pPr>
              <w:spacing w:after="0"/>
              <w:rPr>
                <w:sz w:val="14"/>
                <w:szCs w:val="14"/>
                <w:color w:val="auto"/>
              </w:rPr>
            </w:pPr>
          </w:p>
        </w:tc>
        <w:tc>
          <w:tcPr>
            <w:tcW w:w="1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outstanding as of June 30, 2024 and March 31, 2024</w:t>
            </w:r>
          </w:p>
        </w:tc>
        <w:tc>
          <w:tcPr>
            <w:tcW w:w="36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8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Common stock: $0.001 par value, 300,000,000 shares authorized, 127,962,761 shares</w:t>
            </w:r>
          </w:p>
        </w:tc>
        <w:tc>
          <w:tcPr>
            <w:tcW w:w="3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and 125,193,573 shares issued and outstanding as of June 30, 2024 and March 31, 2024,</w:t>
            </w:r>
          </w:p>
        </w:tc>
        <w:tc>
          <w:tcPr>
            <w:tcW w:w="36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respectively</w:t>
            </w:r>
          </w:p>
        </w:tc>
        <w:tc>
          <w:tcPr>
            <w:tcW w:w="36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987,171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973,895</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(11,553)</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(870,799)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(860,509)</w:t>
            </w: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101,958</w:t>
            </w:r>
          </w:p>
        </w:tc>
        <w:tc>
          <w:tcPr>
            <w:tcW w:w="0" w:type="dxa"/>
            <w:vAlign w:val="bottom"/>
          </w:tcPr>
          <w:p>
            <w:pPr>
              <w:spacing w:after="0"/>
              <w:rPr>
                <w:sz w:val="1"/>
                <w:szCs w:val="1"/>
                <w:color w:val="auto"/>
              </w:rPr>
            </w:pPr>
          </w:p>
        </w:tc>
      </w:tr>
      <w:tr>
        <w:trPr>
          <w:trHeight w:val="210"/>
        </w:trPr>
        <w:tc>
          <w:tcPr>
            <w:tcW w:w="678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equity</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755,739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755,979</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366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Three Months Ended June 30,</w:t>
            </w:r>
          </w:p>
        </w:tc>
        <w:tc>
          <w:tcPr>
            <w:tcW w:w="800" w:type="dxa"/>
            <w:vAlign w:val="bottom"/>
            <w:tcBorders>
              <w:bottom w:val="single" w:sz="8" w:color="auto"/>
            </w:tcBorders>
          </w:tcPr>
          <w:p>
            <w:pPr>
              <w:spacing w:after="0"/>
              <w:rPr>
                <w:sz w:val="17"/>
                <w:szCs w:val="17"/>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7"/>
                <w:szCs w:val="17"/>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380" w:type="dxa"/>
            <w:vAlign w:val="bottom"/>
            <w:shd w:val="clear" w:color="auto" w:fill="CCEEFF"/>
          </w:tcPr>
          <w:p>
            <w:pPr>
              <w:jc w:val="right"/>
              <w:ind w:right="1183"/>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172,801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175,238</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5,346</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8,049</w:t>
            </w:r>
          </w:p>
        </w:tc>
      </w:tr>
      <w:tr>
        <w:trPr>
          <w:trHeight w:val="210"/>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178,147</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183,287</w:t>
            </w: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color w:val="auto"/>
              </w:rPr>
              <w:t>Cost of service revenue</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49,496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46,276</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other revenue</w:t>
            </w: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7,691</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8,398</w:t>
            </w:r>
          </w:p>
        </w:tc>
      </w:tr>
      <w:tr>
        <w:trPr>
          <w:trHeight w:val="209"/>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cost of revenue</w:t>
            </w: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57,187</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54,674</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120,960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128,613</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35,292</w:t>
            </w: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67,106</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68,505</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23,091</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26,226</w:t>
            </w:r>
          </w:p>
        </w:tc>
      </w:tr>
      <w:tr>
        <w:trPr>
          <w:trHeight w:val="209"/>
        </w:trPr>
        <w:tc>
          <w:tcPr>
            <w:tcW w:w="67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122,334</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130,023</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r>
      <w:tr>
        <w:trPr>
          <w:trHeight w:val="215"/>
        </w:trPr>
        <w:tc>
          <w:tcPr>
            <w:tcW w:w="6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 net</w:t>
            </w: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(8,240)</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(12,473)</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(13,883)</w:t>
            </w:r>
          </w:p>
        </w:tc>
      </w:tr>
      <w:tr>
        <w:trPr>
          <w:trHeight w:val="215"/>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Provision for income taxes</w:t>
            </w: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w:t>
            </w:r>
          </w:p>
        </w:tc>
      </w:tr>
      <w:tr>
        <w:trPr>
          <w:trHeight w:val="23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tcBorders>
              <w:bottom w:val="single" w:sz="8" w:color="auto"/>
            </w:tcBorders>
            <w:shd w:val="clear" w:color="auto" w:fill="CCEEFF"/>
          </w:tcPr>
          <w:p>
            <w:pPr>
              <w:jc w:val="right"/>
              <w:ind w:right="118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20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1380" w:type="dxa"/>
            <w:vAlign w:val="bottom"/>
          </w:tcPr>
          <w:p>
            <w:pPr>
              <w:jc w:val="right"/>
              <w:ind w:right="1183"/>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1380" w:type="dxa"/>
            <w:vAlign w:val="bottom"/>
          </w:tcPr>
          <w:p>
            <w:pPr>
              <w:jc w:val="right"/>
              <w:ind w:right="120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125,999</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116,777</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debt discount and issuance costs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(loss) on warrants remeasurement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on debt extinguishment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on foreign exchange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expenses, net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center"/>
        <w:ind w:right="4220"/>
        <w:spacing w:after="0"/>
        <w:rPr>
          <w:sz w:val="20"/>
          <w:szCs w:val="20"/>
          <w:color w:val="auto"/>
        </w:rPr>
      </w:pPr>
      <w:r>
        <w:rPr>
          <w:rFonts w:ascii="Arial" w:cs="Arial" w:eastAsia="Arial" w:hAnsi="Arial"/>
          <w:sz w:val="17"/>
          <w:szCs w:val="17"/>
          <w:b w:val="1"/>
          <w:bCs w:val="1"/>
          <w:color w:val="auto"/>
        </w:rPr>
        <w:t>OTHER EXPENSE, NET DETAILS</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(Unaudited, in thousands)</w:t>
      </w:r>
    </w:p>
    <w:p>
      <w:pPr>
        <w:spacing w:after="0" w:line="95"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Three Months Ended June 30,</w:t>
      </w:r>
    </w:p>
    <w:p>
      <w:pPr>
        <w:spacing w:after="0" w:line="35" w:lineRule="exact"/>
        <w:rPr>
          <w:sz w:val="20"/>
          <w:szCs w:val="20"/>
          <w:color w:val="auto"/>
        </w:rPr>
      </w:pPr>
    </w:p>
    <w:tbl>
      <w:tblPr>
        <w:tblLayout w:type="fixed"/>
        <w:tblInd w:w="2560" w:type="dxa"/>
        <w:tblCellMar>
          <w:top w:w="0" w:type="dxa"/>
          <w:left w:w="0" w:type="dxa"/>
          <w:bottom w:w="0" w:type="dxa"/>
          <w:right w:w="0" w:type="dxa"/>
        </w:tblCellMar>
      </w:tblPr>
      <w:tr>
        <w:trPr>
          <w:trHeight w:val="197"/>
        </w:trPr>
        <w:tc>
          <w:tcPr>
            <w:tcW w:w="52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84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860"/>
              <w:spacing w:after="0"/>
              <w:rPr>
                <w:sz w:val="20"/>
                <w:szCs w:val="20"/>
                <w:color w:val="auto"/>
              </w:rPr>
            </w:pPr>
            <w:r>
              <w:rPr>
                <w:rFonts w:ascii="Arial" w:cs="Arial" w:eastAsia="Arial" w:hAnsi="Arial"/>
                <w:sz w:val="14"/>
                <w:szCs w:val="14"/>
                <w:b w:val="1"/>
                <w:bCs w:val="1"/>
                <w:color w:val="auto"/>
              </w:rPr>
              <w:t>2023</w:t>
            </w:r>
          </w:p>
        </w:tc>
      </w:tr>
      <w:tr>
        <w:trPr>
          <w:trHeight w:val="209"/>
        </w:trPr>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(8,894)</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(8,970)</w:t>
            </w:r>
          </w:p>
        </w:tc>
      </w:tr>
      <w:tr>
        <w:trPr>
          <w:trHeight w:val="215"/>
        </w:trPr>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(1,108)</w:t>
            </w:r>
          </w:p>
        </w:tc>
      </w:tr>
      <w:tr>
        <w:trPr>
          <w:trHeight w:val="216"/>
        </w:trPr>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1,747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52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(1,766)</w:t>
            </w:r>
          </w:p>
        </w:tc>
      </w:tr>
      <w:tr>
        <w:trPr>
          <w:trHeight w:val="216"/>
        </w:trPr>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(804)</w:t>
            </w:r>
          </w:p>
        </w:tc>
      </w:tr>
      <w:tr>
        <w:trPr>
          <w:trHeight w:val="217"/>
        </w:trPr>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r>
      <w:tr>
        <w:trPr>
          <w:trHeight w:val="210"/>
        </w:trPr>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(12,473)</w:t>
            </w: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-1010920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-728345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-453390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-179070</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680"/>
            <w:col w:w="7020"/>
          </w:cols>
          <w:pgMar w:left="320" w:top="125"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368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4"/>
                <w:szCs w:val="14"/>
                <w:b w:val="1"/>
                <w:bCs w:val="1"/>
                <w:color w:val="auto"/>
              </w:rPr>
              <w:t>Three Months Ended June 30,</w:t>
            </w:r>
          </w:p>
        </w:tc>
        <w:tc>
          <w:tcPr>
            <w:tcW w:w="780" w:type="dxa"/>
            <w:vAlign w:val="bottom"/>
            <w:tcBorders>
              <w:bottom w:val="single" w:sz="8" w:color="auto"/>
            </w:tcBorders>
          </w:tcPr>
          <w:p>
            <w:pPr>
              <w:spacing w:after="0"/>
              <w:rPr>
                <w:sz w:val="17"/>
                <w:szCs w:val="17"/>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7"/>
                <w:szCs w:val="17"/>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shd w:val="clear" w:color="auto" w:fill="CCEEFF"/>
          </w:tcPr>
          <w:p>
            <w:pPr>
              <w:jc w:val="right"/>
              <w:ind w:right="1204"/>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(15,327)</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gain (loss) on investments in securities</w:t>
            </w: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15"/>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1,441</w:t>
            </w:r>
          </w:p>
        </w:tc>
      </w:tr>
      <w:tr>
        <w:trPr>
          <w:trHeight w:val="23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400" w:type="dxa"/>
            <w:vAlign w:val="bottom"/>
            <w:tcBorders>
              <w:bottom w:val="single" w:sz="8" w:color="auto"/>
            </w:tcBorders>
            <w:shd w:val="clear" w:color="auto" w:fill="CCEEFF"/>
          </w:tcPr>
          <w:p>
            <w:pPr>
              <w:jc w:val="right"/>
              <w:ind w:right="1204"/>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(10,649)</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22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900" w:type="dxa"/>
            <w:vAlign w:val="bottom"/>
          </w:tcPr>
          <w:p>
            <w:pPr>
              <w:spacing w:after="0"/>
              <w:rPr>
                <w:sz w:val="14"/>
                <w:szCs w:val="14"/>
                <w:color w:val="auto"/>
              </w:rPr>
            </w:pPr>
          </w:p>
        </w:tc>
        <w:tc>
          <w:tcPr>
            <w:tcW w:w="2260" w:type="dxa"/>
            <w:vAlign w:val="bottom"/>
            <w:gridSpan w:val="5"/>
          </w:tcPr>
          <w:p>
            <w:pPr>
              <w:ind w:left="62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tcPr>
          <w:p>
            <w:pPr>
              <w:jc w:val="center"/>
              <w:ind w:right="30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24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Comprehensive</w:t>
            </w: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280" w:type="dxa"/>
            <w:vAlign w:val="bottom"/>
          </w:tcPr>
          <w:p>
            <w:pPr>
              <w:spacing w:after="0"/>
              <w:rPr>
                <w:sz w:val="15"/>
                <w:szCs w:val="15"/>
                <w:color w:val="auto"/>
              </w:rPr>
            </w:pPr>
          </w:p>
        </w:tc>
        <w:tc>
          <w:tcPr>
            <w:tcW w:w="900" w:type="dxa"/>
            <w:vAlign w:val="bottom"/>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8"/>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2024</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125,194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973,895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(860,509)</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101,958</w:t>
            </w:r>
          </w:p>
        </w:tc>
        <w:tc>
          <w:tcPr>
            <w:tcW w:w="0" w:type="dxa"/>
            <w:vAlign w:val="bottom"/>
          </w:tcPr>
          <w:p>
            <w:pPr>
              <w:spacing w:after="0"/>
              <w:rPr>
                <w:sz w:val="1"/>
                <w:szCs w:val="1"/>
                <w:color w:val="auto"/>
              </w:rPr>
            </w:pPr>
          </w:p>
        </w:tc>
      </w:tr>
      <w:tr>
        <w:trPr>
          <w:trHeight w:val="153"/>
        </w:trPr>
        <w:tc>
          <w:tcPr>
            <w:tcW w:w="3900" w:type="dxa"/>
            <w:vAlign w:val="bottom"/>
          </w:tcPr>
          <w:p>
            <w:pPr>
              <w:ind w:left="240"/>
              <w:spacing w:after="0" w:line="153" w:lineRule="exact"/>
              <w:rPr>
                <w:sz w:val="20"/>
                <w:szCs w:val="20"/>
                <w:color w:val="auto"/>
              </w:rPr>
            </w:pPr>
            <w:r>
              <w:rPr>
                <w:rFonts w:ascii="Arial" w:cs="Arial" w:eastAsia="Arial" w:hAnsi="Arial"/>
                <w:sz w:val="14"/>
                <w:szCs w:val="14"/>
                <w:color w:val="auto"/>
              </w:rPr>
              <w:t>Issuance of common stock under stock plans, less</w:t>
            </w:r>
          </w:p>
        </w:tc>
        <w:tc>
          <w:tcPr>
            <w:tcW w:w="1040" w:type="dxa"/>
            <w:vAlign w:val="bottom"/>
            <w:vMerge w:val="restart"/>
          </w:tcPr>
          <w:p>
            <w:pPr>
              <w:jc w:val="right"/>
              <w:ind w:right="10"/>
              <w:spacing w:after="0"/>
              <w:rPr>
                <w:sz w:val="20"/>
                <w:szCs w:val="20"/>
                <w:color w:val="auto"/>
              </w:rPr>
            </w:pPr>
            <w:r>
              <w:rPr>
                <w:rFonts w:ascii="Arial" w:cs="Arial" w:eastAsia="Arial" w:hAnsi="Arial"/>
                <w:sz w:val="14"/>
                <w:szCs w:val="14"/>
                <w:color w:val="auto"/>
              </w:rPr>
              <w:t>2,769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2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900" w:type="dxa"/>
            <w:vAlign w:val="bottom"/>
          </w:tcPr>
          <w:p>
            <w:pPr>
              <w:ind w:left="240"/>
              <w:spacing w:after="0"/>
              <w:rPr>
                <w:sz w:val="20"/>
                <w:szCs w:val="20"/>
                <w:color w:val="auto"/>
              </w:rPr>
            </w:pPr>
            <w:r>
              <w:rPr>
                <w:rFonts w:ascii="Arial" w:cs="Arial" w:eastAsia="Arial" w:hAnsi="Arial"/>
                <w:sz w:val="14"/>
                <w:szCs w:val="14"/>
                <w:color w:val="auto"/>
              </w:rPr>
              <w:t>withholding</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13,279</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Unrealized investment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(10,290)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(10,290)</w:t>
            </w: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127,963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987,171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(870,799)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104,588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260" w:type="dxa"/>
            <w:vAlign w:val="bottom"/>
            <w:gridSpan w:val="5"/>
          </w:tcPr>
          <w:p>
            <w:pPr>
              <w:ind w:left="62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vMerge w:val="restart"/>
          </w:tcPr>
          <w:p>
            <w:pPr>
              <w:jc w:val="center"/>
              <w:ind w:right="30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4"/>
                <w:szCs w:val="4"/>
                <w:color w:val="auto"/>
              </w:rPr>
            </w:pPr>
          </w:p>
        </w:tc>
        <w:tc>
          <w:tcPr>
            <w:tcW w:w="112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Accumulated</w:t>
            </w: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line="20" w:lineRule="exact"/>
              <w:rPr>
                <w:sz w:val="1"/>
                <w:szCs w:val="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74"/>
        </w:trPr>
        <w:tc>
          <w:tcPr>
            <w:tcW w:w="39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114,659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905,635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(792,917)</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99,906</w:t>
            </w:r>
          </w:p>
        </w:tc>
        <w:tc>
          <w:tcPr>
            <w:tcW w:w="0" w:type="dxa"/>
            <w:vAlign w:val="bottom"/>
          </w:tcPr>
          <w:p>
            <w:pPr>
              <w:spacing w:after="0"/>
              <w:rPr>
                <w:sz w:val="1"/>
                <w:szCs w:val="1"/>
                <w:color w:val="auto"/>
              </w:rPr>
            </w:pPr>
          </w:p>
        </w:tc>
      </w:tr>
      <w:tr>
        <w:trPr>
          <w:trHeight w:val="153"/>
        </w:trPr>
        <w:tc>
          <w:tcPr>
            <w:tcW w:w="3900" w:type="dxa"/>
            <w:vAlign w:val="bottom"/>
          </w:tcPr>
          <w:p>
            <w:pPr>
              <w:ind w:left="240"/>
              <w:spacing w:after="0" w:line="153" w:lineRule="exact"/>
              <w:rPr>
                <w:sz w:val="20"/>
                <w:szCs w:val="20"/>
                <w:color w:val="auto"/>
              </w:rPr>
            </w:pPr>
            <w:r>
              <w:rPr>
                <w:rFonts w:ascii="Arial" w:cs="Arial" w:eastAsia="Arial" w:hAnsi="Arial"/>
                <w:sz w:val="14"/>
                <w:szCs w:val="14"/>
                <w:color w:val="auto"/>
              </w:rPr>
              <w:t>Issuance of common stock under stock plans, less</w:t>
            </w:r>
          </w:p>
        </w:tc>
        <w:tc>
          <w:tcPr>
            <w:tcW w:w="1040" w:type="dxa"/>
            <w:vAlign w:val="bottom"/>
            <w:vMerge w:val="restart"/>
          </w:tcPr>
          <w:p>
            <w:pPr>
              <w:jc w:val="right"/>
              <w:ind w:right="10"/>
              <w:spacing w:after="0"/>
              <w:rPr>
                <w:sz w:val="20"/>
                <w:szCs w:val="20"/>
                <w:color w:val="auto"/>
              </w:rPr>
            </w:pPr>
            <w:r>
              <w:rPr>
                <w:rFonts w:ascii="Arial" w:cs="Arial" w:eastAsia="Arial" w:hAnsi="Arial"/>
                <w:sz w:val="14"/>
                <w:szCs w:val="14"/>
                <w:color w:val="auto"/>
              </w:rPr>
              <w:t>3,535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2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900" w:type="dxa"/>
            <w:vAlign w:val="bottom"/>
          </w:tcPr>
          <w:p>
            <w:pPr>
              <w:ind w:left="240"/>
              <w:spacing w:after="0"/>
              <w:rPr>
                <w:sz w:val="20"/>
                <w:szCs w:val="20"/>
                <w:color w:val="auto"/>
              </w:rPr>
            </w:pPr>
            <w:r>
              <w:rPr>
                <w:rFonts w:ascii="Arial" w:cs="Arial" w:eastAsia="Arial" w:hAnsi="Arial"/>
                <w:sz w:val="14"/>
                <w:szCs w:val="14"/>
                <w:color w:val="auto"/>
              </w:rPr>
              <w:t>withholding</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w:t>
            </w:r>
          </w:p>
        </w:tc>
        <w:tc>
          <w:tcPr>
            <w:tcW w:w="0" w:type="dxa"/>
            <w:vAlign w:val="bottom"/>
          </w:tcPr>
          <w:p>
            <w:pPr>
              <w:spacing w:after="0"/>
              <w:rPr>
                <w:sz w:val="1"/>
                <w:szCs w:val="1"/>
                <w:color w:val="auto"/>
              </w:rPr>
            </w:pPr>
          </w:p>
        </w:tc>
      </w:tr>
      <w:tr>
        <w:trPr>
          <w:trHeight w:val="153"/>
        </w:trPr>
        <w:tc>
          <w:tcPr>
            <w:tcW w:w="3900" w:type="dxa"/>
            <w:vAlign w:val="bottom"/>
          </w:tcPr>
          <w:p>
            <w:pPr>
              <w:ind w:left="240"/>
              <w:spacing w:after="0" w:line="153" w:lineRule="exact"/>
              <w:rPr>
                <w:sz w:val="20"/>
                <w:szCs w:val="20"/>
                <w:color w:val="auto"/>
              </w:rPr>
            </w:pPr>
            <w:r>
              <w:rPr>
                <w:rFonts w:ascii="Arial" w:cs="Arial" w:eastAsia="Arial" w:hAnsi="Arial"/>
                <w:sz w:val="14"/>
                <w:szCs w:val="14"/>
                <w:color w:val="auto"/>
              </w:rPr>
              <w:t>Issuance of common stock under stock plans, less</w:t>
            </w:r>
          </w:p>
        </w:tc>
        <w:tc>
          <w:tcPr>
            <w:tcW w:w="1040" w:type="dxa"/>
            <w:vAlign w:val="bottom"/>
            <w:vMerge w:val="restart"/>
          </w:tcPr>
          <w:p>
            <w:pPr>
              <w:jc w:val="right"/>
              <w:ind w:right="10"/>
              <w:spacing w:after="0"/>
              <w:rPr>
                <w:sz w:val="20"/>
                <w:szCs w:val="20"/>
                <w:color w:val="auto"/>
              </w:rPr>
            </w:pPr>
            <w:r>
              <w:rPr>
                <w:rFonts w:ascii="Arial" w:cs="Arial" w:eastAsia="Arial" w:hAnsi="Arial"/>
                <w:sz w:val="14"/>
                <w:szCs w:val="14"/>
                <w:color w:val="auto"/>
              </w:rPr>
              <w:t>1,038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2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900" w:type="dxa"/>
            <w:vAlign w:val="bottom"/>
          </w:tcPr>
          <w:p>
            <w:pPr>
              <w:ind w:left="240"/>
              <w:spacing w:after="0"/>
              <w:rPr>
                <w:sz w:val="20"/>
                <w:szCs w:val="20"/>
                <w:color w:val="auto"/>
              </w:rPr>
            </w:pPr>
            <w:r>
              <w:rPr>
                <w:rFonts w:ascii="Arial" w:cs="Arial" w:eastAsia="Arial" w:hAnsi="Arial"/>
                <w:sz w:val="14"/>
                <w:szCs w:val="14"/>
                <w:color w:val="auto"/>
              </w:rPr>
              <w:t>withholding, related to Fuze Acquisition</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investment gain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8"/>
        </w:trPr>
        <w:tc>
          <w:tcPr>
            <w:tcW w:w="390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(15,327)</w:t>
            </w:r>
          </w:p>
        </w:tc>
        <w:tc>
          <w:tcPr>
            <w:tcW w:w="0" w:type="dxa"/>
            <w:vAlign w:val="bottom"/>
          </w:tcPr>
          <w:p>
            <w:pPr>
              <w:spacing w:after="0"/>
              <w:rPr>
                <w:sz w:val="1"/>
                <w:szCs w:val="1"/>
                <w:color w:val="auto"/>
              </w:rPr>
            </w:pPr>
          </w:p>
        </w:tc>
      </w:tr>
      <w:tr>
        <w:trPr>
          <w:trHeight w:val="200"/>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119,232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924,190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(11,196)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(808,244)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104,869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366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4"/>
                <w:szCs w:val="14"/>
                <w:b w:val="1"/>
                <w:bCs w:val="1"/>
                <w:color w:val="auto"/>
              </w:rPr>
              <w:t>Three Months Ended June 30,</w:t>
            </w:r>
          </w:p>
        </w:tc>
        <w:tc>
          <w:tcPr>
            <w:tcW w:w="800" w:type="dxa"/>
            <w:vAlign w:val="bottom"/>
            <w:tcBorders>
              <w:bottom w:val="single" w:sz="8" w:color="auto"/>
            </w:tcBorders>
          </w:tcPr>
          <w:p>
            <w:pPr>
              <w:spacing w:after="0"/>
              <w:rPr>
                <w:sz w:val="17"/>
                <w:szCs w:val="17"/>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7"/>
                <w:szCs w:val="17"/>
                <w:color w:val="auto"/>
              </w:rPr>
            </w:pPr>
          </w:p>
        </w:tc>
      </w:tr>
      <w:tr>
        <w:trPr>
          <w:trHeight w:val="19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380" w:type="dxa"/>
            <w:vAlign w:val="bottom"/>
          </w:tcPr>
          <w:p>
            <w:pPr>
              <w:jc w:val="right"/>
              <w:ind w:right="118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(10,290)</w:t>
            </w:r>
          </w:p>
        </w:tc>
        <w:tc>
          <w:tcPr>
            <w:tcW w:w="100" w:type="dxa"/>
            <w:vAlign w:val="bottom"/>
          </w:tcPr>
          <w:p>
            <w:pPr>
              <w:spacing w:after="0"/>
              <w:rPr>
                <w:sz w:val="18"/>
                <w:szCs w:val="18"/>
                <w:color w:val="auto"/>
              </w:rPr>
            </w:pPr>
          </w:p>
        </w:tc>
        <w:tc>
          <w:tcPr>
            <w:tcW w:w="1380" w:type="dxa"/>
            <w:vAlign w:val="bottom"/>
          </w:tcPr>
          <w:p>
            <w:pPr>
              <w:jc w:val="right"/>
              <w:ind w:right="120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(15,327)</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2,126</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intangible assets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Amortization of capitalized internal-use software costs</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3,758</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5,282</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discount and issuance costs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Amortization of deferred sales commission costs</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9,838</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10,019</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Allowance for credit losses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Operating lease expense, net of accretion</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3,165</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2,507</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Stock-based compensation expense</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18,195</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Loss on debt extinguishment</w:t>
            </w:r>
          </w:p>
        </w:tc>
        <w:tc>
          <w:tcPr>
            <w:tcW w:w="1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1,766</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loss on remeasurement of warrants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5"/>
        </w:trPr>
        <w:tc>
          <w:tcPr>
            <w:tcW w:w="6780" w:type="dxa"/>
            <w:vAlign w:val="bottom"/>
          </w:tcPr>
          <w:p>
            <w:pPr>
              <w:ind w:left="460"/>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7"/>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assets and liabilities: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6780" w:type="dxa"/>
            <w:vAlign w:val="bottom"/>
          </w:tcPr>
          <w:p>
            <w:pPr>
              <w:ind w:left="680"/>
              <w:spacing w:after="0"/>
              <w:rPr>
                <w:sz w:val="20"/>
                <w:szCs w:val="20"/>
                <w:color w:val="auto"/>
              </w:rPr>
            </w:pPr>
            <w:r>
              <w:rPr>
                <w:rFonts w:ascii="Arial" w:cs="Arial" w:eastAsia="Arial" w:hAnsi="Arial"/>
                <w:sz w:val="16"/>
                <w:szCs w:val="16"/>
                <w:color w:val="auto"/>
              </w:rPr>
              <w:t>Accounts receivable, net</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(3,397)</w:t>
            </w:r>
          </w:p>
        </w:tc>
      </w:tr>
      <w:tr>
        <w:trPr>
          <w:trHeight w:val="217"/>
        </w:trPr>
        <w:tc>
          <w:tcPr>
            <w:tcW w:w="6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sales commission costs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w:t>
            </w:r>
          </w:p>
        </w:tc>
      </w:tr>
      <w:tr>
        <w:trPr>
          <w:trHeight w:val="215"/>
        </w:trPr>
        <w:tc>
          <w:tcPr>
            <w:tcW w:w="6780" w:type="dxa"/>
            <w:vAlign w:val="bottom"/>
          </w:tcPr>
          <w:p>
            <w:pPr>
              <w:ind w:left="680"/>
              <w:spacing w:after="0"/>
              <w:rPr>
                <w:sz w:val="20"/>
                <w:szCs w:val="20"/>
                <w:color w:val="auto"/>
              </w:rPr>
            </w:pPr>
            <w:r>
              <w:rPr>
                <w:rFonts w:ascii="Arial" w:cs="Arial" w:eastAsia="Arial" w:hAnsi="Arial"/>
                <w:sz w:val="16"/>
                <w:szCs w:val="16"/>
                <w:color w:val="auto"/>
              </w:rPr>
              <w:t>Other current and non-current assets</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2,327</w:t>
            </w:r>
          </w:p>
        </w:tc>
      </w:tr>
      <w:tr>
        <w:trPr>
          <w:trHeight w:val="217"/>
        </w:trPr>
        <w:tc>
          <w:tcPr>
            <w:tcW w:w="67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accruals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w:t>
            </w:r>
          </w:p>
        </w:tc>
      </w:tr>
      <w:tr>
        <w:trPr>
          <w:trHeight w:val="215"/>
        </w:trPr>
        <w:tc>
          <w:tcPr>
            <w:tcW w:w="67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Deferred revenue</w:t>
            </w: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5,504</w:t>
            </w:r>
          </w:p>
        </w:tc>
      </w:tr>
      <w:tr>
        <w:trPr>
          <w:trHeight w:val="210"/>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Net cash provided by operating activities</w:t>
            </w: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18,148</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26,473</w:t>
            </w:r>
          </w:p>
        </w:tc>
      </w:tr>
      <w:tr>
        <w:trPr>
          <w:trHeight w:val="196"/>
        </w:trPr>
        <w:tc>
          <w:tcPr>
            <w:tcW w:w="6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Capitalized internal-use software costs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w:t>
            </w: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Purchase of investments</w:t>
            </w:r>
          </w:p>
        </w:tc>
        <w:tc>
          <w:tcPr>
            <w:tcW w:w="1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(3,093)</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of cost investment</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Maturities of investments</w:t>
            </w: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13,559</w:t>
            </w:r>
          </w:p>
        </w:tc>
      </w:tr>
      <w:tr>
        <w:trPr>
          <w:trHeight w:val="210"/>
        </w:trPr>
        <w:tc>
          <w:tcPr>
            <w:tcW w:w="678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(3,130)</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6,792</w:t>
            </w:r>
          </w:p>
        </w:tc>
      </w:tr>
      <w:tr>
        <w:trPr>
          <w:trHeight w:val="196"/>
        </w:trPr>
        <w:tc>
          <w:tcPr>
            <w:tcW w:w="6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6780" w:type="dxa"/>
            <w:vAlign w:val="bottom"/>
          </w:tcPr>
          <w:p>
            <w:pPr>
              <w:ind w:left="240"/>
              <w:spacing w:after="0"/>
              <w:rPr>
                <w:sz w:val="20"/>
                <w:szCs w:val="20"/>
                <w:color w:val="auto"/>
              </w:rPr>
            </w:pPr>
            <w:r>
              <w:rPr>
                <w:rFonts w:ascii="Arial" w:cs="Arial" w:eastAsia="Arial" w:hAnsi="Arial"/>
                <w:sz w:val="16"/>
                <w:szCs w:val="16"/>
                <w:color w:val="auto"/>
              </w:rPr>
              <w:t>Repayment of principal on term loan</w:t>
            </w:r>
          </w:p>
        </w:tc>
        <w:tc>
          <w:tcPr>
            <w:tcW w:w="1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17"/>
        </w:trPr>
        <w:tc>
          <w:tcPr>
            <w:tcW w:w="6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financing activities</w:t>
            </w: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78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Net cash used in financing activities</w:t>
            </w: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w:t>
            </w: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14,502</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10,483</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116,723</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112,729</w:t>
            </w: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year</w:t>
            </w:r>
          </w:p>
        </w:tc>
        <w:tc>
          <w:tcPr>
            <w:tcW w:w="1380" w:type="dxa"/>
            <w:vAlign w:val="bottom"/>
            <w:tcBorders>
              <w:bottom w:val="single" w:sz="8" w:color="auto"/>
            </w:tcBorders>
          </w:tcPr>
          <w:p>
            <w:pPr>
              <w:jc w:val="right"/>
              <w:ind w:right="1184"/>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131,225</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120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123,212</w:t>
            </w:r>
          </w:p>
        </w:tc>
      </w:tr>
      <w:tr>
        <w:trPr>
          <w:trHeight w:val="20"/>
        </w:trPr>
        <w:tc>
          <w:tcPr>
            <w:tcW w:w="6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Supplemental and non-cash disclosures: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4"/>
          </w:tcPr>
          <w:p>
            <w:pPr>
              <w:jc w:val="right"/>
              <w:ind w:right="1121"/>
              <w:spacing w:after="0"/>
              <w:rPr>
                <w:sz w:val="20"/>
                <w:szCs w:val="20"/>
                <w:color w:val="auto"/>
              </w:rPr>
            </w:pPr>
            <w:r>
              <w:rPr>
                <w:rFonts w:ascii="Arial" w:cs="Arial" w:eastAsia="Arial" w:hAnsi="Arial"/>
                <w:sz w:val="14"/>
                <w:szCs w:val="14"/>
                <w:b w:val="1"/>
                <w:bCs w:val="1"/>
                <w:color w:val="auto"/>
              </w:rPr>
              <w:t>Three Months Ended June 30,</w:t>
            </w:r>
          </w:p>
        </w:tc>
      </w:tr>
      <w:tr>
        <w:trPr>
          <w:trHeight w:val="196"/>
        </w:trPr>
        <w:tc>
          <w:tcPr>
            <w:tcW w:w="67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2023</w:t>
            </w:r>
          </w:p>
        </w:tc>
      </w:tr>
      <w:tr>
        <w:trPr>
          <w:trHeight w:val="21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4,919</w:t>
            </w:r>
          </w:p>
        </w:tc>
      </w:tr>
      <w:tr>
        <w:trPr>
          <w:trHeight w:val="215"/>
        </w:trPr>
        <w:tc>
          <w:tcPr>
            <w:tcW w:w="6800" w:type="dxa"/>
            <w:vAlign w:val="bottom"/>
            <w:gridSpan w:val="2"/>
          </w:tcPr>
          <w:p>
            <w:pPr>
              <w:ind w:left="20"/>
              <w:spacing w:after="0"/>
              <w:rPr>
                <w:sz w:val="20"/>
                <w:szCs w:val="20"/>
                <w:color w:val="auto"/>
              </w:rPr>
            </w:pPr>
            <w:r>
              <w:rPr>
                <w:rFonts w:ascii="Arial" w:cs="Arial" w:eastAsia="Arial" w:hAnsi="Arial"/>
                <w:sz w:val="16"/>
                <w:szCs w:val="16"/>
                <w:color w:val="auto"/>
              </w:rPr>
              <w:t>Income taxes paid</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2"/>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336</w:t>
            </w:r>
          </w:p>
        </w:tc>
      </w:tr>
      <w:tr>
        <w:trPr>
          <w:trHeight w:val="217"/>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Payables and accruals for property and equipment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r>
      <w:tr>
        <w:trPr>
          <w:trHeight w:val="430"/>
        </w:trPr>
        <w:tc>
          <w:tcPr>
            <w:tcW w:w="9060" w:type="dxa"/>
            <w:vAlign w:val="bottom"/>
            <w:gridSpan w:val="5"/>
          </w:tcPr>
          <w:p>
            <w:pPr>
              <w:spacing w:after="0"/>
              <w:rPr>
                <w:sz w:val="20"/>
                <w:szCs w:val="20"/>
                <w:color w:val="auto"/>
              </w:rPr>
            </w:pPr>
            <w:r>
              <w:rPr>
                <w:rFonts w:ascii="Arial" w:cs="Arial" w:eastAsia="Arial" w:hAnsi="Arial"/>
                <w:sz w:val="16"/>
                <w:szCs w:val="16"/>
                <w:color w:val="auto"/>
              </w:rPr>
              <w:t>Reconciliation of cash, cash equivalents and restricted cash to the condensed consolidated balance sheets:</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5"/>
        </w:trPr>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2024</w:t>
            </w:r>
          </w:p>
        </w:tc>
        <w:tc>
          <w:tcPr>
            <w:tcW w:w="360" w:type="dxa"/>
            <w:vAlign w:val="bottom"/>
          </w:tcPr>
          <w:p>
            <w:pPr>
              <w:spacing w:after="0"/>
              <w:rPr>
                <w:sz w:val="24"/>
                <w:szCs w:val="24"/>
                <w:color w:val="auto"/>
              </w:rPr>
            </w:pPr>
          </w:p>
        </w:tc>
        <w:tc>
          <w:tcPr>
            <w:tcW w:w="1820" w:type="dxa"/>
            <w:vAlign w:val="bottom"/>
          </w:tcPr>
          <w:p>
            <w:pPr>
              <w:jc w:val="right"/>
              <w:ind w:right="541"/>
              <w:spacing w:after="0"/>
              <w:rPr>
                <w:sz w:val="20"/>
                <w:szCs w:val="20"/>
                <w:color w:val="auto"/>
              </w:rPr>
            </w:pPr>
            <w:r>
              <w:rPr>
                <w:rFonts w:ascii="Arial" w:cs="Arial" w:eastAsia="Arial" w:hAnsi="Arial"/>
                <w:sz w:val="14"/>
                <w:szCs w:val="14"/>
                <w:b w:val="1"/>
                <w:bCs w:val="1"/>
                <w:color w:val="auto"/>
              </w:rPr>
              <w:t>June 30, 2023</w:t>
            </w:r>
          </w:p>
        </w:tc>
      </w:tr>
      <w:tr>
        <w:trPr>
          <w:trHeight w:val="211"/>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130,764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122,229</w:t>
            </w:r>
          </w:p>
        </w:tc>
      </w:tr>
      <w:tr>
        <w:trPr>
          <w:trHeight w:val="215"/>
        </w:trPr>
        <w:tc>
          <w:tcPr>
            <w:tcW w:w="6800" w:type="dxa"/>
            <w:vAlign w:val="bottom"/>
            <w:gridSpan w:val="2"/>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18"/>
                <w:szCs w:val="18"/>
                <w:color w:val="auto"/>
              </w:rPr>
            </w:pPr>
          </w:p>
        </w:tc>
        <w:tc>
          <w:tcPr>
            <w:tcW w:w="1820" w:type="dxa"/>
            <w:vAlign w:val="bottom"/>
          </w:tcPr>
          <w:p>
            <w:pPr>
              <w:jc w:val="right"/>
              <w:ind w:right="2"/>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165</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non-current</w:t>
            </w: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w:t>
            </w:r>
          </w:p>
        </w:tc>
      </w:tr>
      <w:tr>
        <w:trPr>
          <w:trHeight w:val="210"/>
        </w:trPr>
        <w:tc>
          <w:tcPr>
            <w:tcW w:w="6800" w:type="dxa"/>
            <w:vAlign w:val="bottom"/>
            <w:gridSpan w:val="2"/>
          </w:tcPr>
          <w:p>
            <w:pPr>
              <w:ind w:left="22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Pr>
          <w:p>
            <w:pPr>
              <w:jc w:val="right"/>
              <w:ind w:right="181"/>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ind w:right="2"/>
              <w:spacing w:after="0"/>
              <w:rPr>
                <w:sz w:val="20"/>
                <w:szCs w:val="20"/>
                <w:color w:val="auto"/>
              </w:rPr>
            </w:pPr>
            <w:r>
              <w:rPr>
                <w:rFonts w:ascii="Arial" w:cs="Arial" w:eastAsia="Arial" w:hAnsi="Arial"/>
                <w:sz w:val="16"/>
                <w:szCs w:val="16"/>
                <w:color w:val="auto"/>
              </w:rPr>
              <w:t>131,225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123,212</w:t>
            </w:r>
          </w:p>
        </w:tc>
      </w:tr>
      <w:tr>
        <w:trPr>
          <w:trHeight w:val="21"/>
        </w:trPr>
        <w:tc>
          <w:tcPr>
            <w:tcW w:w="6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320" w:lineRule="exact"/>
        <w:rPr>
          <w:sz w:val="20"/>
          <w:szCs w:val="20"/>
          <w:color w:val="auto"/>
        </w:rPr>
      </w:pPr>
    </w:p>
    <w:p>
      <w:pPr>
        <w:ind w:right="6440" w:firstLine="8"/>
        <w:spacing w:after="0" w:line="440"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 AND SIGNIFICANT ACCOUNTING POLICIES THE COMPANY</w:t>
      </w:r>
    </w:p>
    <w:p>
      <w:pPr>
        <w:jc w:val="both"/>
        <w:ind w:right="20"/>
        <w:spacing w:after="0" w:line="286" w:lineRule="auto"/>
        <w:rPr>
          <w:sz w:val="20"/>
          <w:szCs w:val="20"/>
          <w:color w:val="auto"/>
        </w:rPr>
      </w:pPr>
      <w:r>
        <w:rPr>
          <w:rFonts w:ascii="Arial" w:cs="Arial" w:eastAsia="Arial" w:hAnsi="Arial"/>
          <w:sz w:val="16"/>
          <w:szCs w:val="16"/>
          <w:color w:val="auto"/>
        </w:rPr>
        <w:t>8x8, Inc. ("8x8" or the "Company") was incorporated in California in February 1987 and was reincorporated in Delaware in December 1996. The Company trades under the symbol "EGHT" on the Nasdaq Global Select Market.</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2024 and notes thereto included in the Form 10-K. There were no material changes during the three months ended June 30, 2024 to the Company's significant accounting policies as described in the Form 10-K.</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2025.</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REPORTING PRESENTATION</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Historically, cost of revenue and cost of other revenue have been presented within operating expenses. During the fourth quarter of fiscal 2024, the Company made voluntary changes in accounting presentation and reclassified prior period amounts to conform to current year presentation to separately state cost of revenue, cost of other revenue and recognize gross profit on the Company's condensed consolidated statement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value and useful life of long-lived assets (including intangible assets, right-of-use assets and cost investments), capitalized internal-use software costs, benefit period for deferred commissions, stock-based compensation, incremental borrowing rate used to calculate operating lease liabilities, income and sales tax liabilities, convertible senior notes and warrant fair value,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 NOT YET ADOPTED</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2023, the Financial Accounting Standards Board ("FASB") issued Accounting Standards Update ("ASU") No. 2023-07, Segment Reporting (Topic 280): Improvements to Reportable Segment Disclosures, which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The Company is currently evaluating the impact that this guidance will have on the presentation of its condensed consolidated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December 2023, the FASB issued ASU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2024. The Company is currently evaluating the impact that this guidance will have on the presentation of its condensed consolidated financial statements and accompanying notes.</w:t>
      </w:r>
    </w:p>
    <w:p>
      <w:pPr>
        <w:spacing w:after="0" w:line="10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There have been no other recent accounting pronouncements, changes in accounting pronouncements or recently adopted accounting guidance during the three months ended June 30, 2024 that are of significance or potential significance to us.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RECOGNITION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disaggregates its revenue by geographic region. See Note </w:t>
      </w:r>
      <w:r>
        <w:rPr>
          <w:rFonts w:ascii="Arial" w:cs="Arial" w:eastAsia="Arial" w:hAnsi="Arial"/>
          <w:sz w:val="16"/>
          <w:szCs w:val="16"/>
          <w:color w:val="0000FF"/>
        </w:rPr>
        <w:t>12</w:t>
      </w:r>
      <w:r>
        <w:rPr>
          <w:rFonts w:ascii="Arial" w:cs="Arial" w:eastAsia="Arial" w:hAnsi="Arial"/>
          <w:sz w:val="16"/>
          <w:szCs w:val="16"/>
          <w:color w:val="auto"/>
        </w:rPr>
        <w:t>, Geographical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amounts of contract assets and deferred revenue from contracts with customers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March 31, 2024</w:t>
            </w:r>
          </w:p>
        </w:tc>
      </w:tr>
      <w:tr>
        <w:trPr>
          <w:trHeight w:val="21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current (component of Other current assets)</w:t>
            </w:r>
          </w:p>
        </w:tc>
        <w:tc>
          <w:tcPr>
            <w:tcW w:w="1580" w:type="dxa"/>
            <w:vAlign w:val="bottom"/>
            <w:shd w:val="clear" w:color="auto" w:fill="CCEEFF"/>
          </w:tcPr>
          <w:p>
            <w:pPr>
              <w:jc w:val="right"/>
              <w:ind w:right="138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9,453</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Contract assets, non-current (component of Other assets)</w:t>
            </w:r>
          </w:p>
        </w:tc>
        <w:tc>
          <w:tcPr>
            <w:tcW w:w="1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7,879</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w:t>
            </w: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34,325</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1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7,810</w:t>
            </w:r>
          </w:p>
        </w:tc>
      </w:tr>
    </w:tbl>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Contract assets are recorded for contract consideration not yet invoiced but for which the performance obligations are completed. Contract assets, net of allowances for credit losses, are included in other current assets or other assets in the Company's consolidated balance sheets, depending on if their reduction will be recognized during the succeeding twelve-month period or beyond. The allowance applied to our contract assets as of March 31, 2024 and 2023 and the activity in this account, including the current-period provision for expected credit losses for the three months ended June 30, 2024 and 2023, were not material.</w:t>
      </w:r>
    </w:p>
    <w:p>
      <w:pPr>
        <w:spacing w:after="0" w:line="3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change in contract assets was primarily driven by obligations that were completed during the quarter that the Company had not yet been invoiced for. During the three months ended June 30, 2024 and 2023, the Company recognized revenues of approximately $15.5 million and $16.9 million that were included in deferred revenue at the beginning of the fiscal year,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subscription terms typically range from one to five years. Contract revenue from the remaining performance obligations that had not yet been recognized as of June 30, 2024 was approximately $780.0 million. This amount excludes contracts with an original expected length of less than one year. The Company expects to recognize revenue on approximately 86% of the remaining performance obligations over the next 24 months and approximately 14% over the remainder of the subscription period.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Sales Commission Costs</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Amortization of deferred sales commission costs for the three months ended June 30, 2024 and 2023 was approximately $9.8 million and $10.0 million,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MEASUREMENTS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available-for-sale investments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Cash and Cash</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Restricted Cash</w:t>
            </w:r>
          </w:p>
        </w:tc>
        <w:tc>
          <w:tcPr>
            <w:tcW w:w="160" w:type="dxa"/>
            <w:vAlign w:val="bottom"/>
          </w:tcPr>
          <w:p>
            <w:pPr>
              <w:spacing w:after="0"/>
              <w:rPr>
                <w:sz w:val="14"/>
                <w:szCs w:val="14"/>
                <w:color w:val="auto"/>
              </w:rPr>
            </w:pPr>
          </w:p>
        </w:tc>
        <w:tc>
          <w:tcPr>
            <w:tcW w:w="10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44"/>
        </w:trPr>
        <w:tc>
          <w:tcPr>
            <w:tcW w:w="2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2024</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Costs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 Loss</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Equivalents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080" w:type="dxa"/>
            <w:vAlign w:val="bottom"/>
          </w:tcPr>
          <w:p>
            <w:pPr>
              <w:jc w:val="center"/>
              <w:ind w:right="81"/>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0"/>
        </w:trPr>
        <w:tc>
          <w:tcPr>
            <w:tcW w:w="2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108,017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108,017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120,113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120,113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119,652</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Level 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240"/>
              <w:spacing w:after="0"/>
              <w:rPr>
                <w:sz w:val="20"/>
                <w:szCs w:val="20"/>
                <w:color w:val="auto"/>
              </w:rPr>
            </w:pPr>
            <w:r>
              <w:rPr>
                <w:rFonts w:ascii="Arial" w:cs="Arial" w:eastAsia="Arial" w:hAnsi="Arial"/>
                <w:sz w:val="16"/>
                <w:szCs w:val="16"/>
                <w:color w:val="auto"/>
              </w:rPr>
              <w:t>Term deposit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11,112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38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11,112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80" w:type="dxa"/>
            <w:vAlign w:val="bottom"/>
            <w:gridSpan w:val="2"/>
          </w:tcPr>
          <w:p>
            <w:pPr>
              <w:ind w:left="5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131,225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131,225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130,764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24"/>
                <w:szCs w:val="2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24"/>
                <w:szCs w:val="2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Cash and Cash</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Restricted Cash</w:t>
            </w:r>
          </w:p>
        </w:tc>
        <w:tc>
          <w:tcPr>
            <w:tcW w:w="160" w:type="dxa"/>
            <w:vAlign w:val="bottom"/>
          </w:tcPr>
          <w:p>
            <w:pPr>
              <w:spacing w:after="0"/>
              <w:rPr>
                <w:sz w:val="24"/>
                <w:szCs w:val="24"/>
                <w:color w:val="auto"/>
              </w:rPr>
            </w:pPr>
          </w:p>
        </w:tc>
        <w:tc>
          <w:tcPr>
            <w:tcW w:w="10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March 31, 2024</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(Current &amp; Non-</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Costs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Gain</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 Loss</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Equivalents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6"/>
                <w:szCs w:val="16"/>
                <w:color w:val="auto"/>
              </w:rPr>
            </w:pPr>
          </w:p>
        </w:tc>
        <w:tc>
          <w:tcPr>
            <w:tcW w:w="1080" w:type="dxa"/>
            <w:vAlign w:val="bottom"/>
          </w:tcPr>
          <w:p>
            <w:pPr>
              <w:jc w:val="center"/>
              <w:ind w:right="81"/>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0"/>
        </w:trPr>
        <w:tc>
          <w:tcPr>
            <w:tcW w:w="2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53,943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37,633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91,576</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91,576</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91,115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Level 2:</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240"/>
              <w:spacing w:after="0"/>
              <w:rPr>
                <w:sz w:val="20"/>
                <w:szCs w:val="20"/>
                <w:color w:val="auto"/>
              </w:rPr>
            </w:pPr>
            <w:r>
              <w:rPr>
                <w:rFonts w:ascii="Arial" w:cs="Arial" w:eastAsia="Arial" w:hAnsi="Arial"/>
                <w:sz w:val="16"/>
                <w:szCs w:val="16"/>
                <w:color w:val="auto"/>
              </w:rPr>
              <w:t>Term deposit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25,147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25,147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3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26,196</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26,195</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25,147</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35"/>
        </w:trPr>
        <w:tc>
          <w:tcPr>
            <w:tcW w:w="23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117,771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116,262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support its current operations, the Company considers all highly liquid investments with an original maturity of three months or less to be cash equivalents.The restricted cash component of the money market funds is comprised of letters of credit securing leases for certain office facilities.</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uses the Black-Scholes option-pricing valuation model to value its detachable warrants from inception and at each reporting period. During the three months ended June 30, 2024, the Company used historical volatility to determine the fair value of the warrants liability due to the low trading volume and moneyness assessment as of June 30, 2024. Changes in the fair values of the detachable warrants liability are recorded as loss on warrants remeasurement within Other (expense) income, net in the condensed consolidated statements of operations.</w:t>
      </w:r>
    </w:p>
    <w:p>
      <w:pPr>
        <w:spacing w:after="0" w:line="10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The following table presents additional information about valuation techniques and inputs used for the detachable warrants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that are measured at fair value and categorized within Level 3 as of June 30, 2024 and March 31, 2024 (dollars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 2024</w:t>
            </w:r>
          </w:p>
        </w:tc>
        <w:tc>
          <w:tcPr>
            <w:tcW w:w="360" w:type="dxa"/>
            <w:vAlign w:val="bottom"/>
          </w:tcPr>
          <w:p>
            <w:pPr>
              <w:spacing w:after="0"/>
              <w:rPr>
                <w:sz w:val="17"/>
                <w:szCs w:val="17"/>
                <w:color w:val="auto"/>
              </w:rPr>
            </w:pPr>
          </w:p>
        </w:tc>
        <w:tc>
          <w:tcPr>
            <w:tcW w:w="1900" w:type="dxa"/>
            <w:vAlign w:val="bottom"/>
          </w:tcPr>
          <w:p>
            <w:pPr>
              <w:jc w:val="right"/>
              <w:ind w:right="541"/>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 of detachable warrants</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1,574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3,321</w:t>
            </w:r>
          </w:p>
        </w:tc>
      </w:tr>
      <w:tr>
        <w:trPr>
          <w:trHeight w:val="222"/>
        </w:trPr>
        <w:tc>
          <w:tcPr>
            <w:tcW w:w="6600" w:type="dxa"/>
            <w:vAlign w:val="bottom"/>
          </w:tcPr>
          <w:p>
            <w:pPr>
              <w:ind w:left="20"/>
              <w:spacing w:after="0"/>
              <w:rPr>
                <w:sz w:val="20"/>
                <w:szCs w:val="20"/>
                <w:color w:val="auto"/>
              </w:rPr>
            </w:pPr>
            <w:r>
              <w:rPr>
                <w:rFonts w:ascii="Arial" w:cs="Arial" w:eastAsia="Arial" w:hAnsi="Arial"/>
                <w:sz w:val="16"/>
                <w:szCs w:val="16"/>
                <w:color w:val="auto"/>
              </w:rPr>
              <w:t>Unobservable inputs:</w:t>
            </w: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7"/>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volatility</w:t>
            </w:r>
          </w:p>
        </w:tc>
        <w:tc>
          <w:tcPr>
            <w:tcW w:w="4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87.2 %</w:t>
            </w:r>
          </w:p>
        </w:tc>
      </w:tr>
      <w:tr>
        <w:trPr>
          <w:trHeight w:val="222"/>
        </w:trPr>
        <w:tc>
          <w:tcPr>
            <w:tcW w:w="6600" w:type="dxa"/>
            <w:vAlign w:val="bottom"/>
          </w:tcPr>
          <w:p>
            <w:pPr>
              <w:ind w:left="140"/>
              <w:spacing w:after="0"/>
              <w:rPr>
                <w:sz w:val="20"/>
                <w:szCs w:val="20"/>
                <w:color w:val="auto"/>
              </w:rPr>
            </w:pPr>
            <w:r>
              <w:rPr>
                <w:rFonts w:ascii="Arial" w:cs="Arial" w:eastAsia="Arial" w:hAnsi="Arial"/>
                <w:sz w:val="16"/>
                <w:szCs w:val="16"/>
                <w:color w:val="auto"/>
              </w:rPr>
              <w:t>Risk-free rate</w:t>
            </w:r>
          </w:p>
        </w:tc>
        <w:tc>
          <w:tcPr>
            <w:tcW w:w="4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37"/>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term</w:t>
            </w:r>
          </w:p>
        </w:tc>
        <w:tc>
          <w:tcPr>
            <w:tcW w:w="40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3.1 years</w:t>
            </w:r>
          </w:p>
        </w:tc>
        <w:tc>
          <w:tcPr>
            <w:tcW w:w="36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years</w:t>
            </w:r>
          </w:p>
        </w:tc>
      </w:tr>
    </w:tbl>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As of June 30, 2024 and March 31, 2024, the estimated fair value of the Company’s convertible senior notes due in 2028 was $154.9 million and $161.7 million, respectively (see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The fair value of the convertible senior notes was determined based on the closing price of each of the securities on the last trading day of the reporting period, and each is Level 2 in the fair value hierarchy due to limited trading activity of the debt instruments. As of June 30, 2024 and March 31, 2024, the carrying value of the Company’s Term Loan approximates its estimated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FINANCIAL STATEMENT COMPONENTS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March 31, 2024</w:t>
            </w:r>
          </w:p>
        </w:tc>
      </w:tr>
      <w:tr>
        <w:trPr>
          <w:trHeight w:val="21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1580" w:type="dxa"/>
            <w:vAlign w:val="bottom"/>
            <w:shd w:val="clear" w:color="auto" w:fill="CCEEFF"/>
          </w:tcPr>
          <w:p>
            <w:pPr>
              <w:jc w:val="right"/>
              <w:ind w:right="138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59,757</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Unbilled trade accounts receivable</w:t>
            </w:r>
          </w:p>
        </w:tc>
        <w:tc>
          <w:tcPr>
            <w:tcW w:w="1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4,470</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allowance for credit losses</w:t>
            </w: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allowance for sales reserves</w:t>
            </w:r>
          </w:p>
        </w:tc>
        <w:tc>
          <w:tcPr>
            <w:tcW w:w="1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r>
      <w:tr>
        <w:trPr>
          <w:trHeight w:val="235"/>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accounts receivable, net</w:t>
            </w:r>
          </w:p>
        </w:tc>
        <w:tc>
          <w:tcPr>
            <w:tcW w:w="1580" w:type="dxa"/>
            <w:vAlign w:val="bottom"/>
            <w:tcBorders>
              <w:bottom w:val="single" w:sz="8" w:color="auto"/>
            </w:tcBorders>
            <w:shd w:val="clear" w:color="auto" w:fill="CCEEFF"/>
          </w:tcPr>
          <w:p>
            <w:pPr>
              <w:jc w:val="right"/>
              <w:ind w:right="138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58,979</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Allowance for credit losses and sales reserves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Three Months Ended June 30, 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Year Ended March 31, 2024</w:t>
            </w:r>
          </w:p>
        </w:tc>
      </w:tr>
      <w:tr>
        <w:trPr>
          <w:trHeight w:val="196"/>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Credit Losses</w:t>
            </w:r>
          </w:p>
        </w:tc>
        <w:tc>
          <w:tcPr>
            <w:tcW w:w="22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Sales Reserves</w:t>
            </w:r>
          </w:p>
        </w:tc>
        <w:tc>
          <w:tcPr>
            <w:tcW w:w="24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Credit Losses</w:t>
            </w:r>
          </w:p>
        </w:tc>
        <w:tc>
          <w:tcPr>
            <w:tcW w:w="200" w:type="dxa"/>
            <w:vAlign w:val="bottom"/>
          </w:tcPr>
          <w:p>
            <w:pPr>
              <w:spacing w:after="0"/>
              <w:rPr>
                <w:sz w:val="17"/>
                <w:szCs w:val="17"/>
                <w:color w:val="auto"/>
              </w:rPr>
            </w:pPr>
          </w:p>
        </w:tc>
        <w:tc>
          <w:tcPr>
            <w:tcW w:w="1460" w:type="dxa"/>
            <w:vAlign w:val="bottom"/>
          </w:tcPr>
          <w:p>
            <w:pPr>
              <w:ind w:left="100"/>
              <w:spacing w:after="0"/>
              <w:rPr>
                <w:sz w:val="20"/>
                <w:szCs w:val="20"/>
                <w:color w:val="auto"/>
              </w:rPr>
            </w:pPr>
            <w:r>
              <w:rPr>
                <w:rFonts w:ascii="Arial" w:cs="Arial" w:eastAsia="Arial" w:hAnsi="Arial"/>
                <w:sz w:val="14"/>
                <w:szCs w:val="14"/>
                <w:b w:val="1"/>
                <w:bCs w:val="1"/>
                <w:color w:val="auto"/>
              </w:rPr>
              <w:t>Sales Reserves</w:t>
            </w: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center"/>
              <w:ind w:left="782"/>
              <w:spacing w:after="0"/>
              <w:rPr>
                <w:sz w:val="20"/>
                <w:szCs w:val="20"/>
                <w:color w:val="auto"/>
              </w:rPr>
            </w:pPr>
            <w:r>
              <w:rPr>
                <w:rFonts w:ascii="Arial" w:cs="Arial" w:eastAsia="Arial" w:hAnsi="Arial"/>
                <w:sz w:val="16"/>
                <w:szCs w:val="16"/>
                <w:color w:val="auto"/>
              </w:rPr>
              <w:t>(3,644)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center"/>
              <w:ind w:left="821"/>
              <w:spacing w:after="0"/>
              <w:rPr>
                <w:sz w:val="20"/>
                <w:szCs w:val="20"/>
                <w:color w:val="auto"/>
              </w:rPr>
            </w:pPr>
            <w:r>
              <w:rPr>
                <w:rFonts w:ascii="Arial" w:cs="Arial" w:eastAsia="Arial" w:hAnsi="Arial"/>
                <w:sz w:val="16"/>
                <w:szCs w:val="16"/>
                <w:color w:val="auto"/>
              </w:rPr>
              <w:t>(3,218)</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Release (reserve)</w:t>
            </w:r>
          </w:p>
        </w:tc>
        <w:tc>
          <w:tcPr>
            <w:tcW w:w="22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550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center"/>
              <w:ind w:left="782"/>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left="821"/>
              <w:spacing w:after="0"/>
              <w:rPr>
                <w:sz w:val="20"/>
                <w:szCs w:val="20"/>
                <w:color w:val="auto"/>
              </w:rPr>
            </w:pPr>
            <w:r>
              <w:rPr>
                <w:rFonts w:ascii="Arial" w:cs="Arial" w:eastAsia="Arial" w:hAnsi="Arial"/>
                <w:sz w:val="16"/>
                <w:szCs w:val="16"/>
                <w:color w:val="auto"/>
              </w:rPr>
              <w:t>(3,581)</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center"/>
              <w:ind w:left="802"/>
              <w:spacing w:after="0"/>
              <w:rPr>
                <w:sz w:val="20"/>
                <w:szCs w:val="20"/>
                <w:color w:val="auto"/>
              </w:rPr>
            </w:pPr>
            <w:r>
              <w:rPr>
                <w:rFonts w:ascii="Arial" w:cs="Arial" w:eastAsia="Arial" w:hAnsi="Arial"/>
                <w:sz w:val="16"/>
                <w:szCs w:val="16"/>
                <w:color w:val="auto"/>
              </w:rPr>
              <w:t>2,867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center"/>
              <w:ind w:left="821"/>
              <w:spacing w:after="0"/>
              <w:rPr>
                <w:sz w:val="20"/>
                <w:szCs w:val="20"/>
                <w:color w:val="auto"/>
              </w:rPr>
            </w:pPr>
            <w:r>
              <w:rPr>
                <w:rFonts w:ascii="Arial" w:cs="Arial" w:eastAsia="Arial" w:hAnsi="Arial"/>
                <w:sz w:val="16"/>
                <w:szCs w:val="16"/>
                <w:color w:val="auto"/>
                <w:w w:val="99"/>
              </w:rPr>
              <w:t>4,297</w:t>
            </w:r>
          </w:p>
        </w:tc>
      </w:tr>
      <w:tr>
        <w:trPr>
          <w:trHeight w:val="210"/>
        </w:trPr>
        <w:tc>
          <w:tcPr>
            <w:tcW w:w="4320" w:type="dxa"/>
            <w:vAlign w:val="bottom"/>
          </w:tcPr>
          <w:p>
            <w:pPr>
              <w:ind w:left="220"/>
              <w:spacing w:after="0"/>
              <w:rPr>
                <w:sz w:val="20"/>
                <w:szCs w:val="20"/>
                <w:color w:val="auto"/>
              </w:rPr>
            </w:pPr>
            <w:r>
              <w:rPr>
                <w:rFonts w:ascii="Arial" w:cs="Arial" w:eastAsia="Arial" w:hAnsi="Arial"/>
                <w:sz w:val="16"/>
                <w:szCs w:val="16"/>
                <w:color w:val="auto"/>
              </w:rPr>
              <w:t>Ending balance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center"/>
              <w:ind w:left="782"/>
              <w:spacing w:after="0"/>
              <w:rPr>
                <w:sz w:val="20"/>
                <w:szCs w:val="20"/>
                <w:color w:val="auto"/>
              </w:rPr>
            </w:pPr>
            <w:r>
              <w:rPr>
                <w:rFonts w:ascii="Arial" w:cs="Arial" w:eastAsia="Arial" w:hAnsi="Arial"/>
                <w:sz w:val="16"/>
                <w:szCs w:val="16"/>
                <w:color w:val="auto"/>
              </w:rPr>
              <w:t>(2,746)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center"/>
              <w:ind w:left="821"/>
              <w:spacing w:after="0"/>
              <w:rPr>
                <w:sz w:val="20"/>
                <w:szCs w:val="20"/>
                <w:color w:val="auto"/>
              </w:rPr>
            </w:pPr>
            <w:r>
              <w:rPr>
                <w:rFonts w:ascii="Arial" w:cs="Arial" w:eastAsia="Arial" w:hAnsi="Arial"/>
                <w:sz w:val="16"/>
                <w:szCs w:val="16"/>
                <w:color w:val="auto"/>
              </w:rPr>
              <w:t>(2,502)</w:t>
            </w:r>
          </w:p>
        </w:tc>
      </w:tr>
      <w:tr>
        <w:trPr>
          <w:trHeight w:val="21"/>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b w:val="1"/>
                <w:bCs w:val="1"/>
                <w:color w:val="auto"/>
              </w:rPr>
              <w:t>June 30, 2024</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6"/>
              <w:spacing w:after="0"/>
              <w:rPr>
                <w:sz w:val="20"/>
                <w:szCs w:val="20"/>
                <w:color w:val="auto"/>
              </w:rPr>
            </w:pPr>
            <w:r>
              <w:rPr>
                <w:rFonts w:ascii="Arial" w:cs="Arial" w:eastAsia="Arial" w:hAnsi="Arial"/>
                <w:sz w:val="16"/>
                <w:szCs w:val="16"/>
                <w:color w:val="auto"/>
              </w:rPr>
              <w:t>15,780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18,172</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Contract assets, current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4"/>
          </w:tcPr>
          <w:p>
            <w:pPr>
              <w:jc w:val="right"/>
              <w:ind w:right="6"/>
              <w:spacing w:after="0"/>
              <w:rPr>
                <w:sz w:val="20"/>
                <w:szCs w:val="20"/>
                <w:color w:val="auto"/>
              </w:rPr>
            </w:pPr>
            <w:r>
              <w:rPr>
                <w:rFonts w:ascii="Arial" w:cs="Arial" w:eastAsia="Arial" w:hAnsi="Arial"/>
                <w:sz w:val="16"/>
                <w:szCs w:val="16"/>
                <w:color w:val="auto"/>
              </w:rPr>
              <w:t>10,143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9,453</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ind w:right="6"/>
              <w:spacing w:after="0"/>
              <w:rPr>
                <w:sz w:val="20"/>
                <w:szCs w:val="20"/>
                <w:color w:val="auto"/>
              </w:rPr>
            </w:pPr>
            <w:r>
              <w:rPr>
                <w:rFonts w:ascii="Arial" w:cs="Arial" w:eastAsia="Arial" w:hAnsi="Arial"/>
                <w:sz w:val="16"/>
                <w:szCs w:val="16"/>
                <w:color w:val="auto"/>
                <w:w w:val="94"/>
              </w:rPr>
              <w:t>6,800</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7,633</w:t>
            </w:r>
          </w:p>
        </w:tc>
        <w:tc>
          <w:tcPr>
            <w:tcW w:w="0" w:type="dxa"/>
            <w:vAlign w:val="bottom"/>
          </w:tcPr>
          <w:p>
            <w:pPr>
              <w:spacing w:after="0"/>
              <w:rPr>
                <w:sz w:val="1"/>
                <w:szCs w:val="1"/>
                <w:color w:val="auto"/>
              </w:rPr>
            </w:pPr>
          </w:p>
        </w:tc>
      </w:tr>
      <w:tr>
        <w:trPr>
          <w:trHeight w:val="209"/>
        </w:trPr>
        <w:tc>
          <w:tcPr>
            <w:tcW w:w="3280" w:type="dxa"/>
            <w:vAlign w:val="bottom"/>
          </w:tcPr>
          <w:p>
            <w:pPr>
              <w:ind w:left="220"/>
              <w:spacing w:after="0"/>
              <w:rPr>
                <w:sz w:val="20"/>
                <w:szCs w:val="20"/>
                <w:color w:val="auto"/>
              </w:rPr>
            </w:pPr>
            <w:r>
              <w:rPr>
                <w:rFonts w:ascii="Arial" w:cs="Arial" w:eastAsia="Arial" w:hAnsi="Arial"/>
                <w:sz w:val="16"/>
                <w:szCs w:val="16"/>
                <w:color w:val="auto"/>
              </w:rPr>
              <w:t>Total other current assets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6"/>
                <w:szCs w:val="16"/>
                <w:color w:val="auto"/>
              </w:rPr>
              <w:t>32,723</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35,258</w:t>
            </w:r>
          </w:p>
        </w:tc>
        <w:tc>
          <w:tcPr>
            <w:tcW w:w="0" w:type="dxa"/>
            <w:vAlign w:val="bottom"/>
          </w:tcPr>
          <w:p>
            <w:pPr>
              <w:spacing w:after="0"/>
              <w:rPr>
                <w:sz w:val="1"/>
                <w:szCs w:val="1"/>
                <w:color w:val="auto"/>
              </w:rPr>
            </w:pPr>
          </w:p>
        </w:tc>
      </w:tr>
      <w:tr>
        <w:trPr>
          <w:trHeight w:val="20"/>
        </w:trPr>
        <w:tc>
          <w:tcPr>
            <w:tcW w:w="5960" w:type="dxa"/>
            <w:vAlign w:val="bottom"/>
            <w:gridSpan w:val="7"/>
            <w:vMerge w:val="restart"/>
          </w:tcPr>
          <w:p>
            <w:pPr>
              <w:spacing w:after="0"/>
              <w:rPr>
                <w:sz w:val="20"/>
                <w:szCs w:val="20"/>
                <w:color w:val="auto"/>
              </w:rPr>
            </w:pPr>
            <w:r>
              <w:rPr>
                <w:rFonts w:ascii="Arial" w:cs="Arial" w:eastAsia="Arial" w:hAnsi="Arial"/>
                <w:sz w:val="16"/>
                <w:szCs w:val="16"/>
                <w:color w:val="auto"/>
              </w:rPr>
              <w:t>Accrued and other liabilities consisted of the following (in thousands):</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596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b w:val="1"/>
                <w:bCs w:val="1"/>
                <w:color w:val="auto"/>
              </w:rPr>
              <w:t>June 30, 2024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1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1"/>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6"/>
              <w:spacing w:after="0"/>
              <w:rPr>
                <w:sz w:val="20"/>
                <w:szCs w:val="20"/>
                <w:color w:val="auto"/>
              </w:rPr>
            </w:pPr>
            <w:r>
              <w:rPr>
                <w:rFonts w:ascii="Arial" w:cs="Arial" w:eastAsia="Arial" w:hAnsi="Arial"/>
                <w:sz w:val="16"/>
                <w:szCs w:val="16"/>
                <w:color w:val="auto"/>
              </w:rPr>
              <w:t>20,753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19,550</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Accrued taxes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4"/>
          </w:tcPr>
          <w:p>
            <w:pPr>
              <w:jc w:val="right"/>
              <w:ind w:right="6"/>
              <w:spacing w:after="0"/>
              <w:rPr>
                <w:sz w:val="20"/>
                <w:szCs w:val="20"/>
                <w:color w:val="auto"/>
              </w:rPr>
            </w:pPr>
            <w:r>
              <w:rPr>
                <w:rFonts w:ascii="Arial" w:cs="Arial" w:eastAsia="Arial" w:hAnsi="Arial"/>
                <w:sz w:val="16"/>
                <w:szCs w:val="16"/>
                <w:color w:val="auto"/>
              </w:rPr>
              <w:t>35,927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44,096</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4"/>
            <w:shd w:val="clear" w:color="auto" w:fill="CCEEFF"/>
          </w:tcPr>
          <w:p>
            <w:pPr>
              <w:jc w:val="right"/>
              <w:ind w:right="6"/>
              <w:spacing w:after="0"/>
              <w:rPr>
                <w:sz w:val="20"/>
                <w:szCs w:val="20"/>
                <w:color w:val="auto"/>
              </w:rPr>
            </w:pPr>
            <w:r>
              <w:rPr>
                <w:rFonts w:ascii="Arial" w:cs="Arial" w:eastAsia="Arial" w:hAnsi="Arial"/>
                <w:sz w:val="16"/>
                <w:szCs w:val="16"/>
                <w:color w:val="auto"/>
              </w:rPr>
              <w:t>18,689</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14,456</w:t>
            </w:r>
          </w:p>
        </w:tc>
        <w:tc>
          <w:tcPr>
            <w:tcW w:w="0" w:type="dxa"/>
            <w:vAlign w:val="bottom"/>
          </w:tcPr>
          <w:p>
            <w:pPr>
              <w:spacing w:after="0"/>
              <w:rPr>
                <w:sz w:val="1"/>
                <w:szCs w:val="1"/>
                <w:color w:val="auto"/>
              </w:rPr>
            </w:pPr>
          </w:p>
        </w:tc>
      </w:tr>
      <w:tr>
        <w:trPr>
          <w:trHeight w:val="209"/>
        </w:trPr>
        <w:tc>
          <w:tcPr>
            <w:tcW w:w="3280" w:type="dxa"/>
            <w:vAlign w:val="bottom"/>
          </w:tcPr>
          <w:p>
            <w:pPr>
              <w:ind w:left="220"/>
              <w:spacing w:after="0"/>
              <w:rPr>
                <w:sz w:val="20"/>
                <w:szCs w:val="20"/>
                <w:color w:val="auto"/>
              </w:rPr>
            </w:pPr>
            <w:r>
              <w:rPr>
                <w:rFonts w:ascii="Arial" w:cs="Arial" w:eastAsia="Arial" w:hAnsi="Arial"/>
                <w:sz w:val="16"/>
                <w:szCs w:val="16"/>
                <w:color w:val="auto"/>
              </w:rPr>
              <w:t>Total accrued and other liabilities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6"/>
                <w:szCs w:val="16"/>
                <w:color w:val="auto"/>
              </w:rPr>
              <w:t>75,369</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78,102</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6"/>
                <w:szCs w:val="16"/>
                <w:b w:val="1"/>
                <w:bCs w:val="1"/>
                <w:color w:val="auto"/>
              </w:rPr>
              <w:t>5. INTANGIBLE ASSETS AND GOODWILL</w:t>
            </w: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3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960" w:type="dxa"/>
            <w:vAlign w:val="bottom"/>
            <w:gridSpan w:val="7"/>
          </w:tcPr>
          <w:p>
            <w:pPr>
              <w:spacing w:after="0"/>
              <w:rPr>
                <w:sz w:val="20"/>
                <w:szCs w:val="20"/>
                <w:color w:val="auto"/>
              </w:rPr>
            </w:pPr>
            <w:r>
              <w:rPr>
                <w:rFonts w:ascii="Arial" w:cs="Arial" w:eastAsia="Arial" w:hAnsi="Arial"/>
                <w:sz w:val="16"/>
                <w:szCs w:val="16"/>
                <w:color w:val="auto"/>
              </w:rPr>
              <w:t>The carrying value of intangible assets consisted of the following (in thousands):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March 31, 2024</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2"/>
                <w:szCs w:val="12"/>
                <w:color w:val="auto"/>
              </w:rPr>
            </w:pPr>
          </w:p>
        </w:tc>
        <w:tc>
          <w:tcPr>
            <w:tcW w:w="960" w:type="dxa"/>
            <w:vAlign w:val="bottom"/>
          </w:tcPr>
          <w:p>
            <w:pPr>
              <w:jc w:val="center"/>
              <w:ind w:right="61"/>
              <w:spacing w:after="0" w:line="14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1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960" w:type="dxa"/>
            <w:vAlign w:val="bottom"/>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00" w:type="dxa"/>
            <w:vAlign w:val="bottom"/>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46,452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7,514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46,454</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9,631</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105,826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(31,722)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74,104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105,827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77,086</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and domains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3280" w:type="dxa"/>
            <w:vAlign w:val="bottom"/>
          </w:tcPr>
          <w:p>
            <w:pPr>
              <w:ind w:left="220"/>
              <w:spacing w:after="0" w:line="142" w:lineRule="exact"/>
              <w:rPr>
                <w:sz w:val="20"/>
                <w:szCs w:val="20"/>
                <w:color w:val="auto"/>
              </w:rPr>
            </w:pPr>
            <w:r>
              <w:rPr>
                <w:rFonts w:ascii="Arial" w:cs="Arial" w:eastAsia="Arial" w:hAnsi="Arial"/>
                <w:sz w:val="16"/>
                <w:szCs w:val="16"/>
                <w:color w:val="auto"/>
              </w:rPr>
              <w:t>Total acquired identifiable intangible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3"/>
              <w:spacing w:after="0"/>
              <w:rPr>
                <w:sz w:val="20"/>
                <w:szCs w:val="20"/>
                <w:color w:val="auto"/>
              </w:rPr>
            </w:pPr>
            <w:r>
              <w:rPr>
                <w:rFonts w:ascii="Arial" w:cs="Arial" w:eastAsia="Arial" w:hAnsi="Arial"/>
                <w:sz w:val="16"/>
                <w:szCs w:val="16"/>
                <w:color w:val="auto"/>
              </w:rPr>
              <w:t>152,862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(71,244)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3"/>
            <w:vMerge w:val="restart"/>
          </w:tcPr>
          <w:p>
            <w:pPr>
              <w:jc w:val="right"/>
              <w:spacing w:after="0"/>
              <w:rPr>
                <w:sz w:val="20"/>
                <w:szCs w:val="20"/>
                <w:color w:val="auto"/>
              </w:rPr>
            </w:pPr>
            <w:r>
              <w:rPr>
                <w:rFonts w:ascii="Arial" w:cs="Arial" w:eastAsia="Arial" w:hAnsi="Arial"/>
                <w:sz w:val="16"/>
                <w:szCs w:val="16"/>
                <w:color w:val="auto"/>
              </w:rPr>
              <w:t>81,618</w:t>
            </w:r>
          </w:p>
        </w:tc>
        <w:tc>
          <w:tcPr>
            <w:tcW w:w="100" w:type="dxa"/>
            <w:vAlign w:val="bottom"/>
          </w:tcPr>
          <w:p>
            <w:pPr>
              <w:spacing w:after="0"/>
              <w:rPr>
                <w:sz w:val="12"/>
                <w:szCs w:val="12"/>
                <w:color w:val="auto"/>
              </w:rPr>
            </w:pPr>
          </w:p>
        </w:tc>
        <w:tc>
          <w:tcPr>
            <w:tcW w:w="220" w:type="dxa"/>
            <w:vAlign w:val="bottom"/>
            <w:vMerge w:val="restart"/>
          </w:tcPr>
          <w:p>
            <w:pPr>
              <w:jc w:val="right"/>
              <w:ind w:right="44"/>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152,865</w:t>
            </w:r>
          </w:p>
        </w:tc>
        <w:tc>
          <w:tcPr>
            <w:tcW w:w="480" w:type="dxa"/>
            <w:vAlign w:val="bottom"/>
            <w:gridSpan w:val="3"/>
            <w:vMerge w:val="restart"/>
          </w:tcPr>
          <w:p>
            <w:pPr>
              <w:jc w:val="right"/>
              <w:ind w:right="12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(66,148)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86,717</w:t>
            </w:r>
          </w:p>
        </w:tc>
        <w:tc>
          <w:tcPr>
            <w:tcW w:w="0" w:type="dxa"/>
            <w:vAlign w:val="bottom"/>
          </w:tcPr>
          <w:p>
            <w:pPr>
              <w:spacing w:after="0"/>
              <w:rPr>
                <w:sz w:val="1"/>
                <w:szCs w:val="1"/>
                <w:color w:val="auto"/>
              </w:rPr>
            </w:pPr>
          </w:p>
        </w:tc>
      </w:tr>
      <w:tr>
        <w:trPr>
          <w:trHeight w:val="189"/>
        </w:trPr>
        <w:tc>
          <w:tcPr>
            <w:tcW w:w="3280" w:type="dxa"/>
            <w:vAlign w:val="bottom"/>
          </w:tcPr>
          <w:p>
            <w:pPr>
              <w:ind w:left="220"/>
              <w:spacing w:after="0"/>
              <w:rPr>
                <w:sz w:val="20"/>
                <w:szCs w:val="20"/>
                <w:color w:val="auto"/>
              </w:rPr>
            </w:pPr>
            <w:r>
              <w:rPr>
                <w:rFonts w:ascii="Arial" w:cs="Arial" w:eastAsia="Arial" w:hAnsi="Arial"/>
                <w:sz w:val="16"/>
                <w:szCs w:val="16"/>
                <w:color w:val="auto"/>
              </w:rPr>
              <w:t>assets</w:t>
            </w:r>
          </w:p>
        </w:tc>
        <w:tc>
          <w:tcPr>
            <w:tcW w:w="2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30, 2024, the weighted average remaining useful lives for developed technology and customer relationships were 1.3 years and 6.5 years,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annual amortization of the Company's intangible assets, based upon existing intangible assets and current useful lives, is estimated to be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2025</w:t>
            </w: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13,997</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2026</w:t>
            </w: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13,895</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11,757</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2028</w:t>
            </w: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11,044</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and thereafter</w:t>
            </w: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30,925</w:t>
            </w:r>
          </w:p>
        </w:tc>
        <w:tc>
          <w:tcPr>
            <w:tcW w:w="0" w:type="dxa"/>
            <w:vAlign w:val="bottom"/>
          </w:tcPr>
          <w:p>
            <w:pPr>
              <w:spacing w:after="0"/>
              <w:rPr>
                <w:sz w:val="1"/>
                <w:szCs w:val="1"/>
                <w:color w:val="auto"/>
              </w:rPr>
            </w:pPr>
          </w:p>
        </w:tc>
      </w:tr>
      <w:tr>
        <w:trPr>
          <w:trHeight w:val="208"/>
        </w:trPr>
        <w:tc>
          <w:tcPr>
            <w:tcW w:w="6780" w:type="dxa"/>
            <w:vAlign w:val="bottom"/>
          </w:tcPr>
          <w:p>
            <w:pPr>
              <w:ind w:left="220"/>
              <w:spacing w:after="0"/>
              <w:rPr>
                <w:sz w:val="20"/>
                <w:szCs w:val="20"/>
                <w:color w:val="auto"/>
              </w:rPr>
            </w:pPr>
            <w:r>
              <w:rPr>
                <w:rFonts w:ascii="Arial" w:cs="Arial" w:eastAsia="Arial" w:hAnsi="Arial"/>
                <w:sz w:val="16"/>
                <w:szCs w:val="16"/>
                <w:color w:val="auto"/>
              </w:rPr>
              <w:t>Total</w:t>
            </w: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81,618</w:t>
            </w:r>
          </w:p>
        </w:tc>
        <w:tc>
          <w:tcPr>
            <w:tcW w:w="0" w:type="dxa"/>
            <w:vAlign w:val="bottom"/>
          </w:tcPr>
          <w:p>
            <w:pPr>
              <w:spacing w:after="0"/>
              <w:rPr>
                <w:sz w:val="1"/>
                <w:szCs w:val="1"/>
                <w:color w:val="auto"/>
              </w:rPr>
            </w:pPr>
          </w:p>
        </w:tc>
      </w:tr>
      <w:tr>
        <w:trPr>
          <w:trHeight w:val="22"/>
        </w:trPr>
        <w:tc>
          <w:tcPr>
            <w:tcW w:w="8420" w:type="dxa"/>
            <w:vAlign w:val="bottom"/>
            <w:gridSpan w:val="2"/>
            <w:vMerge w:val="restart"/>
          </w:tcPr>
          <w:p>
            <w:pPr>
              <w:spacing w:after="0"/>
              <w:rPr>
                <w:sz w:val="20"/>
                <w:szCs w:val="20"/>
                <w:color w:val="auto"/>
              </w:rPr>
            </w:pPr>
            <w:r>
              <w:rPr>
                <w:rFonts w:ascii="Arial" w:cs="Arial" w:eastAsia="Arial" w:hAnsi="Arial"/>
                <w:sz w:val="16"/>
                <w:szCs w:val="16"/>
                <w:color w:val="auto"/>
              </w:rPr>
              <w:t>The following table provides a summary of the changes in the carrying amounts of goodwill (in thousands):</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84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2024</w:t>
            </w: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266,574</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w:t>
            </w:r>
          </w:p>
        </w:tc>
        <w:tc>
          <w:tcPr>
            <w:tcW w:w="16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16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266,399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6. LEASES</w:t>
            </w:r>
          </w:p>
        </w:tc>
        <w:tc>
          <w:tcPr>
            <w:tcW w:w="1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780" w:type="dxa"/>
            <w:vAlign w:val="bottom"/>
          </w:tcPr>
          <w:p>
            <w:pPr>
              <w:spacing w:after="0"/>
              <w:rPr>
                <w:sz w:val="20"/>
                <w:szCs w:val="20"/>
                <w:color w:val="auto"/>
              </w:rPr>
            </w:pPr>
            <w:r>
              <w:rPr>
                <w:rFonts w:ascii="Arial" w:cs="Arial" w:eastAsia="Arial" w:hAnsi="Arial"/>
                <w:sz w:val="16"/>
                <w:szCs w:val="16"/>
                <w:color w:val="auto"/>
              </w:rPr>
              <w:t>The components of lease expense were as follows:</w:t>
            </w: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780" w:type="dxa"/>
            <w:vAlign w:val="bottom"/>
          </w:tcPr>
          <w:p>
            <w:pPr>
              <w:spacing w:after="0"/>
              <w:rPr>
                <w:sz w:val="24"/>
                <w:szCs w:val="24"/>
                <w:color w:val="auto"/>
              </w:rPr>
            </w:pPr>
          </w:p>
        </w:tc>
        <w:tc>
          <w:tcPr>
            <w:tcW w:w="446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86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1640" w:type="dxa"/>
            <w:vAlign w:val="bottom"/>
            <w:shd w:val="clear" w:color="auto" w:fill="CCEEFF"/>
          </w:tcPr>
          <w:p>
            <w:pPr>
              <w:jc w:val="right"/>
              <w:ind w:right="144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1640" w:type="dxa"/>
            <w:vAlign w:val="bottom"/>
          </w:tcPr>
          <w:p>
            <w:pPr>
              <w:jc w:val="right"/>
              <w:ind w:right="1443"/>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445"/>
        </w:trPr>
        <w:tc>
          <w:tcPr>
            <w:tcW w:w="6780" w:type="dxa"/>
            <w:vAlign w:val="bottom"/>
          </w:tcPr>
          <w:p>
            <w:pPr>
              <w:spacing w:after="0"/>
              <w:rPr>
                <w:sz w:val="20"/>
                <w:szCs w:val="20"/>
                <w:color w:val="auto"/>
              </w:rPr>
            </w:pPr>
            <w:r>
              <w:rPr>
                <w:rFonts w:ascii="Arial" w:cs="Arial" w:eastAsia="Arial" w:hAnsi="Arial"/>
                <w:sz w:val="16"/>
                <w:szCs w:val="16"/>
                <w:color w:val="auto"/>
              </w:rPr>
              <w:t>The supplemental cash flow information related to leases was as follows:</w:t>
            </w: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78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June 30, 2024</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 from operating leases</w:t>
            </w:r>
          </w:p>
        </w:tc>
        <w:tc>
          <w:tcPr>
            <w:tcW w:w="1640" w:type="dxa"/>
            <w:vAlign w:val="bottom"/>
            <w:shd w:val="clear" w:color="auto" w:fill="CCEEFF"/>
          </w:tcPr>
          <w:p>
            <w:pPr>
              <w:jc w:val="right"/>
              <w:ind w:right="144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operating lease obligations</w:t>
            </w:r>
          </w:p>
        </w:tc>
        <w:tc>
          <w:tcPr>
            <w:tcW w:w="1640" w:type="dxa"/>
            <w:vAlign w:val="bottom"/>
          </w:tcPr>
          <w:p>
            <w:pPr>
              <w:jc w:val="right"/>
              <w:ind w:right="1443"/>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 entered into a lease agreement commencing in April 2024 for approximately 7,700 square feet of existing international office space in Singapore over a three-year term. As of June 30, 2024, the Company has recorded a right-of-use asset and right-of-use liability of $1.8 million, respectively, on the Condensed Consolidated Balance Sheets.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Short-term lease expense was immaterial during the years ended June 30, 2024 and 2023.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lease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0" w:type="dxa"/>
            <w:vAlign w:val="bottom"/>
          </w:tcPr>
          <w:p>
            <w:pPr>
              <w:spacing w:after="0"/>
              <w:rPr>
                <w:sz w:val="17"/>
                <w:szCs w:val="17"/>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June 30, 2024</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March 31, 2024</w:t>
            </w:r>
          </w:p>
        </w:tc>
      </w:tr>
      <w:tr>
        <w:trPr>
          <w:trHeight w:val="210"/>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5.9 years</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6.2 years</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rPr>
              <w:t>4.3%</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maturity of lease liabilities under the Company's non-cancellable operating leases as of June 30,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2025</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10,698</w:t>
            </w:r>
          </w:p>
        </w:tc>
      </w:tr>
      <w:tr>
        <w:trPr>
          <w:trHeight w:val="215"/>
        </w:trPr>
        <w:tc>
          <w:tcPr>
            <w:tcW w:w="9060" w:type="dxa"/>
            <w:vAlign w:val="bottom"/>
          </w:tcPr>
          <w:p>
            <w:pPr>
              <w:ind w:left="20"/>
              <w:spacing w:after="0"/>
              <w:rPr>
                <w:sz w:val="20"/>
                <w:szCs w:val="20"/>
                <w:color w:val="auto"/>
              </w:rPr>
            </w:pPr>
            <w:r>
              <w:rPr>
                <w:rFonts w:ascii="Arial" w:cs="Arial" w:eastAsia="Arial" w:hAnsi="Arial"/>
                <w:sz w:val="16"/>
                <w:szCs w:val="16"/>
                <w:color w:val="auto"/>
              </w:rPr>
              <w:t>2026</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13,381</w:t>
            </w:r>
          </w:p>
        </w:tc>
      </w:tr>
      <w:tr>
        <w:trPr>
          <w:trHeight w:val="217"/>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12,050</w:t>
            </w:r>
          </w:p>
        </w:tc>
      </w:tr>
      <w:tr>
        <w:trPr>
          <w:trHeight w:val="215"/>
        </w:trPr>
        <w:tc>
          <w:tcPr>
            <w:tcW w:w="9060" w:type="dxa"/>
            <w:vAlign w:val="bottom"/>
          </w:tcPr>
          <w:p>
            <w:pPr>
              <w:ind w:left="20"/>
              <w:spacing w:after="0"/>
              <w:rPr>
                <w:sz w:val="20"/>
                <w:szCs w:val="20"/>
                <w:color w:val="auto"/>
              </w:rPr>
            </w:pPr>
            <w:r>
              <w:rPr>
                <w:rFonts w:ascii="Arial" w:cs="Arial" w:eastAsia="Arial" w:hAnsi="Arial"/>
                <w:sz w:val="16"/>
                <w:szCs w:val="16"/>
                <w:color w:val="auto"/>
              </w:rPr>
              <w:t>2028</w:t>
            </w:r>
          </w:p>
        </w:tc>
        <w:tc>
          <w:tcPr>
            <w:tcW w:w="8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10,634</w:t>
            </w:r>
          </w:p>
        </w:tc>
      </w:tr>
      <w:tr>
        <w:trPr>
          <w:trHeight w:val="217"/>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10,476</w:t>
            </w:r>
          </w:p>
        </w:tc>
      </w:tr>
      <w:tr>
        <w:trPr>
          <w:trHeight w:val="215"/>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18,433</w:t>
            </w:r>
          </w:p>
        </w:tc>
      </w:tr>
      <w:tr>
        <w:trPr>
          <w:trHeight w:val="210"/>
        </w:trPr>
        <w:tc>
          <w:tcPr>
            <w:tcW w:w="9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lease payments</w:t>
            </w:r>
          </w:p>
        </w:tc>
        <w:tc>
          <w:tcPr>
            <w:tcW w:w="8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75,672</w:t>
            </w:r>
          </w:p>
        </w:tc>
      </w:tr>
      <w:tr>
        <w:trPr>
          <w:trHeight w:val="215"/>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(8,929)</w:t>
            </w:r>
          </w:p>
        </w:tc>
      </w:tr>
      <w:tr>
        <w:trPr>
          <w:trHeight w:val="235"/>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Present value of lease liabilities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66,743</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COMMITMENTS AND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It is not possible to determine the maximum potential amount of the Company's exposure under these indemnification agreements due to the limited history of prior indemnification claims and the unique facts and circumstances involved in each agreement. Historically, payments made by the Company under these agreements have not had a material impact on the Company's operating results, financial position, or cash flows. Under some of these agreements, however, the Company's potential indemnification liability may not have a contractual limit.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Company's lease obligations consist of the Company's principal facility and various leased facilities under operating lease agreements. During the three months ended June 30, 2024, a material international operating lease commenced related to an international office building. See Note 6, Leases, in the Company's Annual Report on Form 10-K for more information on the Company's leases and the future minimum lease payments.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Obligations</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spacing w:after="0" w:line="7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the three months ended June 30, 2024, there have been no material changes to our purchase obligations from those disclosed in Note 7, Commitments and Contingencies in the notes to the consolidated financial statements included in our Form 10-K.</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believes it has recorded adequate provisions for any such lawsuits and claims and proceedings as of June 30, 2024.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 and Local Taxes and Surcharges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or has accrued amounts for taxes that it believes are required to be remitted. The amounts that have been remitted have historically been within the accruals established by the Company. The Company adjusts its accrual when facts relating to specific exposures warrant such adjustment. The Company periodically reviews the taxability of its services and determined that certain services may be subject to sales, use, telecommunications or other similar indirect taxes in certain jurisdictions.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As of June 30, 2024 and March 31, 2024, the Company had accrued contingent indirect tax liabilities of $13.3 million and $19.2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FCC Investigation of 8x8, Inc. and Fuze, Inc.</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November 17, 2023, the Company received a letter of inquiry from the Enforcement Bureau of the Federal Communications Commission (the “FCC”) requesting certain information and supporting documents related to an investigation of potential violations by 8x8 and Fuze in connection with certain prior period regulatory filings and payments. The Company has cooperated with the FCC in this matter and responded to the letter of inquiry. If the FCC were to pursue separate action against the Company, the FCC could seek to fine or impose regulatory penalties or civil liability on the Company. The Company received a Universal Service Administrative Company ("USAC") letter dated February 1, 2024 rejecting Fuze’s previously filed 499-A returns for calendar years 2021 and 2022 and informing the Company that USAC would apply the safe harbor to Fuze revenues for those years for assessing Universal Service Fund ("USF") payments. The Company subsequently received an invoice from USAC dated March 22, 2024 in the amount of $14.9 million for additional USF fees owed for those calendar years by Fuze, Inc. The Company has since refiled the 499-A returns for calendar years 2021 and 2022 for Fuze, Inc. and recorded an additional liability of $5.6 million, which the Company paid on April 12, 2024. The Company submitted an appeal to USAC of the remaining amount of the invoice dated March 22, 2024 on April 15, 2024. USAC notified the Company on May 8, 2024 that it accepted the revised 499-A filings for calendar years 2021 and 2022 for Fuze, Inc. The FCC's investigation of this matter is ongoing and the Company continues to cooperate with the FCC regarding it.</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CONVERTIBLE SENIOR NOTES AND TERM LOAN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2022 Term Loan and Warrants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June 30, 2024 and March 31, 2024, the Company had $225.0 million of principal amount outstanding in a senior secured term loan facility (the “2022 Term Loan”) under a term loan credit agreement (the “2022 Credit Agreement”) entered into on August 3, 2022 with Wilmington Savings Fund Society, FSB, as administrative agent, and certain affiliates of Francisco Partners (“FP”). The 2022 Term Loan matures on August 3, 2027 and bears interest at an annual rate equal to the term Standard Overnight Financing Rate ("Term SOFR") (subject to a floor of 1.00% and a credit spread adjustment of 0.10%), plus a margin of 6.50%. As of June 30, 2024, the debt discount and debt issuance costs are amortized to interest expense over the term of the 2022 Term Loan at an effective interest rate of 11.9%.</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Mandatory prepayments of the 2022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subject to certain prepayment premiums. On May 9, 2023, the Company voluntarily prepaid without penalty $25.0 million of principal amount outstanding and $0.2 million of accrued interest on the 2022 Term Loan. The prepayment penalty of 2% on additional early prepayment of principal expired August 3, 2024. This payment had no impact on the Company's compliance with the 2022 Term Loan covenants. As of June 30, 2024, the Company was in compliance with all covenants set forth in the 2022 Credit Agreement.</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obligations under the 2022 Credit Agreement are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connection with the 2022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measured at fair value during each reporting period as the Warrants contain certain terms that could result in cash settlement as a result of events outside of the Company’s control. As of June 30, 2024 and March 31, 2024, the fair value of the Warrants was $1.6 million and $3.3 million, respectively, and was recorded within other liabilities, non-current on the condensed consolidated balance sheets. The subsequent changes in fair value were recorded through Other income (expense), net on the Company’s consolidated statement of operations. See Note 3, Fair Value Measurements, for further details.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net carrying amount of the 2022 Term Loan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2024</w:t>
            </w:r>
          </w:p>
        </w:tc>
        <w:tc>
          <w:tcPr>
            <w:tcW w:w="340" w:type="dxa"/>
            <w:vAlign w:val="bottom"/>
          </w:tcPr>
          <w:p>
            <w:pPr>
              <w:spacing w:after="0"/>
              <w:rPr>
                <w:sz w:val="17"/>
                <w:szCs w:val="17"/>
                <w:color w:val="auto"/>
              </w:rPr>
            </w:pPr>
          </w:p>
        </w:tc>
        <w:tc>
          <w:tcPr>
            <w:tcW w:w="1840" w:type="dxa"/>
            <w:vAlign w:val="bottom"/>
          </w:tcPr>
          <w:p>
            <w:pPr>
              <w:jc w:val="right"/>
              <w:ind w:right="501"/>
              <w:spacing w:after="0"/>
              <w:rPr>
                <w:sz w:val="20"/>
                <w:szCs w:val="20"/>
                <w:color w:val="auto"/>
              </w:rPr>
            </w:pPr>
            <w:r>
              <w:rPr>
                <w:rFonts w:ascii="Arial" w:cs="Arial" w:eastAsia="Arial" w:hAnsi="Arial"/>
                <w:sz w:val="14"/>
                <w:szCs w:val="14"/>
                <w:b w:val="1"/>
                <w:bCs w:val="1"/>
                <w:color w:val="auto"/>
              </w:rPr>
              <w:t>March 31, 2024</w:t>
            </w:r>
          </w:p>
        </w:tc>
      </w:tr>
      <w:tr>
        <w:trPr>
          <w:trHeight w:val="216"/>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225,000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225,000</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discount and issuance costs</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(13,106)</w:t>
            </w:r>
          </w:p>
        </w:tc>
      </w:tr>
      <w:tr>
        <w:trPr>
          <w:trHeight w:val="235"/>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212,718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211,894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recognized related to the 2022 Term Loan was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376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rPr>
              <w:t>Three Months Ended June 30,</w:t>
            </w:r>
          </w:p>
        </w:tc>
        <w:tc>
          <w:tcPr>
            <w:tcW w:w="700" w:type="dxa"/>
            <w:vAlign w:val="bottom"/>
            <w:tcBorders>
              <w:bottom w:val="single" w:sz="8" w:color="auto"/>
            </w:tcBorders>
          </w:tcPr>
          <w:p>
            <w:pPr>
              <w:spacing w:after="0"/>
              <w:rPr>
                <w:sz w:val="17"/>
                <w:szCs w:val="17"/>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7"/>
                <w:szCs w:val="17"/>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480" w:type="dxa"/>
            <w:vAlign w:val="bottom"/>
            <w:shd w:val="clear" w:color="auto" w:fill="CCEEFF"/>
          </w:tcPr>
          <w:p>
            <w:pPr>
              <w:jc w:val="right"/>
              <w:ind w:right="1284"/>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0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6,879</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1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r>
      <w:tr>
        <w:trPr>
          <w:trHeight w:val="235"/>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1480" w:type="dxa"/>
            <w:vAlign w:val="bottom"/>
            <w:tcBorders>
              <w:bottom w:val="single" w:sz="8" w:color="auto"/>
            </w:tcBorders>
            <w:shd w:val="clear" w:color="auto" w:fill="CCEEFF"/>
          </w:tcPr>
          <w:p>
            <w:pPr>
              <w:jc w:val="right"/>
              <w:ind w:right="128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30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2028 Notes</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June 30, 2024 and March 31, 2024, the Company had $201.9 million aggregate principal amount of 4.00% convertible senior notes due 2028 (the “2028 Notes”), with debt issuance costs of approximately $5.6 million, of which 50% was paid in the form of shares of the Company's common stock.</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2028 Notes are senior obligations of the Company that accrue interest, payable semi-annually in arrears on February 1 and August 1 of each year. The 2028 Notes will mature on February 1, 2028, unless earlier converted, redeemed or repurchased. As of June 30, 2024, the Company was in compliance with all covenants set forth in the indenture governing the 2028 Notes.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debt discount and debt issuance costs are amortized to interest expense over the term of the 2028 Notes at an effective interest rate of 4.70%.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net carrying amount of the 2028 Notes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2024</w:t>
            </w:r>
          </w:p>
        </w:tc>
        <w:tc>
          <w:tcPr>
            <w:tcW w:w="340" w:type="dxa"/>
            <w:vAlign w:val="bottom"/>
          </w:tcPr>
          <w:p>
            <w:pPr>
              <w:spacing w:after="0"/>
              <w:rPr>
                <w:sz w:val="17"/>
                <w:szCs w:val="17"/>
                <w:color w:val="auto"/>
              </w:rPr>
            </w:pPr>
          </w:p>
        </w:tc>
        <w:tc>
          <w:tcPr>
            <w:tcW w:w="1840" w:type="dxa"/>
            <w:vAlign w:val="bottom"/>
          </w:tcPr>
          <w:p>
            <w:pPr>
              <w:jc w:val="right"/>
              <w:ind w:right="501"/>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2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360" w:type="dxa"/>
            <w:vAlign w:val="bottom"/>
            <w:tcBorders>
              <w:top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201,914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201,914</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discount and issuance costs</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254"/>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36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198,033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197,796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Interest expense recognized related to the 2028 Notes was as follows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4"/>
          </w:tcPr>
          <w:p>
            <w:pPr>
              <w:jc w:val="right"/>
              <w:ind w:right="112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02"/>
        </w:trPr>
        <w:tc>
          <w:tcPr>
            <w:tcW w:w="67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2,241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STOCK-BASED COMPENSATION AND STOCKHOLDERS' EQUITY</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Company accounts for stock-based compensation through the measurement and recognition of compensation expense for share-based payment awards made to employees, directors or consultants over the related requisite service period, including stock appreciation rights, restricted stock, restricted stock units ("RSUs") and performance stock units ("PSUs"), qualified performance-based awards, and stock grants (all issuable under the Company's equity incentive plans).</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reserved 8.0 million shares of the Company's common stock for issuance under the 2022 Equity Incentive Plan (the "2022 Plan") plus the number of shares subject to awards that were outstanding under the 2012 Equity Incentive Plan (the "2012 Plan") as of 12:01 a.m. Pacific Time on June 22, 2022 (the “Prior Plan Expiration Time”), to the extent that, after the Prior Plan Expiration Time, such shares would have recycled back to the 2012 Plan in connection with the awards’ expiration, termination, cancellation, forfeiture, or repurchase, as described further below, and in each case, subject to adjustment upon certain changes in the Company’s capitalization. The 2022 Plan provides for the granting of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cannot be less than the fair market value on the effective date of the grant. Options, restricted stock, and restricted stock units generally vest over three or four years and expire ten years after the grant. As of June 30, 2024, 0.3 million shares remained available for future grants under the 2022 Plan.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stock-based compensation expense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1400" w:type="dxa"/>
            <w:vAlign w:val="bottom"/>
            <w:shd w:val="clear" w:color="auto" w:fill="CCEEFF"/>
          </w:tcPr>
          <w:p>
            <w:pPr>
              <w:jc w:val="right"/>
              <w:ind w:right="1202"/>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215"/>
        </w:trPr>
        <w:tc>
          <w:tcPr>
            <w:tcW w:w="6780" w:type="dxa"/>
            <w:vAlign w:val="bottom"/>
            <w:gridSpan w:val="2"/>
          </w:tcPr>
          <w:p>
            <w:pPr>
              <w:ind w:left="20"/>
              <w:spacing w:after="0"/>
              <w:rPr>
                <w:sz w:val="20"/>
                <w:szCs w:val="20"/>
                <w:color w:val="auto"/>
              </w:rPr>
            </w:pPr>
            <w:r>
              <w:rPr>
                <w:rFonts w:ascii="Arial" w:cs="Arial" w:eastAsia="Arial" w:hAnsi="Arial"/>
                <w:sz w:val="16"/>
                <w:szCs w:val="16"/>
                <w:color w:val="auto"/>
              </w:rPr>
              <w:t>Cost of other revenue</w:t>
            </w:r>
          </w:p>
        </w:tc>
        <w:tc>
          <w:tcPr>
            <w:tcW w:w="1400" w:type="dxa"/>
            <w:vAlign w:val="bottom"/>
          </w:tcPr>
          <w:p>
            <w:pPr>
              <w:spacing w:after="0"/>
              <w:rPr>
                <w:sz w:val="18"/>
                <w:szCs w:val="18"/>
                <w:color w:val="auto"/>
              </w:rPr>
            </w:pPr>
          </w:p>
        </w:tc>
        <w:tc>
          <w:tcPr>
            <w:tcW w:w="780" w:type="dxa"/>
            <w:vAlign w:val="bottom"/>
            <w:gridSpan w:val="2"/>
          </w:tcPr>
          <w:p>
            <w:pPr>
              <w:jc w:val="right"/>
              <w:ind w:right="6"/>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7"/>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4,823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7,632</w:t>
            </w:r>
          </w:p>
        </w:tc>
        <w:tc>
          <w:tcPr>
            <w:tcW w:w="0" w:type="dxa"/>
            <w:vAlign w:val="bottom"/>
          </w:tcPr>
          <w:p>
            <w:pPr>
              <w:spacing w:after="0"/>
              <w:rPr>
                <w:sz w:val="1"/>
                <w:szCs w:val="1"/>
                <w:color w:val="auto"/>
              </w:rPr>
            </w:pPr>
          </w:p>
        </w:tc>
      </w:tr>
      <w:tr>
        <w:trPr>
          <w:trHeight w:val="215"/>
        </w:trPr>
        <w:tc>
          <w:tcPr>
            <w:tcW w:w="6780" w:type="dxa"/>
            <w:vAlign w:val="bottom"/>
            <w:gridSpan w:val="2"/>
          </w:tcPr>
          <w:p>
            <w:pPr>
              <w:ind w:left="20"/>
              <w:spacing w:after="0"/>
              <w:rPr>
                <w:sz w:val="20"/>
                <w:szCs w:val="20"/>
                <w:color w:val="auto"/>
              </w:rPr>
            </w:pPr>
            <w:r>
              <w:rPr>
                <w:rFonts w:ascii="Arial" w:cs="Arial" w:eastAsia="Arial" w:hAnsi="Arial"/>
                <w:sz w:val="16"/>
                <w:szCs w:val="16"/>
                <w:color w:val="auto"/>
              </w:rPr>
              <w:t>Sales and marketing</w:t>
            </w:r>
          </w:p>
        </w:tc>
        <w:tc>
          <w:tcPr>
            <w:tcW w:w="1400" w:type="dxa"/>
            <w:vAlign w:val="bottom"/>
          </w:tcPr>
          <w:p>
            <w:pPr>
              <w:spacing w:after="0"/>
              <w:rPr>
                <w:sz w:val="18"/>
                <w:szCs w:val="18"/>
                <w:color w:val="auto"/>
              </w:rPr>
            </w:pPr>
          </w:p>
        </w:tc>
        <w:tc>
          <w:tcPr>
            <w:tcW w:w="780" w:type="dxa"/>
            <w:vAlign w:val="bottom"/>
            <w:gridSpan w:val="2"/>
          </w:tcPr>
          <w:p>
            <w:pPr>
              <w:jc w:val="right"/>
              <w:ind w:right="6"/>
              <w:spacing w:after="0"/>
              <w:rPr>
                <w:sz w:val="20"/>
                <w:szCs w:val="20"/>
                <w:color w:val="auto"/>
              </w:rPr>
            </w:pPr>
            <w:r>
              <w:rPr>
                <w:rFonts w:ascii="Arial" w:cs="Arial" w:eastAsia="Arial" w:hAnsi="Arial"/>
                <w:sz w:val="16"/>
                <w:szCs w:val="16"/>
                <w:color w:val="auto"/>
              </w:rPr>
              <w:t>2,948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4,649</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3,505</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3,834</w:t>
            </w:r>
          </w:p>
        </w:tc>
        <w:tc>
          <w:tcPr>
            <w:tcW w:w="0" w:type="dxa"/>
            <w:vAlign w:val="bottom"/>
          </w:tcPr>
          <w:p>
            <w:pPr>
              <w:spacing w:after="0"/>
              <w:rPr>
                <w:sz w:val="1"/>
                <w:szCs w:val="1"/>
                <w:color w:val="auto"/>
              </w:rPr>
            </w:pPr>
          </w:p>
        </w:tc>
      </w:tr>
      <w:tr>
        <w:trPr>
          <w:trHeight w:val="210"/>
        </w:trPr>
        <w:tc>
          <w:tcPr>
            <w:tcW w:w="678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right"/>
              <w:ind w:right="120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6"/>
                <w:szCs w:val="16"/>
                <w:color w:val="auto"/>
              </w:rPr>
              <w:t>12,801</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18,195</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Restricted Stock Units</w:t>
            </w: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78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780" w:type="dxa"/>
            <w:vAlign w:val="bottom"/>
            <w:gridSpan w:val="2"/>
          </w:tcPr>
          <w:p>
            <w:pPr>
              <w:spacing w:after="0"/>
              <w:rPr>
                <w:sz w:val="20"/>
                <w:szCs w:val="20"/>
                <w:color w:val="auto"/>
              </w:rPr>
            </w:pPr>
            <w:r>
              <w:rPr>
                <w:rFonts w:ascii="Arial" w:cs="Arial" w:eastAsia="Arial" w:hAnsi="Arial"/>
                <w:sz w:val="16"/>
                <w:szCs w:val="16"/>
                <w:color w:val="auto"/>
              </w:rPr>
              <w:t>The following table presents the RSU activity (shares in thousands):</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1"/>
                <w:szCs w:val="11"/>
                <w:color w:val="auto"/>
              </w:rPr>
            </w:pPr>
          </w:p>
        </w:tc>
        <w:tc>
          <w:tcPr>
            <w:tcW w:w="154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rPr>
              <w:t>Grant Date Fair</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202"/>
        </w:trPr>
        <w:tc>
          <w:tcPr>
            <w:tcW w:w="6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Value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2024</w:t>
            </w:r>
          </w:p>
        </w:tc>
        <w:tc>
          <w:tcPr>
            <w:tcW w:w="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10,325</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06"/>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5"/>
        </w:trPr>
        <w:tc>
          <w:tcPr>
            <w:tcW w:w="678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2,427</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6.13</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9,862</w:t>
            </w:r>
          </w:p>
        </w:tc>
        <w:tc>
          <w:tcPr>
            <w:tcW w:w="780" w:type="dxa"/>
            <w:vAlign w:val="bottom"/>
            <w:gridSpan w:val="2"/>
            <w:shd w:val="clear" w:color="auto" w:fill="CCEEFF"/>
          </w:tcPr>
          <w:p>
            <w:pPr>
              <w:jc w:val="right"/>
              <w:ind w:right="506"/>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30, 2024, there was $33.4 million of total unrecognized compensation cost related to RSUs, which is expected to be recognized over a weighted average of 1.76 years.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PSUs are issued to a group of executives and generally time vest over periods ranging from one to three years from the grant date; vesting is generally also contingent upon achievement of applicable performance metrics or strategic objectives. Vesting of performance-based stock units granted can be tied to our total shareholder return, as measured relative to specified market indices during the applicable performance periods and be contingent upon continued service. The related stock-based compensation expense is recognized over the requisite service period and accounts for the probability that we will satisfy the performance measures or strategic objectives.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PSU activity (shares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Weighted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6740" w:type="dxa"/>
            <w:vAlign w:val="bottom"/>
          </w:tcPr>
          <w:p>
            <w:pPr>
              <w:spacing w:after="0"/>
              <w:rPr>
                <w:sz w:val="12"/>
                <w:szCs w:val="12"/>
                <w:color w:val="auto"/>
              </w:rPr>
            </w:pPr>
          </w:p>
        </w:tc>
        <w:tc>
          <w:tcPr>
            <w:tcW w:w="144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Average Grant</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1440" w:type="dxa"/>
            <w:vAlign w:val="bottom"/>
          </w:tcPr>
          <w:p>
            <w:pPr>
              <w:jc w:val="right"/>
              <w:ind w:right="403"/>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Date Fair Value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Term (in Years)</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2024</w:t>
            </w: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2,531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4.38</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color w:val="auto"/>
              </w:rPr>
              <w:t>10.32</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2,257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3.66</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Total unrecognized compensation cost related to PSUs was $2.6 million as of June 30, 2024, which is expected to be recognized over a weighted average of 1.30 years.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30, 2024, there was approximately $1.2 million of unrecognized compensation cost related to employee stock purchases. This cost is expected to be recognized over a weighted average period of 0.1 years. As of June 30, 2024, a total of 2.7 million shares were available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effective tax rate was (7.0)% and (10.4)% for the three months ended June 30, 2024 and 2023, respectively. The difference in the effective tax rate and the U.S. federal statutory rate was primarily due to the full valuation allowance the Company maintains against its deferred tax assets after adjusting for the impact of certain provisions enacted under the Tax Cuts and Jobs Act, current tax liabilities of profitable foreign subsidiaries subject to different local income tax rates, and state taxes in the United States. The effective tax rate is calculated by dividing the provision for income taxes by the loss before provision for income taxes.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LOSS PER SHARE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is a reconciliation of the weighted average number of common shares outstanding used in calculating basic and diluted net loss per share (in thousands,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368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Three Months Ended June 30,</w:t>
            </w:r>
          </w:p>
        </w:tc>
        <w:tc>
          <w:tcPr>
            <w:tcW w:w="780" w:type="dxa"/>
            <w:vAlign w:val="bottom"/>
            <w:tcBorders>
              <w:bottom w:val="single" w:sz="8" w:color="auto"/>
            </w:tcBorders>
          </w:tcPr>
          <w:p>
            <w:pPr>
              <w:spacing w:after="0"/>
              <w:rPr>
                <w:sz w:val="17"/>
                <w:szCs w:val="17"/>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spacing w:after="0"/>
              <w:rPr>
                <w:sz w:val="17"/>
                <w:szCs w:val="17"/>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shd w:val="clear" w:color="auto" w:fill="CCEEFF"/>
          </w:tcPr>
          <w:p>
            <w:pPr>
              <w:jc w:val="right"/>
              <w:ind w:right="1204"/>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(15,327)</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 and diluted</w:t>
            </w: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125,999</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116,777</w:t>
            </w:r>
          </w:p>
        </w:tc>
      </w:tr>
      <w:tr>
        <w:trPr>
          <w:trHeight w:val="217"/>
        </w:trPr>
        <w:tc>
          <w:tcPr>
            <w:tcW w:w="6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Net loss per share - basic and diluted</w:t>
            </w:r>
          </w:p>
        </w:tc>
        <w:tc>
          <w:tcPr>
            <w:tcW w:w="1380" w:type="dxa"/>
            <w:vAlign w:val="bottom"/>
          </w:tcPr>
          <w:p>
            <w:pPr>
              <w:jc w:val="right"/>
              <w:ind w:right="1204"/>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1400" w:type="dxa"/>
            <w:vAlign w:val="bottom"/>
          </w:tcPr>
          <w:p>
            <w:pPr>
              <w:jc w:val="right"/>
              <w:ind w:right="122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(0.13)</w:t>
            </w:r>
          </w:p>
        </w:tc>
      </w:tr>
    </w:tbl>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the Company was in a loss position for all periods presented, basic net loss per share is equivalent to diluted net loss per share for all periods, as the inclusion of all potential shares of common stock outstanding would have been anti-dilutive. The following potentially weighted-average common shares were excluded from the calculation of diluted earnings per share because their inclusion would have been anti-dilutive (shares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5"/>
          </w:tcPr>
          <w:p>
            <w:pPr>
              <w:jc w:val="right"/>
              <w:ind w:right="112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4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Restricted stock units and Performance stock units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8,545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9,885</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attributable to the ESPP</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10"/>
        </w:trPr>
        <w:tc>
          <w:tcPr>
            <w:tcW w:w="6780" w:type="dxa"/>
            <w:vAlign w:val="bottom"/>
          </w:tcPr>
          <w:p>
            <w:pPr>
              <w:ind w:left="220"/>
              <w:spacing w:after="0"/>
              <w:rPr>
                <w:sz w:val="20"/>
                <w:szCs w:val="20"/>
                <w:color w:val="auto"/>
              </w:rPr>
            </w:pPr>
            <w:r>
              <w:rPr>
                <w:rFonts w:ascii="Arial" w:cs="Arial" w:eastAsia="Arial" w:hAnsi="Arial"/>
                <w:sz w:val="16"/>
                <w:szCs w:val="16"/>
                <w:color w:val="auto"/>
              </w:rPr>
              <w:t>Total anti-dilutive shares</w:t>
            </w: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11,422</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6"/>
                <w:szCs w:val="16"/>
                <w:b w:val="1"/>
                <w:bCs w:val="1"/>
                <w:color w:val="auto"/>
              </w:rPr>
              <w:t>12. GEOGRAPHICAL INFORMATION</w:t>
            </w: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5"/>
        </w:trPr>
        <w:tc>
          <w:tcPr>
            <w:tcW w:w="6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780" w:type="dxa"/>
            <w:vAlign w:val="bottom"/>
          </w:tcPr>
          <w:p>
            <w:pPr>
              <w:spacing w:after="0"/>
              <w:rPr>
                <w:sz w:val="20"/>
                <w:szCs w:val="20"/>
                <w:color w:val="auto"/>
              </w:rPr>
            </w:pPr>
            <w:r>
              <w:rPr>
                <w:rFonts w:ascii="Arial" w:cs="Arial" w:eastAsia="Arial" w:hAnsi="Arial"/>
                <w:sz w:val="16"/>
                <w:szCs w:val="16"/>
                <w:color w:val="auto"/>
              </w:rPr>
              <w:t>The following tables set forth the geographic information for each period (in thousands):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5"/>
          </w:tcPr>
          <w:p>
            <w:pPr>
              <w:jc w:val="right"/>
              <w:ind w:right="114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122,858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130,383</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2"/>
              <w:spacing w:after="0"/>
              <w:rPr>
                <w:sz w:val="20"/>
                <w:szCs w:val="20"/>
                <w:color w:val="auto"/>
              </w:rPr>
            </w:pPr>
            <w:r>
              <w:rPr>
                <w:rFonts w:ascii="Arial" w:cs="Arial" w:eastAsia="Arial" w:hAnsi="Arial"/>
                <w:sz w:val="16"/>
                <w:szCs w:val="16"/>
                <w:color w:val="auto"/>
              </w:rPr>
              <w:t>29,206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29,840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26,083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23,064</w:t>
            </w:r>
          </w:p>
        </w:tc>
        <w:tc>
          <w:tcPr>
            <w:tcW w:w="0" w:type="dxa"/>
            <w:vAlign w:val="bottom"/>
          </w:tcPr>
          <w:p>
            <w:pPr>
              <w:spacing w:after="0"/>
              <w:rPr>
                <w:sz w:val="1"/>
                <w:szCs w:val="1"/>
                <w:color w:val="auto"/>
              </w:rPr>
            </w:pPr>
          </w:p>
        </w:tc>
      </w:tr>
      <w:tr>
        <w:trPr>
          <w:trHeight w:val="210"/>
        </w:trPr>
        <w:tc>
          <w:tcPr>
            <w:tcW w:w="67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178,147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183,287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3"/>
          </w:tcPr>
          <w:p>
            <w:pPr>
              <w:ind w:left="260"/>
              <w:spacing w:after="0"/>
              <w:rPr>
                <w:sz w:val="20"/>
                <w:szCs w:val="20"/>
                <w:color w:val="auto"/>
              </w:rPr>
            </w:pPr>
            <w:r>
              <w:rPr>
                <w:rFonts w:ascii="Arial" w:cs="Arial" w:eastAsia="Arial" w:hAnsi="Arial"/>
                <w:sz w:val="14"/>
                <w:szCs w:val="14"/>
                <w:b w:val="1"/>
                <w:bCs w:val="1"/>
                <w:color w:val="auto"/>
              </w:rPr>
              <w:t>June 30, 2024</w:t>
            </w:r>
          </w:p>
        </w:tc>
        <w:tc>
          <w:tcPr>
            <w:tcW w:w="340" w:type="dxa"/>
            <w:vAlign w:val="bottom"/>
          </w:tcPr>
          <w:p>
            <w:pPr>
              <w:spacing w:after="0"/>
              <w:rPr>
                <w:sz w:val="24"/>
                <w:szCs w:val="24"/>
                <w:color w:val="auto"/>
              </w:rPr>
            </w:pPr>
          </w:p>
        </w:tc>
        <w:tc>
          <w:tcPr>
            <w:tcW w:w="1840" w:type="dxa"/>
            <w:vAlign w:val="bottom"/>
          </w:tcPr>
          <w:p>
            <w:pPr>
              <w:jc w:val="right"/>
              <w:ind w:right="501"/>
              <w:spacing w:after="0"/>
              <w:rPr>
                <w:sz w:val="20"/>
                <w:szCs w:val="20"/>
                <w:color w:val="auto"/>
              </w:rPr>
            </w:pPr>
            <w:r>
              <w:rPr>
                <w:rFonts w:ascii="Arial" w:cs="Arial" w:eastAsia="Arial" w:hAnsi="Arial"/>
                <w:sz w:val="14"/>
                <w:szCs w:val="14"/>
                <w:b w:val="1"/>
                <w:bCs w:val="1"/>
                <w:color w:val="auto"/>
              </w:rPr>
              <w:t>March 31, 2024</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48,559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49,992</w:t>
            </w:r>
          </w:p>
        </w:tc>
        <w:tc>
          <w:tcPr>
            <w:tcW w:w="0" w:type="dxa"/>
            <w:vAlign w:val="bottom"/>
          </w:tcPr>
          <w:p>
            <w:pPr>
              <w:spacing w:after="0"/>
              <w:rPr>
                <w:sz w:val="1"/>
                <w:szCs w:val="1"/>
                <w:color w:val="auto"/>
              </w:rPr>
            </w:pP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2,841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3,189</w:t>
            </w:r>
          </w:p>
        </w:tc>
        <w:tc>
          <w:tcPr>
            <w:tcW w:w="0" w:type="dxa"/>
            <w:vAlign w:val="bottom"/>
          </w:tcPr>
          <w:p>
            <w:pPr>
              <w:spacing w:after="0"/>
              <w:rPr>
                <w:sz w:val="1"/>
                <w:szCs w:val="1"/>
                <w:color w:val="auto"/>
              </w:rPr>
            </w:pPr>
          </w:p>
        </w:tc>
      </w:tr>
      <w:tr>
        <w:trPr>
          <w:trHeight w:val="235"/>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51,400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53,181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RELATED PARTY TRANSACTIONS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has been doing business with an outside sales and marketing vendor since December 2017, which became a related party in July 2022 when a member of the Company's board of directors joined the vendor's board of directors. The Company has a two-year contract with this vendor valued at $1.4 million and paid $0.2 million during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SUBSEQUENT EVENTS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Delayed Draw Term Loan</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11, 2024, the Company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 million maturing on August 15, 2027.</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Loans made under the delayed draw term loan facility will bear interest at an annual rate equal to Term SOFR, plus a margin of either 2.50%, 2.75% or 3.00% based on the consolidated total net leverage ratio of the Company and its subsidiaries. The initial margin will be 3.00% for the fiscal quarter ending September 30, 2024. Once fully drawn upon, the annual principal repayments of $22.5 million in fiscal year 2025, $37.5 million in fiscal year 2026, and $47.5 million in fiscal year 2027 are required, and the remaining $92.5 million principal is due before or upon maturity in fiscal year 2028. These annualized repayments will be made in quarterly installments.</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obligations under the 2024 Credit Agreement will be guaranteed by the Company’s wholly-owned subsidiaries, subject to certain customary exceptions, and, concurrent with any borrowing of delayed draw term loans under the 2024 Credit Agreement, will be secured by a perfected security interest in substantially all of the Company’s tangible and intangible assets, as well as substantially all of the tangible and intangible assets of the guarantors.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Mandatory prepayments of the delayed draw term loan facility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without premium or penalty, subject to certain customary break funding payments.</w:t>
      </w:r>
    </w:p>
    <w:p>
      <w:pPr>
        <w:spacing w:after="0" w:line="1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2024 Credit Agreement contains a consolidated interest coverage ratio financial covenant, a maximum consolidated total net leverage ratio financial covenant and a maximum consolidated secured leverage ratio financial covenant and contains affirmative and negative covenants customary for transactions of this type, including limitations with respect to share repurchases, indebtedness, liens, investments, dividends, disposition of assets, change in business, and transactions with affiliates.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Delayed Draw Term Loan Drawdown and 2022 Term Loan Extinguishment</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funding of loans under the 2024 Credit Agreement occurred on August 5, 2024. The Company used the proceeds plus $29 million from existing cash balances, to fund the prepayment of the entire $225 million principal outstanding plus accrued interest and fees under the 2022 Term Loan and terminated the 2022 Credit Agreement. As a result of the debt extinguishment, the recognition of any unamortized debt discount and issuance costs of the 2022 Term Loan within other expense, net, in the consolidated statement of operations will be assessed by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Quarterly Report, particularly those set forth under the section entitled "Risk Factors" in the Form 10-K.</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a leading provider of software-as-a-service solutions for contact center, voice communications, video meetings, employee collaboration, and embeddable communication application program interfaces. Our solutions empower workforces worldwide by connecting individuals and teams so they can collaborate faster, work smarter, and better serve customers, from any location. The communications capabilities and advanced artificial intelligence/machine learning technologies of our contact center, communication and collaboration solutions are integrated into a comprehensive cloud-based offering powered by our global communications platform, which together comprise our 8x8 XCaaS platform solution. The XCaaS platform delivers our unified communications as-a-service, contact center as-a-service, and communications platform as-a-service services. It includes artificial intelligence-driven self service and digital assistance, intuitive user interfaces, and real-time business analytics and intelligence, enabling organizations of all sizes to design, deploy and adapt tailored communications and workflows for differentiated employee and customer experiences.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8x8 XCaaS platform delivers the security, scalability, high availability, and ease-of-use of a modern cloud-based architecture while masking the complexity of a global communications infrastructure. A comprehensive data layer across the platform powers 8x8 artificial intelligence/machine learning algorithms, as well as vertical-specific and purpose-built applications from our ecosystem of technology partners. This enables data-driven business insights that can drive employee productivity, resource optimization, and more effective end-customer interactions through simplified and automated workflows. Built with core cloud technologies that we own and manage internally, as well as integrated third-party applications from our technology partners, our XCaaS platform enables agile workplaces and fosters seamless communications and collaboration between an organization’s customers, contact center agents, and employees, regardless of geographic location.</w:t>
      </w:r>
    </w:p>
    <w:p>
      <w:pPr>
        <w:spacing w:after="0" w:line="1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customers range from small businesses to large enterprises across all vertical markets, with users in more than 160 countries. In recent years, we have increased our focus on mid-market, enterprise, and public sector customers because these organizations typically have more complex communication and contact center requirements compared to the needs of small business customers. Organizations in these sectors – typically with 500 to 10,000 employees -- are more likely to adopt multiple services and realize greater value from our unified, global communications platform and our growing product portfolio, including artificial intelligence-enabled solutions.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generate service revenue from subscriptions to our communications services, as well as from usage of our platform. Our service subscription plans are sold on a per user basis, and are structured with increasing levels of functionality (designated as X1, X2, etc., through X8), based on the specific communication needs and customer engagement profile of each user. Platform usage, including telephony minutes, messaging, SMS, and digital and voice chat bot interactions, encompasses committed usage, which may be bundled with our service subscription plans, and uncommitted usage, which is sold on an as-used basis. Uncommitted usage of our platform increased as a percentage of revenue in fiscal 2024 and is expected to continue to increase in the future with the introduction of new platform usage solutions.</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AND OTHER FACTORS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subject to risks and exposures, including those caused by adverse economic conditions. Macroeconomic conditions that could adversely affect our business include the global economic slowdown, continued inflation, increased interest rates, supply chain disruptions, decreased economic output and fluctuations in currency exchange rates. We continuously monitor the direct and indirect impacts of these factors, as well as the overall global economy and geopolitical landscape on our business and financial results.</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While the implications of macroeconomic events on our business, results of operations and overall financial position remain uncertain over the long term, we expect that adverse economic conditions will continue to adversely impact our business in future periods. For example, our installed base business, which includes more than 52,000 small businesses, continues to experience macroeconomic headwinds.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AND OUTLOOK</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part of our long-term strategy to grow our revenue, achieve profitability, and increase cash flow, we have focused on expanding our mid-market, enterprise and public sector customer base. We believe that continued innovation is a critical factor in attracting and retaining these customers and is an important variable in achieving sustainable growth. We are committed to maintaining a high level of investment in engineering to deliver product innovation across our XCaaS platform, expand our ecosystem of integrated third-party applications, and maintain the high availability our customers require.</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primary focus involves the following: (i) accelerating innovation, particularly in our platform and contact center as-a-service, and (ii) establishing communications platform as-a-service leadership in the Asia Pacific region and leveraging these capabilities globally. We continue to innovate new products like 8x8 Engage, voice and digital Intelligent Customer Assistant, and Agent Assist, while enhancing our platform with new capabilities, such as the Customer Interaction Data Platform and composable agent and supervisor user interfaces. These innovations enable tightly integrated solutions that prioritize ease-of-use, out-of-the-box functionality, and rapid deployment for our target customers.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investment in innovation has been complemented by initiatives to manage the costs of delivering our services and improve our sales efficiency. We continue to monitor factors that could have an impact on customer buying behavior and demand, including macroeconomic conditions, the competitive environment, contract duration, churn, upsell and down-sell, renewals, and payment terms, all of which have caused variability in our results and may continue to do in the future. We expect the total dollar amount of cost of service revenue and as a percentage of revenue to vary with the amount of service revenue and the mix of subscription and usage revenue within service revenue. To improve our sales efficiency, we continue to invest in marketing programs to drive awareness for our solutions, and we have increased training for our sales teams, and invested in tools to increase productivity. We have also expanded our partner programs to extend our reach within our target customer market, placing increased emphasis on developing a community of value-added resellers who provide implementation services and Tier 1 customer support in addition to sales. To support our customers and partners, we have expanded our customer success organization and continue to invest in improvements to our back-office processes to increase our operational efficiency over time.</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GAAP OPERATING RESULTS</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assess the success of our strategies to achieve growth and increase our cash flow, management reviews our financial performance as presented in our consolidated financial statements, including trends in revenue, gross profit margin, losses from operations, and cash flow generated by operations in absolute dollars and as a percentage of revenue as presented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Fiscal Year 2025</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Fiscal Year 2024</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95"/>
        </w:trPr>
        <w:tc>
          <w:tcPr>
            <w:tcW w:w="2820" w:type="dxa"/>
            <w:vAlign w:val="bottom"/>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97"/>
        </w:trPr>
        <w:tc>
          <w:tcPr>
            <w:tcW w:w="28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7"/>
                <w:szCs w:val="17"/>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June 30, 2023</w:t>
            </w:r>
          </w:p>
        </w:tc>
      </w:tr>
      <w:tr>
        <w:trPr>
          <w:trHeight w:val="197"/>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172,801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172,490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175,069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177,782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175,238</w:t>
            </w: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97.0 %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96.1 %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96.7 %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96.1 %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95.6 %</w:t>
            </w: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120,960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122,444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124,846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127,897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128,613</w:t>
            </w: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67.9 %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68.2 %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69.0 %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69.1 %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70.2 %</w:t>
            </w: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(1,410)</w:t>
            </w: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(15,327)</w:t>
            </w: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 of Total Revenue</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18,148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22,396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26,473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the past we have analyzed trends in annualized recurring and usage revenue, or ARR. Our product offering is evolving to address trends in our industry, which include increased use of self-service chat bots, automated digital communications, and messaging. These solutions are often unrelated user-based subscriptions and are typically sold based on consumption. We expect usage revenue to increase in the future, making our previously disclosed Annual Recurring Subscriptions and Usage Revenue (ARR) metric less relevant. Based on our expectation of higher usage revenue, and following an evaluation of key business metrics disclosed by our peers in the UCaaS, CCaaS and CPaaS markets, we are discontinuing the use of ARR, as previously defined, as a key business metric. We intend to continue to review our key business metrics as our markets and business model evolves.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Service revenue consists of communication services subscriptions, platform usage revenue, and related fees from our unified communications as-a-service, contact center as-a-service, and communications platform as-a-service offerings. We plan to increase service revenue through a combination of new customer acquisition, cross-sell of additional products to existing customers, including new products resulting from our increased investment in innovation, geographic expansion of our customer base outside the United States, sales initiatives with our Technology Partner Ecosystem partners, and through strategic acquisitions of technologies and businesses.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Other revenue consists of revenue from professional services, primarily for deployment of our solutions and/or platform, and revenue from sales and rentals of IP telephones in conjunction with our cloud telephony service. Other revenue is dependent on the number of customers who choose to purchase or rent IP telephone hardware in conjunction with our service instead of using the solution on their cell phone, computer, or other compatible device, and/or choose to engage our professional services organization for implementation and deployment of our cloud services.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capitalized internal-use software, other communication origination and termination services provided by third-party carriers, and other costs such as customer service, and technical support costs. We allocate overhead costs, such as information technology and facilities, to cost of service revenue, as well as to each of the operating expense categories, generally based on relative headcount. Our information technology costs include costs for information technology infrastructure and personnel. Facilities costs primarily consist of office leases and related expenses.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Other Revenue</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Cost of other revenue consists primarily of direct and indirect costs associated with the purchase, shipping and handling, and recycling of IP telephones as well as the personnel costs, and other expenditures incurred in connection with the professional services associated with the deployment and implementation of our products, and allocated information technology and facilities costs.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software and equipment costs necessary for us to conduct our product, platform development and engineering efforts, as well as allocated information technology and facilities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and marketing expenses consist primarily of personnel and related costs, sales commissions, including those to channel partners, trade shows, advertising and other marketing, demand generation, and promotional expenses, as well as allocated information technology and facilities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General and administrative expenses consist primarily of personnel and related costs, professional services fees, corporate administrative costs, tax and regulatory fees, and allocated information technology and facilities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Other expense, net, consists primarily of interest expense related to our term loan and convertible notes, amortization of debt discount and issuance costs, offset by interest income, gain or loss on warrant remeasurement, gains on debt extinguishment, gains or losses on foreign exchange transactions, as well as other income.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Provision for income taxes consist primarily of foreign income taxes and state minimum taxes in the United States.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non-operating loss carryforwards.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7"/>
                <w:szCs w:val="17"/>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172,801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175,238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(2,437)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97.0 %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95.6 %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1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Service revenue decreased by $2.4 million, or 1.4%, for the three months ended June 30, 2024 compared to the three months ended June 30, 2023. This change was driven by a decrease in revenue from subscriptions of $5.8 million related to increased customer churn and down-sell partially offset by an increase of $3.4 million in platform usage revenue.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288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06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5,346</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8,049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(2,703)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3.0 %</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4.4 %</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revenue decreased by $2.7 million, or 33.6%, for the three months ended June 30, 2024 compared to the three months ended June 30, 2023, due to lower professional service and product revenue of $1.8 million and $0.9 million,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service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7"/>
                <w:szCs w:val="17"/>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102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49,496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46,276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rPr>
              <w:t>3,220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Percentage of service revenue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28.6 %</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26.4 %</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Cost of service revenue increased by $3.2 million, or 7.0%, for the three months ended June 30, 2024 compared to the three months ended June 30, 2023, primarily due to an increase of $5.0 million in costs to deliver our subscription and platform usage services. This increase was partially offset by decreases of $1.2 million related to the amortization of capitalized software and $0.6 million in software costs.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other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7"/>
                <w:szCs w:val="17"/>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other revenue</w:t>
            </w:r>
          </w:p>
        </w:tc>
        <w:tc>
          <w:tcPr>
            <w:tcW w:w="1020" w:type="dxa"/>
            <w:vAlign w:val="bottom"/>
            <w:shd w:val="clear" w:color="auto" w:fill="CCEEFF"/>
          </w:tcPr>
          <w:p>
            <w:pPr>
              <w:jc w:val="right"/>
              <w:ind w:right="845"/>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7,691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8,398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rPr>
              <w:t>(707)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Percentage of other revenue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143.9 %</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104.3 %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Cost of other revenue decreased by $0.7 million, or 8.4%, for the three months ended June 30, 2024 compared to the three months ended June 30, 2023 primarily due to $0.3 million decreased personnel-related costs to deliver our professional services coupled with $0.4 million lower product costs associated with IP telephone hardware.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7"/>
                <w:szCs w:val="17"/>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2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32,137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35,292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rPr>
              <w:t>(3,155)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18.0 %</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19.3 %</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1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Research and development expenses decreased by $3.2 million, or 8.9%, for the three months ended June 30, 2024 compared to the three months ended June 30, 2023 primarily due to a decrease of $2.6 million in stock-based compensation and $0.6 million in combined employee, consulting and other costs.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7"/>
                <w:szCs w:val="17"/>
                <w:color w:val="auto"/>
              </w:rPr>
            </w:pPr>
          </w:p>
        </w:tc>
      </w:tr>
      <w:tr>
        <w:trPr>
          <w:trHeight w:val="211"/>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02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67,106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68,505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rPr>
              <w:t>(1,399)</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37.7 %</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37.4 %</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1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Sales and marketing expenses decreased by $1.4 million, or 2.0%, for the three months ended June 30, 2024 compared to the three months ended June 30, 2023 primarily due to decreases of $1.9 million in stock-based compensation expense, $0.6 million in paid media and other marketing services costs, and $0.6 million in channel commissions and amortization of deferred commissions. These decreases were partially offset by an increase of $1.7 million in personnel-related and consulting costs.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211"/>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2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23,091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26,226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(3,135)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13.0 %</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14.3 %</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General and administrative expenses decreased by $3.1 million, or 12.0%, for the three months ended June 30, 2024 compared to the three months ended June 30, 2023 primarily due to decreases of $1.7 million in personnel-related and consulting costs, $1.0 million in regulatory and other legal costs, and $0.4 million in stock-based compensation expense.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net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211"/>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(8,240)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(12,473)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4,233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recognized $8.2 million of other expense, net during the three months ended June 30, 2024 compared to $12.5 million of other expense, net during the three months ended June 30, 2023 primarily due to a $2.0 million gain on the remeasurement of warrants issued in connection with the term loan, a $1.8 million loss from debt extinguishment from the 2024 convertible notes recorded in the prior year comparable period, and a $0.4 million increase in interest income earned on highly-liquid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for income taxes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7"/>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100" w:type="dxa"/>
            <w:vAlign w:val="bottom"/>
            <w:shd w:val="clear" w:color="auto" w:fill="CCEEFF"/>
          </w:tcPr>
          <w:p>
            <w:pPr>
              <w:jc w:val="right"/>
              <w:ind w:right="92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676</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1,444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(768)</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0.4 %</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0.8 %</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30"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The provision for income taxes decreased by $0.8 million for the three months ended June 30, 2024 compared to the three months ended June 30, 2023 driven by a decrease in forecasted foreign tax expense of $0.6 million, a decrease in our ASC 740-10 contingent liability of $0.3 million offset by an increase in forecasted state tax expense of $0.1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that our existing cash, cash equivalents and our anticipated cash flows from operations will be sufficient to meet our working capital, expenditure, and contractual obligation requirements for a minimum of the next 12 months and the foreseeable future. Although we believe we have adequate sources of liquidity for at least the next 12 months and for the foreseeable future, the success of our operations, the global economic outlook, and the pace of growth in our markets could impact our business and liquidity.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spacing w:after="0"/>
              <w:rPr>
                <w:sz w:val="20"/>
                <w:szCs w:val="20"/>
                <w:color w:val="auto"/>
              </w:rPr>
            </w:pPr>
            <w:r>
              <w:rPr>
                <w:rFonts w:ascii="Arial" w:cs="Arial" w:eastAsia="Arial" w:hAnsi="Arial"/>
                <w:sz w:val="16"/>
                <w:szCs w:val="16"/>
                <w:i w:val="1"/>
                <w:iCs w:val="1"/>
                <w:color w:val="auto"/>
              </w:rPr>
              <w:t>Cash, Cash Equivalents, and Investments</w:t>
            </w: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38"/>
        </w:trPr>
        <w:tc>
          <w:tcPr>
            <w:tcW w:w="6780" w:type="dxa"/>
            <w:vAlign w:val="bottom"/>
          </w:tcPr>
          <w:p>
            <w:pPr>
              <w:spacing w:after="0"/>
              <w:rPr>
                <w:sz w:val="20"/>
                <w:szCs w:val="20"/>
                <w:color w:val="auto"/>
              </w:rPr>
            </w:pPr>
            <w:r>
              <w:rPr>
                <w:rFonts w:ascii="Arial" w:cs="Arial" w:eastAsia="Arial" w:hAnsi="Arial"/>
                <w:sz w:val="16"/>
                <w:szCs w:val="16"/>
                <w:color w:val="auto"/>
              </w:rPr>
              <w:t>The following is a summary of our cash and cash equivalents and investments:</w:t>
            </w: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80"/>
        </w:trPr>
        <w:tc>
          <w:tcPr>
            <w:tcW w:w="67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4"/>
                <w:szCs w:val="24"/>
                <w:color w:val="auto"/>
              </w:rPr>
            </w:pPr>
          </w:p>
        </w:tc>
        <w:tc>
          <w:tcPr>
            <w:tcW w:w="196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2024</w:t>
            </w:r>
          </w:p>
        </w:tc>
        <w:tc>
          <w:tcPr>
            <w:tcW w:w="300" w:type="dxa"/>
            <w:vAlign w:val="bottom"/>
          </w:tcPr>
          <w:p>
            <w:pPr>
              <w:spacing w:after="0"/>
              <w:rPr>
                <w:sz w:val="24"/>
                <w:szCs w:val="24"/>
                <w:color w:val="auto"/>
              </w:rPr>
            </w:pPr>
          </w:p>
        </w:tc>
        <w:tc>
          <w:tcPr>
            <w:tcW w:w="1880" w:type="dxa"/>
            <w:vAlign w:val="bottom"/>
          </w:tcPr>
          <w:p>
            <w:pPr>
              <w:jc w:val="right"/>
              <w:ind w:right="439"/>
              <w:spacing w:after="0"/>
              <w:rPr>
                <w:sz w:val="20"/>
                <w:szCs w:val="20"/>
                <w:color w:val="auto"/>
              </w:rPr>
            </w:pPr>
            <w:r>
              <w:rPr>
                <w:rFonts w:ascii="Arial" w:cs="Arial" w:eastAsia="Arial" w:hAnsi="Arial"/>
                <w:sz w:val="16"/>
                <w:szCs w:val="16"/>
                <w:b w:val="1"/>
                <w:bCs w:val="1"/>
                <w:color w:val="auto"/>
              </w:rPr>
              <w:t>March 31, 2024</w:t>
            </w: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130,764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116,262</w:t>
            </w:r>
          </w:p>
        </w:tc>
      </w:tr>
      <w:tr>
        <w:trPr>
          <w:trHeight w:val="216"/>
        </w:trPr>
        <w:tc>
          <w:tcPr>
            <w:tcW w:w="6780" w:type="dxa"/>
            <w:vAlign w:val="bottom"/>
          </w:tcPr>
          <w:p>
            <w:pPr>
              <w:ind w:left="20"/>
              <w:spacing w:after="0" w:line="216" w:lineRule="exact"/>
              <w:rPr>
                <w:sz w:val="20"/>
                <w:szCs w:val="20"/>
                <w:color w:val="auto"/>
              </w:rPr>
            </w:pPr>
            <w:r>
              <w:rPr>
                <w:rFonts w:ascii="Arial" w:cs="Arial" w:eastAsia="Arial" w:hAnsi="Arial"/>
                <w:sz w:val="16"/>
                <w:szCs w:val="16"/>
                <w:color w:val="auto"/>
              </w:rPr>
              <w:t>Restricted cash, current</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3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216"/>
        </w:trPr>
        <w:tc>
          <w:tcPr>
            <w:tcW w:w="6780" w:type="dxa"/>
            <w:vAlign w:val="bottom"/>
          </w:tcPr>
          <w:p>
            <w:pPr>
              <w:ind w:left="20"/>
              <w:spacing w:after="0" w:line="216" w:lineRule="exact"/>
              <w:rPr>
                <w:sz w:val="20"/>
                <w:szCs w:val="20"/>
                <w:color w:val="auto"/>
              </w:rPr>
            </w:pPr>
            <w:r>
              <w:rPr>
                <w:rFonts w:ascii="Arial" w:cs="Arial" w:eastAsia="Arial" w:hAnsi="Arial"/>
                <w:sz w:val="16"/>
                <w:szCs w:val="16"/>
                <w:color w:val="auto"/>
              </w:rPr>
              <w:t>Restricted cash, non-current</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34"/>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117,771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(1) Restricted cash supports letters of credit securing leases for office facilities and certain equipment for the same periods.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primary requirements for liquidity and capital are working capital needs due to delivery of our various products to customers, research and development, sales and marketing activities, principal and interest payments on our outstanding debt and other general corporate needs. Historically, these cash requirements have been met from cash provided by operating activities and our cash and cash equivalents balances. Our current capital deployment strategy for fiscal 2025 is to use excess cash on hand to support our continued growth initiatives into select markets and planned software development activities and pay down our debt. As of June 30, 2024, we are not party to any off-balance sheet arrangements that have had or are reasonably likely to have a current or future material effect on our financial condition, results of operations, liquidity, capital expenditures, or capital resources. Significant cash requirements for the fiscal year include our operating lease obligations, interest payments related to our debt obligations, and operating and capital purchase commitments. For information regarding our expected cash requirements and timing of payments related to leases and noncancellable purchase commitments, see Note 6, Leases, and Note 7, Commitments and Contingencies, respectively, to the consolidated financial statements in our Form 10-K. Additionally, see Note 8, Convertible Senior Notes and Term Loan, to the consolidated financial statements in our Form 10-K for more information related to our debt obligations and applicable covenants.</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aware that our outstanding debt securities are currently trading at substantial discounts to their respective principal amounts. In order to reduce future cash interest payments, as well as future amounts due at maturity or upon redemption, we may, from time to time, seek to retire or purchase our outstanding debt through open-market purchases, privately negotiated transactions or otherwise. Any such transactions will be dependent upon several factors, including our liquidity requirements, contractual restrictions, prevailing market conditions, and other factors. Whether or not we engage in any such transactions will be determined at our discretion. The amounts involved may be material.</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cash flows provided by (used in) operating, investing and financing activities: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Three Months Ended June 30,</w:t>
            </w:r>
          </w:p>
        </w:tc>
      </w:tr>
      <w:tr>
        <w:trPr>
          <w:trHeight w:val="21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2023</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26,473</w:t>
            </w:r>
          </w:p>
        </w:tc>
      </w:tr>
      <w:tr>
        <w:trPr>
          <w:trHeight w:val="215"/>
        </w:trPr>
        <w:tc>
          <w:tcPr>
            <w:tcW w:w="678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6,792</w:t>
            </w: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1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w:t>
            </w:r>
          </w:p>
        </w:tc>
      </w:tr>
      <w:tr>
        <w:trPr>
          <w:trHeight w:val="23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Cash provided by operating activities decreased by $8.3 million to $18.1 million for the three months ended June 30, 2024, mainly due to a decrease in cash received from customers, partially offset by a decrease in cash paid to suppliers and employees along with a decrease in cash paid for sales commission costs. Cash used in investing activities decreased $9.9 million to $3.1 million for the three months ended June 30, 2024, mainly due to decreases in the purchases, sales, and maturities of investments. Cash used in financing activities decreased by $24.6 million to $0.4 million for the three months ended June 30, 2024, due to principal repayments of $25.0 million on the term loan in the prior year comparable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Obligations</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See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in the unaudited condensed consolidated financial statements included elsewhere in this Quarterly Report for information regarding our debt obligations.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Delayed Draw Term Loan</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11, 2024, we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 million maturing on August 15, 2027.</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Loans made under the 2024 Credit Agreement will bear interest at an annual rate equal to term Standard Overnight Financing Rate ("Term SOFR"), plus a margin of either 2.50%, 2.75% or 3.00% based on the consolidated total net leverage ratio of the Company and its subsidiaries. The initial margin will be 3.00% for the fiscal quarter ending September 30, 2024. Once fully drawn upon, the annual principal repayments of $22.5 million in fiscal year 2025, $37.5 million in fiscal year 2026, and $47.5 million in fiscal year 2027 are required, and the remaining $92.5 million principal is due before or upon maturity in fiscal 2028. These annualized repayments will be made in quarterly installments.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Delayed Draw Term Loan Drawdown and 2022 Term Loan Extinguishment</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The funding of loans under the 2024 Credit Agreement occurred on August 5, 2024. The Company used the proceeds, plus $29 million from existing cash balances, to fund the prepayment of the entire $225 million principal outstanding plus accrued interest and fees under the Term Loan Credit Agreement, dated as of August 3, 2022, by and among the Company, Wilmington Savings Fund Society, FSB, as administrative agent, and certain affiliates of Francisco Partners as lenders (the “2022 Credit Agreement”) and terminated the 2022 Credit Agreement. The Company previously used the proceeds from the 2022 Credit Agreement to fund the cash portion of an exchange of the Company's approximately $403.8 million principal amount of 0.50% convertible senior notes due 2024 for cash plus approximately $201.9 million of 4.00% convertible senior notes due 2028, and the concurrent repurchase of approximately $60.0 million of the Company's common stock with the counterparties to such exchange. Loans made under the 2022 Credit Agreement bore interest at an annual rate equal to the Term SOFR, subject to a floor of 1.00% and a credit spread adjustment of 0.10%), plus a margin of 6.50%. See Note </w:t>
      </w:r>
      <w:r>
        <w:rPr>
          <w:rFonts w:ascii="Arial" w:cs="Arial" w:eastAsia="Arial" w:hAnsi="Arial"/>
          <w:sz w:val="16"/>
          <w:szCs w:val="16"/>
          <w:color w:val="0000FF"/>
        </w:rPr>
        <w:t>14</w:t>
      </w:r>
      <w:r>
        <w:rPr>
          <w:rFonts w:ascii="Arial" w:cs="Arial" w:eastAsia="Arial" w:hAnsi="Arial"/>
          <w:sz w:val="16"/>
          <w:szCs w:val="16"/>
          <w:color w:val="auto"/>
        </w:rPr>
        <w:t xml:space="preserve">, Subsequent Events and Note </w:t>
      </w:r>
      <w:r>
        <w:rPr>
          <w:rFonts w:ascii="Arial" w:cs="Arial" w:eastAsia="Arial" w:hAnsi="Arial"/>
          <w:sz w:val="16"/>
          <w:szCs w:val="16"/>
          <w:color w:val="0000FF"/>
        </w:rPr>
        <w:t>8</w:t>
      </w:r>
      <w:r>
        <w:rPr>
          <w:rFonts w:ascii="Arial" w:cs="Arial" w:eastAsia="Arial" w:hAnsi="Arial"/>
          <w:sz w:val="16"/>
          <w:szCs w:val="16"/>
          <w:color w:val="auto"/>
        </w:rPr>
        <w:t>, Convertible Senior Notes and Term Loan to our condensed consolidated financial statements for details.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Material Cash Requirements and Other Obligations</w:t>
      </w:r>
    </w:p>
    <w:p>
      <w:pPr>
        <w:spacing w:after="0" w:line="1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March 31, 2024, our material cash requirements and other obligations were $690.1 million. During the three months ended June 30, 2024, there have been no material changes to our material cash requirements outside of the normal course of our business. For information regarding our material cash requirements and other obligations, see Item 7, "Management's Discussion and Analysis", in our fiscal year 2024 Form 10-K.</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Our consolidated financial statements are prepared in accordance with U.S. generally accepted accounting principles ("U.S. GAAP"). See Note </w:t>
      </w:r>
      <w:r>
        <w:rPr>
          <w:rFonts w:ascii="Arial" w:cs="Arial" w:eastAsia="Arial" w:hAnsi="Arial"/>
          <w:sz w:val="16"/>
          <w:szCs w:val="16"/>
          <w:color w:val="0000FF"/>
        </w:rPr>
        <w:t>1</w:t>
      </w:r>
      <w:r>
        <w:rPr>
          <w:rFonts w:ascii="Arial" w:cs="Arial" w:eastAsia="Arial" w:hAnsi="Arial"/>
          <w:sz w:val="16"/>
          <w:szCs w:val="16"/>
          <w:color w:val="auto"/>
        </w:rPr>
        <w:t>, The Company and Significant Accounting Policies, in the notes to the unaudited condensed consolidated financial statements included in this Quarterly Report, which describes the significant accounting policies and methods used in the preparation of our consolidated financial statements. There have been no significant changes during the three months ended June 30, 2024 to our critical accounting policies and estimates previously disclosed in our Form 10-K.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There have been no material changes in our exposures to market risk since March 31, 2024. For details on the Company’s interest rate and foreign currency exchange risks, see Part I, Item 7A. “Quantitative and Qualitative Information About Market Risks” in our Form 10-K.</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Exchange Act, as of June 30, 2024. Based on such evaluation, our Chief Executive Officer and Chief Financial Officer have concluded that, as of June 30, 2024, our disclosure controls and procedures were effective at a reasonable assurance level.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months ended June 30, 2024, there was no change in our internal control over financial reporting that has materially affected, or is reasonably likely to materially affect, our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management, including the Chief Executive Officer and Chief Financial Officer, does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Information with respect to this item may be found in Note </w:t>
      </w:r>
      <w:r>
        <w:rPr>
          <w:rFonts w:ascii="Arial" w:cs="Arial" w:eastAsia="Arial" w:hAnsi="Arial"/>
          <w:sz w:val="16"/>
          <w:szCs w:val="16"/>
          <w:color w:val="0000FF"/>
        </w:rPr>
        <w:t>7</w:t>
      </w:r>
      <w:r>
        <w:rPr>
          <w:rFonts w:ascii="Arial" w:cs="Arial" w:eastAsia="Arial" w:hAnsi="Arial"/>
          <w:sz w:val="16"/>
          <w:szCs w:val="16"/>
          <w:color w:val="auto"/>
        </w:rPr>
        <w:t xml:space="preserve">,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under the heading “Legal Proceedings” in the Notes to Unaudited Condensed Consolidated Financial Statements included in this Quarterly Report is incorporated by reference in response to this item.</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Investing in our securities involves risk. Prior to making a decision about investing in our securities, you should carefully consider the specific factors discussed below and under the heading “Risk Factors” in any prospectus supplement, together with all of the other information contained or incorporated by reference in this Quarterly Report. You should also consider the risk factors related to our business and operations described in Part I, Item 1A of the Form 10-K under the heading “Risk Factors,” which are incorporated by reference in this Quarterly Report. Additional risks and uncertainties not presently known to us or that we currently deem immaterial may also affect our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 substantial amount of indebtedness, which could have important consequences to our business.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have a substantial amount of indebtedness. On August 11, 2022, we issued approximately $201.9 million aggregate principal amount of 4.00% convertible senior notes due February 1, 2028 (the “2028 Notes”), which bear interest at a rate of 4.00% per annum, payable semi-annually in arrears on February 1 and August 1 of each year, commencing on February 1, 2023, and will mature on February 1, 2028, unless earlier converted, redeemed or repurchased, pursuant to the indenture for the 2028 Notes. On August 5, 2024, we borrowed $200.0 million under a delayed draw term loan facility (the “2024 Term Loan”) under a Credit Agreement entered into on July 11, 2024 (the “2024 Credit Agreement”). The delayed draw term loan facility will mature on August 15, 2027 and initially bear interest at an annual rate equal to term Standard Overnight Financing Rate, plus a margin of either 2.50%, 2.75% or 3.00% based on our and our subsidiaries’ consolidated total net leverage ratio.</w:t>
      </w:r>
    </w:p>
    <w:p>
      <w:pPr>
        <w:spacing w:after="0" w:line="10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substantial indebtedness could have important consequences that could have a material adverse effect on our business, financial condition and results of operations, including the following:</w:t>
      </w:r>
    </w:p>
    <w:p>
      <w:pPr>
        <w:spacing w:after="0" w:line="74" w:lineRule="exact"/>
        <w:rPr>
          <w:sz w:val="20"/>
          <w:szCs w:val="20"/>
          <w:color w:val="auto"/>
        </w:rPr>
      </w:pPr>
    </w:p>
    <w:p>
      <w:pPr>
        <w:jc w:val="both"/>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requiring us to comply with restrictive covenants in our senior secured debt facility, which limits the manner in which we conduct our business, and which obligations under the 2024 Credit Agreement are guaranteed by our wholly-owned subsidiaries. For example, our 2024 Credit Agreement contains a consolidated interest coverage ratio financial covenant, a maximum consolidated total net leverage ratio financial covenant and a maximum consolidated secured leverage ratio financial covenant and contains affirmative and negative covenants customary for transactions of this type, including limitations with respect to share repurchases, indebtedness, liens, investments, dividends, disposition of assets, change in business, and transactions with affiliates;</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w:t>
      </w:r>
    </w:p>
    <w:p>
      <w:pPr>
        <w:spacing w:after="0" w:line="5"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service payments on our debt, which reduces the funds available for working capital, capital expenditures, acquisitions and other general corporate purposes;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the industry in which we operate;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placing us at a competitive disadvantage compared to any of our less-leveraged competitors;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our vulnerability to both general and industry-specific adverse economic conditions;</w:t>
      </w:r>
    </w:p>
    <w:p>
      <w:pPr>
        <w:spacing w:after="0" w:line="5" w:lineRule="exact"/>
        <w:rPr>
          <w:rFonts w:ascii="Arial" w:cs="Arial" w:eastAsia="Arial" w:hAnsi="Arial"/>
          <w:sz w:val="16"/>
          <w:szCs w:val="16"/>
          <w:color w:val="auto"/>
        </w:rPr>
      </w:pPr>
    </w:p>
    <w:p>
      <w:pPr>
        <w:ind w:left="660" w:right="20" w:hanging="328"/>
        <w:spacing w:after="0" w:line="25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potentially complicating our ability to refinance our debt under favorable conditions, or at all, which could further restrict our operational flexibility and increase our financing costs;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our vulnerability to fluctuations in interest rates, particularly for any variable-rate debt; and</w:t>
      </w:r>
    </w:p>
    <w:p>
      <w:pPr>
        <w:spacing w:after="0" w:line="14" w:lineRule="exact"/>
        <w:rPr>
          <w:rFonts w:ascii="Arial" w:cs="Arial" w:eastAsia="Arial" w:hAnsi="Arial"/>
          <w:sz w:val="16"/>
          <w:szCs w:val="16"/>
          <w:color w:val="auto"/>
        </w:rPr>
      </w:pPr>
    </w:p>
    <w:p>
      <w:pPr>
        <w:ind w:left="660" w:hanging="328"/>
        <w:spacing w:after="0" w:line="27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limiting our ability to obtain additional debt or equity financing to fund future working capital, capital expenditures, acquisitions or other general corporate requirements and increasing our cost of borrowing.</w:t>
      </w:r>
    </w:p>
    <w:p>
      <w:pPr>
        <w:spacing w:after="0" w:line="10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Servicing our debt, including the paying down of principal, requires the use of cash and liquidity of our clearing, cash management and custodial financial institutions, and we may not have sufficient cash flow from our business to pay down our debt.</w:t>
      </w:r>
    </w:p>
    <w:p>
      <w:pPr>
        <w:spacing w:after="0" w:line="7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June 30, 2024, we currently have approximately $201.9 million aggregate principal amount of the 2028 Notes outstanding, and as of August 5, 2024, we currently have approximately $200.0 million aggregate principal amount of the 2024 Term Loan outstanding.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ability to make scheduled payments of the principal of, pay interest on, or refinance our indebtedness, including the amounts payable under the 2028 Notes and the 2024 Term Loan, depends on our future performance, which is subject to economic, financial, competitive, and other factors beyond our control, such as recent and potential future disruptions in access to bank deposits or lending commitments due to bank failure, as well as in the event of sustained deterioration in the liquidity, or failure, of our clearing, cash management and custodial financial institutions. The volatility of the global economy, changes in the credit market conditions, and fluctuations in interest rates could further complicate our ability to refinance our debt. Our business may not continue to generate cash flow from operations in the future sufficient to service our debt, including paying off the principal when due, and make necessary capital expenditures. Our notes are currently significantly out of the money, and our stock price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would have to increase significantly for our notes to convert prior to maturity.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also face heightened regulatory scrutiny or changes in financial regulation which could impact our refinancing options. We may not be able to engage in any of these activities or engage in these activities on desirable terms, which could result in a default on our debt obligations.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54"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None.</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None.</w:t>
      </w:r>
    </w:p>
    <w:p>
      <w:pPr>
        <w:spacing w:after="0" w:line="126" w:lineRule="exact"/>
        <w:rPr>
          <w:rFonts w:ascii="Arial" w:cs="Arial" w:eastAsia="Arial" w:hAnsi="Arial"/>
          <w:sz w:val="16"/>
          <w:szCs w:val="16"/>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13"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None of our directors or officers (as defined in Rule 16a-1(f) under the Exchange Act) adopted or terminated a Rule 10b5-1 trading arrangement or a non-Rule 10b5-1 trading arrangement (as defined in Item 408(c) of Regulation S-K) during the quarterly period covered by this Quarterly Report.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3300" w:type="dxa"/>
            <w:vAlign w:val="bottom"/>
            <w:tcBorders>
              <w:top w:val="single" w:sz="8" w:color="auto"/>
              <w:bottom w:val="single" w:sz="8" w:color="auto"/>
              <w:right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Incorporated by Reference</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Exhibit Number</w:t>
            </w:r>
          </w:p>
        </w:tc>
        <w:tc>
          <w:tcPr>
            <w:tcW w:w="280" w:type="dxa"/>
            <w:vAlign w:val="bottom"/>
            <w:tcBorders>
              <w:bottom w:val="single" w:sz="8" w:color="auto"/>
            </w:tcBorders>
          </w:tcPr>
          <w:p>
            <w:pPr>
              <w:spacing w:after="0"/>
              <w:rPr>
                <w:sz w:val="14"/>
                <w:szCs w:val="14"/>
                <w:color w:val="auto"/>
              </w:rPr>
            </w:pPr>
          </w:p>
        </w:tc>
        <w:tc>
          <w:tcPr>
            <w:tcW w:w="5500" w:type="dxa"/>
            <w:vAlign w:val="bottom"/>
            <w:tcBorders>
              <w:bottom w:val="single" w:sz="8" w:color="auto"/>
              <w:right w:val="single" w:sz="8" w:color="auto"/>
            </w:tcBorders>
            <w:gridSpan w:val="8"/>
          </w:tcPr>
          <w:p>
            <w:pPr>
              <w:ind w:left="2020"/>
              <w:spacing w:after="0"/>
              <w:rPr>
                <w:sz w:val="20"/>
                <w:szCs w:val="20"/>
                <w:color w:val="auto"/>
              </w:rPr>
            </w:pPr>
            <w:r>
              <w:rPr>
                <w:rFonts w:ascii="Arial" w:cs="Arial" w:eastAsia="Arial" w:hAnsi="Arial"/>
                <w:sz w:val="13"/>
                <w:szCs w:val="13"/>
                <w:b w:val="1"/>
                <w:bCs w:val="1"/>
                <w:color w:val="auto"/>
              </w:rPr>
              <w:t>Exhibit Description</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Company Form</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Filing Date</w:t>
            </w:r>
          </w:p>
        </w:tc>
        <w:tc>
          <w:tcPr>
            <w:tcW w:w="1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Exhibit Number</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Filed Herewith</w:t>
            </w:r>
          </w:p>
        </w:tc>
        <w:tc>
          <w:tcPr>
            <w:tcW w:w="0" w:type="dxa"/>
            <w:vAlign w:val="bottom"/>
          </w:tcPr>
          <w:p>
            <w:pPr>
              <w:spacing w:after="0"/>
              <w:rPr>
                <w:sz w:val="1"/>
                <w:szCs w:val="1"/>
                <w:color w:val="auto"/>
              </w:rPr>
            </w:pPr>
          </w:p>
        </w:tc>
      </w:tr>
      <w:tr>
        <w:trPr>
          <w:trHeight w:val="130"/>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88"/>
              </w:rPr>
              <w:t>3.1</w:t>
            </w:r>
          </w:p>
        </w:tc>
        <w:tc>
          <w:tcPr>
            <w:tcW w:w="5780" w:type="dxa"/>
            <w:vAlign w:val="bottom"/>
            <w:gridSpan w:val="9"/>
          </w:tcPr>
          <w:p>
            <w:pPr>
              <w:spacing w:after="0" w:line="131" w:lineRule="exact"/>
              <w:rPr>
                <w:rFonts w:ascii="Arial" w:cs="Arial" w:eastAsia="Arial" w:hAnsi="Arial"/>
                <w:sz w:val="13"/>
                <w:szCs w:val="13"/>
                <w:color w:val="0000FF"/>
              </w:rPr>
            </w:pPr>
            <w:hyperlink r:id="rId47">
              <w:r>
                <w:rPr>
                  <w:rFonts w:ascii="Arial" w:cs="Arial" w:eastAsia="Arial" w:hAnsi="Arial"/>
                  <w:sz w:val="13"/>
                  <w:szCs w:val="13"/>
                  <w:color w:val="0000FF"/>
                </w:rPr>
                <w:t>Certificate of Amendment to the Restated Certificate of Incorporation of Registrant, dated July 12,</w:t>
              </w:r>
            </w:hyperlink>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6"/>
              </w:rPr>
              <w:t>7/13/2022</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9"/>
              </w:rPr>
              <w:t>3.1</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28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w w:val="89"/>
              </w:rPr>
            </w:pPr>
            <w:hyperlink r:id="rId47">
              <w:r>
                <w:rPr>
                  <w:rFonts w:ascii="Arial" w:cs="Arial" w:eastAsia="Arial" w:hAnsi="Arial"/>
                  <w:sz w:val="13"/>
                  <w:szCs w:val="13"/>
                  <w:color w:val="0000FF"/>
                  <w:w w:val="89"/>
                </w:rPr>
                <w:t>2022</w:t>
              </w:r>
            </w:hyperlink>
          </w:p>
        </w:tc>
        <w:tc>
          <w:tcPr>
            <w:tcW w:w="220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40" w:type="dxa"/>
            <w:vAlign w:val="bottom"/>
          </w:tcPr>
          <w:p>
            <w:pPr>
              <w:jc w:val="center"/>
              <w:spacing w:after="0"/>
              <w:rPr>
                <w:sz w:val="20"/>
                <w:szCs w:val="20"/>
                <w:color w:val="auto"/>
              </w:rPr>
            </w:pPr>
            <w:r>
              <w:rPr>
                <w:rFonts w:ascii="Arial" w:cs="Arial" w:eastAsia="Arial" w:hAnsi="Arial"/>
                <w:sz w:val="13"/>
                <w:szCs w:val="13"/>
                <w:color w:val="auto"/>
                <w:w w:val="88"/>
              </w:rPr>
              <w:t>3.2</w:t>
            </w:r>
          </w:p>
        </w:tc>
        <w:tc>
          <w:tcPr>
            <w:tcW w:w="5780" w:type="dxa"/>
            <w:vAlign w:val="bottom"/>
            <w:gridSpan w:val="9"/>
          </w:tcPr>
          <w:p>
            <w:pPr>
              <w:spacing w:after="0"/>
              <w:rPr>
                <w:rFonts w:ascii="Arial" w:cs="Arial" w:eastAsia="Arial" w:hAnsi="Arial"/>
                <w:sz w:val="13"/>
                <w:szCs w:val="13"/>
                <w:color w:val="0000FF"/>
              </w:rPr>
            </w:pPr>
            <w:hyperlink r:id="rId48">
              <w:r>
                <w:rPr>
                  <w:rFonts w:ascii="Arial" w:cs="Arial" w:eastAsia="Arial" w:hAnsi="Arial"/>
                  <w:sz w:val="13"/>
                  <w:szCs w:val="13"/>
                  <w:color w:val="0000FF"/>
                </w:rPr>
                <w:t>Amended and Restated By-Laws of 8x8, Inc.</w:t>
              </w:r>
            </w:hyperlink>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7/28/2015</w:t>
            </w:r>
          </w:p>
        </w:tc>
        <w:tc>
          <w:tcPr>
            <w:tcW w:w="1140" w:type="dxa"/>
            <w:vAlign w:val="bottom"/>
          </w:tcPr>
          <w:p>
            <w:pPr>
              <w:jc w:val="center"/>
              <w:spacing w:after="0"/>
              <w:rPr>
                <w:sz w:val="20"/>
                <w:szCs w:val="20"/>
                <w:color w:val="auto"/>
              </w:rPr>
            </w:pPr>
            <w:r>
              <w:rPr>
                <w:rFonts w:ascii="Arial" w:cs="Arial" w:eastAsia="Arial" w:hAnsi="Arial"/>
                <w:sz w:val="13"/>
                <w:szCs w:val="13"/>
                <w:color w:val="auto"/>
                <w:w w:val="99"/>
              </w:rPr>
              <w:t>3.2</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10.1</w:t>
            </w:r>
          </w:p>
        </w:tc>
        <w:tc>
          <w:tcPr>
            <w:tcW w:w="5720" w:type="dxa"/>
            <w:vAlign w:val="bottom"/>
            <w:tcBorders>
              <w:bottom w:val="single" w:sz="8" w:color="0000FF"/>
            </w:tcBorders>
            <w:gridSpan w:val="7"/>
          </w:tcPr>
          <w:p>
            <w:pPr>
              <w:spacing w:after="0"/>
              <w:rPr>
                <w:rFonts w:ascii="Arial" w:cs="Arial" w:eastAsia="Arial" w:hAnsi="Arial"/>
                <w:sz w:val="13"/>
                <w:szCs w:val="13"/>
                <w:color w:val="0000FF"/>
                <w:w w:val="98"/>
              </w:rPr>
            </w:pPr>
            <w:hyperlink r:id="rId49">
              <w:r>
                <w:rPr>
                  <w:rFonts w:ascii="Arial" w:cs="Arial" w:eastAsia="Arial" w:hAnsi="Arial"/>
                  <w:sz w:val="13"/>
                  <w:szCs w:val="13"/>
                  <w:color w:val="0000FF"/>
                  <w:w w:val="98"/>
                </w:rPr>
                <w:t>Term Loan Credit Agreement, dated as of July 11, 2024, by and among 8x8, Inc., Wells Fargo Bank,</w:t>
              </w:r>
            </w:hyperlink>
          </w:p>
        </w:tc>
        <w:tc>
          <w:tcPr>
            <w:tcW w:w="60" w:type="dxa"/>
            <w:vAlign w:val="bottom"/>
            <w:gridSpan w:val="2"/>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8"/>
              </w:rPr>
              <w:t>8-K</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w w:val="96"/>
              </w:rPr>
              <w:t>7/15/2024</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10.1</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5780" w:type="dxa"/>
            <w:vAlign w:val="bottom"/>
            <w:gridSpan w:val="9"/>
          </w:tcPr>
          <w:p>
            <w:pPr>
              <w:spacing w:after="0" w:line="115" w:lineRule="exact"/>
              <w:rPr>
                <w:rFonts w:ascii="Arial" w:cs="Arial" w:eastAsia="Arial" w:hAnsi="Arial"/>
                <w:sz w:val="13"/>
                <w:szCs w:val="13"/>
                <w:color w:val="0000FF"/>
              </w:rPr>
            </w:pPr>
            <w:hyperlink r:id="rId49">
              <w:r>
                <w:rPr>
                  <w:rFonts w:ascii="Arial" w:cs="Arial" w:eastAsia="Arial" w:hAnsi="Arial"/>
                  <w:sz w:val="13"/>
                  <w:szCs w:val="13"/>
                  <w:color w:val="0000FF"/>
                </w:rPr>
                <w:t>National Association, as administrative agent, and the lenders party thereto</w:t>
              </w:r>
              <w:r>
                <w:rPr>
                  <w:rFonts w:ascii="Arial" w:cs="Arial" w:eastAsia="Arial" w:hAnsi="Arial"/>
                  <w:sz w:val="13"/>
                  <w:szCs w:val="13"/>
                  <w:color w:val="000000"/>
                </w:rPr>
                <w:t>.</w:t>
              </w:r>
            </w:hyperlink>
          </w:p>
        </w:tc>
        <w:tc>
          <w:tcPr>
            <w:tcW w:w="10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jc w:val="center"/>
              <w:spacing w:after="0"/>
              <w:rPr>
                <w:sz w:val="20"/>
                <w:szCs w:val="20"/>
                <w:color w:val="auto"/>
              </w:rPr>
            </w:pPr>
            <w:r>
              <w:rPr>
                <w:rFonts w:ascii="Arial" w:cs="Arial" w:eastAsia="Arial" w:hAnsi="Arial"/>
                <w:sz w:val="13"/>
                <w:szCs w:val="13"/>
                <w:color w:val="auto"/>
                <w:w w:val="94"/>
              </w:rPr>
              <w:t>31.1</w:t>
            </w:r>
          </w:p>
        </w:tc>
        <w:tc>
          <w:tcPr>
            <w:tcW w:w="446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6"/>
              </w:rPr>
              <w:t>Certification of Chief Executive Officer of the Registrant pursuant to Rule 13a-14</w:t>
            </w:r>
          </w:p>
        </w:tc>
        <w:tc>
          <w:tcPr>
            <w:tcW w:w="1320" w:type="dxa"/>
            <w:vAlign w:val="bottom"/>
            <w:gridSpan w:val="3"/>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56"/>
        </w:trPr>
        <w:tc>
          <w:tcPr>
            <w:tcW w:w="1140" w:type="dxa"/>
            <w:vAlign w:val="bottom"/>
          </w:tcPr>
          <w:p>
            <w:pPr>
              <w:jc w:val="center"/>
              <w:spacing w:after="0"/>
              <w:rPr>
                <w:sz w:val="20"/>
                <w:szCs w:val="20"/>
                <w:color w:val="auto"/>
              </w:rPr>
            </w:pPr>
            <w:r>
              <w:rPr>
                <w:rFonts w:ascii="Arial" w:cs="Arial" w:eastAsia="Arial" w:hAnsi="Arial"/>
                <w:sz w:val="13"/>
                <w:szCs w:val="13"/>
                <w:color w:val="auto"/>
                <w:w w:val="94"/>
              </w:rPr>
              <w:t>31.2</w:t>
            </w:r>
          </w:p>
        </w:tc>
        <w:tc>
          <w:tcPr>
            <w:tcW w:w="442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6"/>
              </w:rPr>
              <w:t>Certification of Chief Financial Officer of the Registrant pursuant to Rule 13a-14</w:t>
            </w:r>
          </w:p>
        </w:tc>
        <w:tc>
          <w:tcPr>
            <w:tcW w:w="1360" w:type="dxa"/>
            <w:vAlign w:val="bottom"/>
            <w:gridSpan w:val="4"/>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55"/>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32.1</w:t>
            </w:r>
          </w:p>
        </w:tc>
        <w:tc>
          <w:tcPr>
            <w:tcW w:w="5780" w:type="dxa"/>
            <w:vAlign w:val="bottom"/>
            <w:gridSpan w:val="9"/>
          </w:tcPr>
          <w:p>
            <w:pPr>
              <w:spacing w:after="0"/>
              <w:rPr>
                <w:sz w:val="20"/>
                <w:szCs w:val="20"/>
                <w:color w:val="auto"/>
              </w:rPr>
            </w:pPr>
            <w:r>
              <w:rPr>
                <w:rFonts w:ascii="Arial" w:cs="Arial" w:eastAsia="Arial" w:hAnsi="Arial"/>
                <w:sz w:val="13"/>
                <w:szCs w:val="13"/>
                <w:color w:val="0000FF"/>
              </w:rPr>
              <w:t>Certification of Chief Executive Officer of the Registrant pursuant to 18 U.S.C. 1350, as adopted</w:t>
            </w: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5740" w:type="dxa"/>
            <w:vAlign w:val="bottom"/>
            <w:tcBorders>
              <w:top w:val="single" w:sz="8" w:color="0000FF"/>
            </w:tcBorders>
            <w:gridSpan w:val="8"/>
          </w:tcPr>
          <w:p>
            <w:pPr>
              <w:spacing w:after="0" w:line="115" w:lineRule="exact"/>
              <w:rPr>
                <w:sz w:val="20"/>
                <w:szCs w:val="20"/>
                <w:color w:val="auto"/>
              </w:rPr>
            </w:pPr>
            <w:r>
              <w:rPr>
                <w:rFonts w:ascii="Arial" w:cs="Arial" w:eastAsia="Arial" w:hAnsi="Arial"/>
                <w:sz w:val="13"/>
                <w:szCs w:val="13"/>
                <w:color w:val="0000FF"/>
              </w:rPr>
              <w:t>pursuant to Section 906 of the Sarbanes-Oxley Act of 2002</w:t>
            </w: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32.2</w:t>
            </w:r>
          </w:p>
        </w:tc>
        <w:tc>
          <w:tcPr>
            <w:tcW w:w="5780" w:type="dxa"/>
            <w:vAlign w:val="bottom"/>
            <w:gridSpan w:val="9"/>
          </w:tcPr>
          <w:p>
            <w:pPr>
              <w:spacing w:after="0"/>
              <w:rPr>
                <w:sz w:val="20"/>
                <w:szCs w:val="20"/>
                <w:color w:val="auto"/>
              </w:rPr>
            </w:pPr>
            <w:r>
              <w:rPr>
                <w:rFonts w:ascii="Arial" w:cs="Arial" w:eastAsia="Arial" w:hAnsi="Arial"/>
                <w:sz w:val="13"/>
                <w:szCs w:val="13"/>
                <w:color w:val="0000FF"/>
              </w:rPr>
              <w:t>Certification of Chief Financial Officer of the Registrant pursuant to 18 U.S.C. 1350, as adopted</w:t>
            </w: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5720" w:type="dxa"/>
            <w:vAlign w:val="bottom"/>
            <w:tcBorders>
              <w:top w:val="single" w:sz="8" w:color="0000FF"/>
            </w:tcBorders>
            <w:gridSpan w:val="7"/>
          </w:tcPr>
          <w:p>
            <w:pPr>
              <w:spacing w:after="0" w:line="115" w:lineRule="exact"/>
              <w:rPr>
                <w:sz w:val="20"/>
                <w:szCs w:val="20"/>
                <w:color w:val="auto"/>
              </w:rPr>
            </w:pPr>
            <w:r>
              <w:rPr>
                <w:rFonts w:ascii="Arial" w:cs="Arial" w:eastAsia="Arial" w:hAnsi="Arial"/>
                <w:sz w:val="13"/>
                <w:szCs w:val="13"/>
                <w:color w:val="0000FF"/>
              </w:rPr>
              <w:t>pursuant to Section 906 of the Sarbanes-Oxley Act of 2002</w:t>
            </w:r>
          </w:p>
        </w:tc>
        <w:tc>
          <w:tcPr>
            <w:tcW w:w="60" w:type="dxa"/>
            <w:vAlign w:val="bottom"/>
            <w:gridSpan w:val="2"/>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tcPr>
          <w:p>
            <w:pPr>
              <w:spacing w:after="0"/>
              <w:rPr>
                <w:sz w:val="13"/>
                <w:szCs w:val="13"/>
                <w:color w:val="auto"/>
              </w:rPr>
            </w:pPr>
          </w:p>
        </w:tc>
        <w:tc>
          <w:tcPr>
            <w:tcW w:w="5780" w:type="dxa"/>
            <w:vAlign w:val="bottom"/>
            <w:gridSpan w:val="9"/>
          </w:tcPr>
          <w:p>
            <w:pPr>
              <w:spacing w:after="0"/>
              <w:rPr>
                <w:sz w:val="20"/>
                <w:szCs w:val="20"/>
                <w:color w:val="auto"/>
              </w:rPr>
            </w:pPr>
            <w:r>
              <w:rPr>
                <w:rFonts w:ascii="Arial" w:cs="Arial" w:eastAsia="Arial" w:hAnsi="Arial"/>
                <w:sz w:val="13"/>
                <w:szCs w:val="13"/>
                <w:color w:val="auto"/>
              </w:rPr>
              <w:t>The following materials from 8x8, Inc.'s Quarterly Report on Form 10-Q for the three months ended</w:t>
            </w: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780" w:type="dxa"/>
            <w:vAlign w:val="bottom"/>
            <w:gridSpan w:val="9"/>
          </w:tcPr>
          <w:p>
            <w:pPr>
              <w:spacing w:after="0" w:line="126" w:lineRule="exact"/>
              <w:rPr>
                <w:sz w:val="20"/>
                <w:szCs w:val="20"/>
                <w:color w:val="auto"/>
              </w:rPr>
            </w:pPr>
            <w:r>
              <w:rPr>
                <w:rFonts w:ascii="Arial" w:cs="Arial" w:eastAsia="Arial" w:hAnsi="Arial"/>
                <w:sz w:val="13"/>
                <w:szCs w:val="13"/>
                <w:color w:val="auto"/>
                <w:w w:val="99"/>
              </w:rPr>
              <w:t>June 30, 2024, formatted in Inline XBRL: (i) Condensed Consolidated Balance Sheets as of June 30,</w:t>
            </w: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5780" w:type="dxa"/>
            <w:vAlign w:val="bottom"/>
            <w:gridSpan w:val="9"/>
          </w:tcPr>
          <w:p>
            <w:pPr>
              <w:spacing w:after="0" w:line="122" w:lineRule="exact"/>
              <w:rPr>
                <w:sz w:val="20"/>
                <w:szCs w:val="20"/>
                <w:color w:val="auto"/>
              </w:rPr>
            </w:pPr>
            <w:r>
              <w:rPr>
                <w:rFonts w:ascii="Arial" w:cs="Arial" w:eastAsia="Arial" w:hAnsi="Arial"/>
                <w:sz w:val="13"/>
                <w:szCs w:val="13"/>
                <w:color w:val="auto"/>
                <w:w w:val="97"/>
              </w:rPr>
              <w:t>2024 and March 31, 2024, (ii) Condensed Consolidated Statements of Operations for the three months</w:t>
            </w: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5780" w:type="dxa"/>
            <w:vAlign w:val="bottom"/>
            <w:gridSpan w:val="9"/>
          </w:tcPr>
          <w:p>
            <w:pPr>
              <w:spacing w:after="0" w:line="131" w:lineRule="exact"/>
              <w:rPr>
                <w:sz w:val="20"/>
                <w:szCs w:val="20"/>
                <w:color w:val="auto"/>
              </w:rPr>
            </w:pPr>
            <w:r>
              <w:rPr>
                <w:rFonts w:ascii="Arial" w:cs="Arial" w:eastAsia="Arial" w:hAnsi="Arial"/>
                <w:sz w:val="13"/>
                <w:szCs w:val="13"/>
                <w:color w:val="auto"/>
                <w:w w:val="98"/>
              </w:rPr>
              <w:t>ended June 30, 2024 and 2023, (iii) Condensed Consolidated Statements of Comprehensive Loss for</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780" w:type="dxa"/>
            <w:vAlign w:val="bottom"/>
            <w:gridSpan w:val="9"/>
          </w:tcPr>
          <w:p>
            <w:pPr>
              <w:spacing w:after="0" w:line="126" w:lineRule="exact"/>
              <w:rPr>
                <w:sz w:val="20"/>
                <w:szCs w:val="20"/>
                <w:color w:val="auto"/>
              </w:rPr>
            </w:pPr>
            <w:r>
              <w:rPr>
                <w:rFonts w:ascii="Arial" w:cs="Arial" w:eastAsia="Arial" w:hAnsi="Arial"/>
                <w:sz w:val="13"/>
                <w:szCs w:val="13"/>
                <w:color w:val="auto"/>
              </w:rPr>
              <w:t>the three months ended June 30, 2024 and 2023, (iv) Condensed Consolidated Statements of</w:t>
            </w: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5780" w:type="dxa"/>
            <w:vAlign w:val="bottom"/>
            <w:gridSpan w:val="9"/>
          </w:tcPr>
          <w:p>
            <w:pPr>
              <w:spacing w:after="0" w:line="122" w:lineRule="exact"/>
              <w:rPr>
                <w:sz w:val="20"/>
                <w:szCs w:val="20"/>
                <w:color w:val="auto"/>
              </w:rPr>
            </w:pPr>
            <w:r>
              <w:rPr>
                <w:rFonts w:ascii="Arial" w:cs="Arial" w:eastAsia="Arial" w:hAnsi="Arial"/>
                <w:sz w:val="13"/>
                <w:szCs w:val="13"/>
                <w:color w:val="auto"/>
                <w:w w:val="98"/>
              </w:rPr>
              <w:t>Stockholders’ Equity as of June 30, 2024 and 2023, (v) Condensed Consolidated Statements of Cash</w:t>
            </w: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5780" w:type="dxa"/>
            <w:vAlign w:val="bottom"/>
            <w:gridSpan w:val="9"/>
          </w:tcPr>
          <w:p>
            <w:pPr>
              <w:spacing w:after="0" w:line="131" w:lineRule="exact"/>
              <w:rPr>
                <w:sz w:val="20"/>
                <w:szCs w:val="20"/>
                <w:color w:val="auto"/>
              </w:rPr>
            </w:pPr>
            <w:r>
              <w:rPr>
                <w:rFonts w:ascii="Arial" w:cs="Arial" w:eastAsia="Arial" w:hAnsi="Arial"/>
                <w:sz w:val="13"/>
                <w:szCs w:val="13"/>
                <w:color w:val="auto"/>
                <w:w w:val="99"/>
              </w:rPr>
              <w:t>Flows for the three months ended June 30, 2024 and 2023, and (vi) Notes to Consolidated Financial</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140" w:type="dxa"/>
            <w:vAlign w:val="bottom"/>
          </w:tcPr>
          <w:p>
            <w:pPr>
              <w:jc w:val="center"/>
              <w:spacing w:after="0"/>
              <w:rPr>
                <w:sz w:val="20"/>
                <w:szCs w:val="20"/>
                <w:color w:val="auto"/>
              </w:rPr>
            </w:pPr>
            <w:r>
              <w:rPr>
                <w:rFonts w:ascii="Arial" w:cs="Arial" w:eastAsia="Arial" w:hAnsi="Arial"/>
                <w:sz w:val="13"/>
                <w:szCs w:val="13"/>
                <w:color w:val="auto"/>
                <w:w w:val="92"/>
              </w:rPr>
              <w:t>101</w:t>
            </w:r>
          </w:p>
        </w:tc>
        <w:tc>
          <w:tcPr>
            <w:tcW w:w="5780" w:type="dxa"/>
            <w:vAlign w:val="bottom"/>
            <w:gridSpan w:val="9"/>
          </w:tcPr>
          <w:p>
            <w:pPr>
              <w:spacing w:after="0"/>
              <w:rPr>
                <w:sz w:val="20"/>
                <w:szCs w:val="20"/>
                <w:color w:val="auto"/>
              </w:rPr>
            </w:pPr>
            <w:r>
              <w:rPr>
                <w:rFonts w:ascii="Arial" w:cs="Arial" w:eastAsia="Arial" w:hAnsi="Arial"/>
                <w:sz w:val="13"/>
                <w:szCs w:val="13"/>
                <w:color w:val="auto"/>
              </w:rPr>
              <w:t>Statements, tagged as blocks of text and including detailed tags XBRL Instance Document</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August 8, 2024.</w:t>
      </w:r>
    </w:p>
    <w:p>
      <w:pPr>
        <w:spacing w:after="0" w:line="312"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8x8, Inc.</w:t>
      </w:r>
    </w:p>
    <w:p>
      <w:pPr>
        <w:spacing w:after="0" w:line="290" w:lineRule="exact"/>
        <w:rPr>
          <w:sz w:val="20"/>
          <w:szCs w:val="20"/>
          <w:color w:val="auto"/>
        </w:rPr>
      </w:pPr>
    </w:p>
    <w:p>
      <w:pPr>
        <w:ind w:left="4300"/>
        <w:spacing w:after="0"/>
        <w:rPr>
          <w:sz w:val="20"/>
          <w:szCs w:val="20"/>
          <w:color w:val="auto"/>
        </w:rPr>
      </w:pPr>
      <w:r>
        <w:rPr>
          <w:rFonts w:ascii="Arial" w:cs="Arial" w:eastAsia="Arial" w:hAnsi="Arial"/>
          <w:sz w:val="16"/>
          <w:szCs w:val="16"/>
          <w:i w:val="1"/>
          <w:iCs w:val="1"/>
          <w:color w:val="auto"/>
        </w:rPr>
        <w:t>/s/ Suzy Seandel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19685</wp:posOffset>
            </wp:positionV>
            <wp:extent cx="44145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4414520" cy="8890"/>
                    </a:xfrm>
                    <a:prstGeom prst="rect">
                      <a:avLst/>
                    </a:prstGeom>
                    <a:noFill/>
                  </pic:spPr>
                </pic:pic>
              </a:graphicData>
            </a:graphic>
          </wp:anchor>
        </w:drawing>
      </w:r>
    </w:p>
    <w:p>
      <w:pPr>
        <w:spacing w:after="0" w:line="2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Suzy Seandel</w:t>
      </w:r>
    </w:p>
    <w:p>
      <w:pPr>
        <w:spacing w:after="0" w:line="39"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Chief Accounting Officer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(Principal 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31.1</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 Samuel Wilson, certify that:</w:t>
      </w:r>
    </w:p>
    <w:p>
      <w:pPr>
        <w:spacing w:after="0" w:line="15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6"/>
          <w:szCs w:val="16"/>
          <w:color w:val="auto"/>
        </w:rPr>
      </w:pPr>
    </w:p>
    <w:p>
      <w:pPr>
        <w:jc w:val="both"/>
        <w:ind w:left="1300" w:hanging="320"/>
        <w:spacing w:after="0" w:line="266"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300" w:hanging="320"/>
        <w:spacing w:after="0" w:line="304"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August 8, 2024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043"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31.2</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 Kevin Kraus, certify that:</w:t>
      </w:r>
    </w:p>
    <w:p>
      <w:pPr>
        <w:spacing w:after="0" w:line="15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6"/>
          <w:szCs w:val="16"/>
          <w:color w:val="auto"/>
        </w:rPr>
      </w:pPr>
    </w:p>
    <w:p>
      <w:pPr>
        <w:jc w:val="both"/>
        <w:ind w:left="1300" w:hanging="320"/>
        <w:spacing w:after="0" w:line="266"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ind w:left="1300" w:hanging="320"/>
        <w:spacing w:after="0" w:line="304" w:lineRule="auto"/>
        <w:tabs>
          <w:tab w:leader="none" w:pos="129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300" w:hanging="320"/>
        <w:spacing w:after="0" w:line="275"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300" w:hanging="320"/>
        <w:spacing w:after="0" w:line="304"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300" w:hanging="320"/>
        <w:spacing w:after="0" w:line="286"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August 8, 2024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Kevin Kraus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Kevin Kraus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043"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32.1</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8x8, Inc. (the "Company") for the period ended June 30, 2024, as filed with the Securities and Exchange Commission on the date hereof (the "Report"), I, Samuel Wilson, Chief Executive Officer of the Company, hereby certify, pursuant to 18 U.S.C. Section 1350, as adopted pursuant to Section 906 of the Sarbanes-Oxley Act of 2002, that:</w:t>
      </w:r>
    </w:p>
    <w:p>
      <w:pPr>
        <w:spacing w:after="0" w:line="10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August 8, 2024</w:t>
      </w:r>
    </w:p>
    <w:p>
      <w:pPr>
        <w:spacing w:after="0" w:line="15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104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32.2</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8x8, Inc. (the "Company") for the period ended June 30, 2024, as filed with the Securities and Exchange Commission on the date hereof (the "Report"), I, Kevin Kraus, Chief Financial Officer of the Company, hereby certify, pursuant to 18 U.S.C. Section 1350, as adopted pursuant to Section 906 of the Sarbanes-Oxley Act of 2002, that:</w:t>
      </w:r>
    </w:p>
    <w:p>
      <w:pPr>
        <w:spacing w:after="0" w:line="10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Kevin Kraus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Kevin Kraus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August 8, 2024</w:t>
      </w:r>
    </w:p>
    <w:p>
      <w:pPr>
        <w:spacing w:after="0" w:line="154"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sectPr>
      <w:pgSz w:w="11900" w:h="16838" w:orient="portrait"/>
      <w:cols w:equalWidth="0" w:num="1">
        <w:col w:w="11240"/>
      </w:cols>
      <w:pgMar w:left="320" w:top="10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47" Type="http://schemas.openxmlformats.org/officeDocument/2006/relationships/hyperlink" Target="https://www.sec.gov/Archives/edgar/data/1023731/000102373122000124/exhibit31certificateofamen.htm" TargetMode="External"/><Relationship Id="rId48" Type="http://schemas.openxmlformats.org/officeDocument/2006/relationships/hyperlink" Target="https://www.sec.gov/Archives/edgar/data/1023731/000113626115000219/exh3-2.htm" TargetMode="External"/><Relationship Id="rId49" Type="http://schemas.openxmlformats.org/officeDocument/2006/relationships/hyperlink" Target="https://www.sec.gov/ix?doc=/Archives/edgar/data/1023731/000102373124000062/eght-202407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2024-08-08T16:20:18Z</dcterms:created>
  <dcterms:modified xsi:type="dcterms:W3CDTF">2024-08-08T16:20:18Z</dcterms:modified>
</cp:coreProperties>
</file>