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185240.xml.htm"/>
      <w:bookmarkStart w:id="1" w:name="kswkform4_17851852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Bonner Monique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8X8,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675 CREEKSIDE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8X8 INC /DE/</w:t>
              </w:r>
            </w:hyperlink>
            <w:r>
              <w:rPr/>
              <w:t xml:space="preserve"> [ </w:t>
            </w:r>
            <w:r>
              <w:rPr>
                <w:rFonts w:ascii="Times;serif" w:hAnsi="Times;serif"/>
                <w:color w:val="0000FF"/>
                <w:sz w:val="24"/>
                <w:shd w:fill="FFFFFF" w:val="clear"/>
              </w:rPr>
              <w:t>EGHT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66,502</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240,770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66,502</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174,268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66,502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made on July 25, 2025 and the right to receive cash in an amount equal to the value of one share of the Issuers common stock on the applicable vesting date. The entire award vested and settled in cash on July 25,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Cheriese Dickman as Attorney-in Fact for Monique Bonner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7397" TargetMode="External"/><Relationship Id="rId5" Type="http://schemas.openxmlformats.org/officeDocument/2006/relationships/hyperlink" Target="http://www.sec.gov/cgi-bin/browse-edgar?action=getcompany&amp;CIK=00010237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3403</Characters>
  <CharactersWithSpaces>3957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