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UNITED STATES</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SECURITIES AND EXCHANGE COMMISSION</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Washington, D.C. 20549</w:t>
      </w:r>
    </w:p>
    <w:tbl>
      <w:tblPr>
        <w:tblW w:w="2814" w:type="dxa"/>
        <w:jc w:val="center"/>
        <w:tblInd w:w="0" w:type="dxa"/>
        <w:tblLayout w:type="fixed"/>
        <w:tblCellMar>
          <w:top w:w="28" w:type="dxa"/>
          <w:left w:w="28" w:type="dxa"/>
          <w:bottom w:w="28" w:type="dxa"/>
          <w:right w:w="28" w:type="dxa"/>
        </w:tblCellMar>
      </w:tblPr>
      <w:tblGrid>
        <w:gridCol w:w="124"/>
        <w:gridCol w:w="109"/>
        <w:gridCol w:w="109"/>
        <w:gridCol w:w="380"/>
        <w:gridCol w:w="380"/>
        <w:gridCol w:w="381"/>
        <w:gridCol w:w="319"/>
        <w:gridCol w:w="319"/>
        <w:gridCol w:w="321"/>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2"/>
              </w:rPr>
            </w:pPr>
            <w:r>
              <w:rPr>
                <w:rFonts w:ascii="Archivo;sans-serif" w:hAnsi="Archivo;sans-serif"/>
                <w:b/>
                <w:color w:val="000000"/>
                <w:sz w:val="32"/>
              </w:rPr>
              <w:t>FORM</w:t>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2"/>
              </w:rPr>
            </w:pPr>
            <w:r>
              <w:rPr>
                <w:rFonts w:ascii="Archivo;sans-serif" w:hAnsi="Archivo;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pPr>
      <w:r>
        <w:rPr>
          <w:color w:val="000000"/>
        </w:rPr>
        <w:t xml:space="preserve">☒ </w:t>
      </w:r>
      <w:r>
        <w:rPr>
          <w:rFonts w:ascii="Archivo;sans-serif" w:hAnsi="Archivo;sans-serif"/>
          <w:b/>
          <w:color w:val="000000"/>
          <w:sz w:val="18"/>
        </w:rPr>
        <w:t>QUARTERLY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quarterly period ended September 30, 2026</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or</w:t>
      </w:r>
    </w:p>
    <w:p>
      <w:pPr>
        <w:pStyle w:val="TextBody"/>
        <w:bidi w:val="0"/>
        <w:spacing w:lineRule="auto" w:line="288" w:before="120" w:after="120"/>
        <w:jc w:val="center"/>
      </w:pPr>
      <w:r>
        <w:rPr>
          <w:color w:val="000000"/>
        </w:rPr>
        <w:t xml:space="preserve">☐ </w:t>
      </w:r>
      <w:r>
        <w:rPr>
          <w:rFonts w:ascii="Archivo;sans-serif" w:hAnsi="Archivo;sans-serif"/>
          <w:b/>
          <w:color w:val="000000"/>
          <w:sz w:val="18"/>
        </w:rPr>
        <w:t>TRANSITION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transition period from ________to _________</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Commission file number: 001-38312</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before="60" w:after="60"/>
        <w:jc w:val="center"/>
      </w:pPr>
      <w: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color w:val="000000"/>
          <w:sz w:val="28"/>
        </w:rPr>
      </w:pPr>
      <w:r>
        <w:rPr>
          <w:rFonts w:ascii="Archivo;sans-serif" w:hAnsi="Archivo;sans-serif"/>
          <w:b/>
          <w:color w:val="000000"/>
          <w:sz w:val="28"/>
        </w:rPr>
        <w:t>8x8, INC.</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(Exact name of Registrant as Specified in its Charter)</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tbl>
      <w:tblPr>
        <w:tblW w:w="8862" w:type="dxa"/>
        <w:jc w:val="center"/>
        <w:tblInd w:w="0" w:type="dxa"/>
        <w:tblLayout w:type="fixed"/>
        <w:tblCellMar>
          <w:top w:w="28" w:type="dxa"/>
          <w:left w:w="28" w:type="dxa"/>
          <w:bottom w:w="28" w:type="dxa"/>
          <w:right w:w="28" w:type="dxa"/>
        </w:tblCellMar>
      </w:tblPr>
      <w:tblGrid>
        <w:gridCol w:w="1868"/>
        <w:gridCol w:w="1640"/>
        <w:gridCol w:w="1652"/>
        <w:gridCol w:w="109"/>
        <w:gridCol w:w="109"/>
        <w:gridCol w:w="109"/>
        <w:gridCol w:w="988"/>
        <w:gridCol w:w="988"/>
        <w:gridCol w:w="1399"/>
      </w:tblGrid>
      <w:t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77-0142404</w:t>
            </w:r>
          </w:p>
        </w:tc>
      </w:tr>
      <w:t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 xml:space="preserve">675 Creekside Way </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3420" w:type="dxa"/>
        <w:jc w:val="center"/>
        <w:tblInd w:w="0" w:type="dxa"/>
        <w:tblLayout w:type="fixed"/>
        <w:tblCellMar>
          <w:top w:w="28" w:type="dxa"/>
          <w:left w:w="28" w:type="dxa"/>
          <w:bottom w:w="28" w:type="dxa"/>
          <w:right w:w="28" w:type="dxa"/>
        </w:tblCellMar>
      </w:tblPr>
      <w:tblGrid>
        <w:gridCol w:w="1094"/>
        <w:gridCol w:w="963"/>
        <w:gridCol w:w="1363"/>
      </w:tblGrid>
      <w:t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(Address of principal executive offices)</w:t>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4605" w:type="dxa"/>
        <w:jc w:val="center"/>
        <w:tblInd w:w="0" w:type="dxa"/>
        <w:tblLayout w:type="fixed"/>
        <w:tblCellMar>
          <w:top w:w="28" w:type="dxa"/>
          <w:left w:w="28" w:type="dxa"/>
          <w:bottom w:w="28" w:type="dxa"/>
          <w:right w:w="28" w:type="dxa"/>
        </w:tblCellMar>
      </w:tblPr>
      <w:tblGrid>
        <w:gridCol w:w="1474"/>
        <w:gridCol w:w="1294"/>
        <w:gridCol w:w="1837"/>
      </w:tblGrid>
      <w:t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(Registrant's telephone number, including area code)</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003" w:type="dxa"/>
        <w:jc w:val="center"/>
        <w:tblInd w:w="0" w:type="dxa"/>
        <w:tblLayout w:type="fixed"/>
        <w:tblCellMar>
          <w:top w:w="28" w:type="dxa"/>
          <w:left w:w="28" w:type="dxa"/>
          <w:bottom w:w="28" w:type="dxa"/>
          <w:right w:w="28" w:type="dxa"/>
        </w:tblCellMar>
      </w:tblPr>
      <w:tblGrid>
        <w:gridCol w:w="1501"/>
        <w:gridCol w:w="1320"/>
        <w:gridCol w:w="1333"/>
        <w:gridCol w:w="524"/>
        <w:gridCol w:w="524"/>
        <w:gridCol w:w="526"/>
        <w:gridCol w:w="1252"/>
        <w:gridCol w:w="1252"/>
        <w:gridCol w:w="1771"/>
      </w:tblGrid>
      <w:t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c>
          <w:tcPr>
            <w:tcW w:w="4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Trading Symbol</w:t>
            </w:r>
          </w:p>
        </w:tc>
        <w:tc>
          <w:tcPr>
            <w:tcW w:w="42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Name of each exchange on which registered</w:t>
            </w:r>
          </w:p>
        </w:tc>
      </w:tr>
      <w:tr>
        <w:tc>
          <w:tcPr>
            <w:tcW w:w="4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COMMON STOCK, PAR VALUE $0.001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EGHT</w:t>
            </w:r>
          </w:p>
        </w:tc>
        <w:tc>
          <w:tcPr>
            <w:tcW w:w="42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Nasdaq Global Select Market</w:t>
            </w:r>
          </w:p>
        </w:tc>
      </w:tr>
    </w:tbl>
    <w:p>
      <w:pPr>
        <w:pStyle w:val="TextBody"/>
        <w:bidi w:val="0"/>
        <w:spacing w:lineRule="auto" w:line="288" w:before="0" w:after="60"/>
        <w:jc w:val="both"/>
      </w:pPr>
      <w:r>
        <w:rPr>
          <w:rFonts w:ascii="Archivo;sans-serif" w:hAnsi="Archivo;sans-serif"/>
          <w:b w:val="false"/>
          <w:color w:val="000000"/>
          <w:sz w:val="16"/>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w:t>
      </w:r>
      <w:r>
        <w:rPr>
          <w:color w:val="000000"/>
        </w:rPr>
        <w:t xml:space="preserve"> ☒ </w:t>
      </w:r>
      <w:r>
        <w:rPr>
          <w:rFonts w:ascii="Archivo;sans-serif" w:hAnsi="Archivo;sans-serif"/>
          <w:b w:val="false"/>
          <w:color w:val="000000"/>
          <w:sz w:val="16"/>
        </w:rPr>
        <w:t>Yes </w:t>
      </w:r>
      <w:r>
        <w:rPr>
          <w:color w:val="000000"/>
        </w:rPr>
        <w:t xml:space="preserve">☐ </w:t>
      </w:r>
      <w:r>
        <w:rPr>
          <w:rFonts w:ascii="Archivo;sans-serif" w:hAnsi="Archivo;sans-serif"/>
          <w:b w:val="false"/>
          <w:color w:val="000000"/>
          <w:sz w:val="16"/>
        </w:rPr>
        <w:t>No</w:t>
      </w:r>
    </w:p>
    <w:p>
      <w:pPr>
        <w:pStyle w:val="TextBody"/>
        <w:bidi w:val="0"/>
        <w:spacing w:lineRule="auto" w:line="288" w:before="60" w:after="60"/>
        <w:jc w:val="both"/>
      </w:pPr>
      <w:r>
        <w:rPr>
          <w:rFonts w:ascii="Archivo;sans-serif" w:hAnsi="Archiv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chivo;sans-serif" w:hAnsi="Archivo;sans-serif"/>
          <w:b w:val="false"/>
          <w:color w:val="000000"/>
          <w:sz w:val="16"/>
        </w:rPr>
        <w:t>No</w:t>
      </w:r>
      <w:r>
        <w:rPr>
          <w:color w:val="000000"/>
        </w:rPr>
        <w:t> ☐</w:t>
      </w:r>
    </w:p>
    <w:p>
      <w:pPr>
        <w:pStyle w:val="TextBody"/>
        <w:bidi w:val="0"/>
        <w:spacing w:lineRule="auto" w:line="288" w:before="60" w:after="60"/>
        <w:jc w:val="both"/>
      </w:pPr>
      <w:r>
        <w:rPr>
          <w:rFonts w:ascii="Archivo;sans-serif" w:hAnsi="Archivo;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chivo;sans-serif" w:hAnsi="Archivo;sans-serif"/>
          <w:b w:val="false"/>
          <w:color w:val="000000"/>
          <w:sz w:val="18"/>
        </w:rPr>
        <w:t>.</w:t>
      </w:r>
    </w:p>
    <w:tbl>
      <w:tblPr>
        <w:tblW w:w="608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99"/>
        <w:gridCol w:w="799"/>
        <w:gridCol w:w="802"/>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pPr>
      <w:r>
        <w:rPr>
          <w:rFonts w:ascii="Archivo;sans-serif" w:hAnsi="Archiv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both"/>
      </w:pPr>
      <w:r>
        <w:rPr>
          <w:rFonts w:ascii="Archivo;sans-serif" w:hAnsi="Archivo;sans-serif"/>
          <w:b w:val="false"/>
          <w:color w:val="000000"/>
          <w:sz w:val="16"/>
        </w:rPr>
        <w:t>Indicate by check mark whether the registrant is a shell company (as defined in Rule 12b-2 of the Exchange Act). Yes</w:t>
      </w:r>
      <w:r>
        <w:rPr>
          <w:color w:val="000000"/>
        </w:rPr>
        <w:t xml:space="preserve"> ☐ </w:t>
      </w:r>
      <w:r>
        <w:rPr>
          <w:rFonts w:ascii="Archivo;sans-serif" w:hAnsi="Archivo;sans-serif"/>
          <w:b w:val="false"/>
          <w:color w:val="000000"/>
          <w:sz w:val="16"/>
        </w:rPr>
        <w:t>No</w:t>
      </w:r>
      <w:r>
        <w:rPr>
          <w:color w:val="000000"/>
        </w:rPr>
        <w:t xml:space="preserve"> ☒</w:t>
      </w:r>
    </w:p>
    <w:p>
      <w:pPr>
        <w:pStyle w:val="TextBody"/>
        <w:bidi w:val="0"/>
        <w:spacing w:lineRule="auto" w:line="288" w:before="60" w:after="60"/>
        <w:jc w:val="both"/>
        <w:rPr>
          <w:rFonts w:ascii="Archivo;sans-serif" w:hAnsi="Archivo;sans-serif"/>
          <w:b w:val="false"/>
          <w:color w:val="000000"/>
          <w:sz w:val="16"/>
        </w:rPr>
      </w:pPr>
      <w:r>
        <w:rPr>
          <w:rFonts w:ascii="Archivo;sans-serif" w:hAnsi="Archivo;sans-serif"/>
          <w:b w:val="false"/>
          <w:color w:val="000000"/>
          <w:sz w:val="16"/>
        </w:rPr>
        <w:t>The number of shares of the Registrant's Common Stock outstanding as of October 30, 2026 was 145,897,920.</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8X8, INC.</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INDEX TO QUARTERLY REPORT ON FORM 10-Q</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FOR THE QUARTER ENDED SEPTEMBER 30, 2026</w:t>
      </w:r>
    </w:p>
    <w:tbl>
      <w:tblPr>
        <w:tblW w:w="9376" w:type="dxa"/>
        <w:jc w:val="left"/>
        <w:tblInd w:w="0" w:type="dxa"/>
        <w:tblLayout w:type="fixed"/>
        <w:tblCellMar>
          <w:top w:w="28" w:type="dxa"/>
          <w:left w:w="28" w:type="dxa"/>
          <w:bottom w:w="28" w:type="dxa"/>
          <w:right w:w="28" w:type="dxa"/>
        </w:tblCellMar>
      </w:tblPr>
      <w:tblGrid>
        <w:gridCol w:w="3159"/>
        <w:gridCol w:w="2775"/>
        <w:gridCol w:w="2781"/>
        <w:gridCol w:w="193"/>
        <w:gridCol w:w="193"/>
        <w:gridCol w:w="275"/>
      </w:tblGrid>
      <w:tr>
        <w:tc>
          <w:tcPr>
            <w:tcW w:w="315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Page</w:t>
            </w:r>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0">
              <w:r>
                <w:rPr>
                  <w:rStyle w:val="InternetLink"/>
                  <w:rFonts w:ascii="Archivo;sans-serif" w:hAnsi="Archivo;sans-serif"/>
                  <w:b/>
                  <w:strike w:val="false"/>
                  <w:dstrike w:val="false"/>
                  <w:color w:val="0000FF"/>
                  <w:sz w:val="18"/>
                  <w:u w:val="none"/>
                  <w:effect w:val="none"/>
                </w:rPr>
                <w:t>Forward-Looking Statements and Risk Factors</w:t>
              </w:r>
            </w:hyperlink>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hyperlink w:anchor="if0693f05cd6b4ce18e09c5f2b0b47f1c_3722">
              <w:r>
                <w:rPr>
                  <w:rStyle w:val="InternetLink"/>
                  <w:rFonts w:ascii="Archivo;sans-serif" w:hAnsi="Archivo;sans-serif"/>
                  <w:b w:val="false"/>
                  <w:strike w:val="false"/>
                  <w:dstrike w:val="false"/>
                  <w:color w:val="0000FF"/>
                  <w:sz w:val="18"/>
                  <w:u w:val="none"/>
                  <w:effect w:val="none"/>
                </w:rPr>
                <w:t>2</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3">
              <w:r>
                <w:rPr>
                  <w:rStyle w:val="InternetLink"/>
                  <w:rFonts w:ascii="Archivo;sans-serif" w:hAnsi="Archivo;sans-serif"/>
                  <w:b/>
                  <w:strike w:val="false"/>
                  <w:dstrike w:val="false"/>
                  <w:color w:val="0000FF"/>
                  <w:sz w:val="18"/>
                  <w:u w:val="none"/>
                  <w:effect w:val="none"/>
                </w:rPr>
                <w:t>PART I. FINANCIAL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65a6cde706f4afbb6c5c3d066688da3_33">
              <w:r>
                <w:rPr>
                  <w:rStyle w:val="InternetLink"/>
                  <w:rFonts w:ascii="Archivo;sans-serif" w:hAnsi="Archivo;sans-serif"/>
                  <w:b w:val="false"/>
                  <w:strike w:val="false"/>
                  <w:dstrike w:val="false"/>
                  <w:color w:val="0000FF"/>
                  <w:sz w:val="18"/>
                  <w:u w:val="none"/>
                  <w:effect w:val="none"/>
                </w:rPr>
                <w:t>3</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6">
              <w:r>
                <w:rPr>
                  <w:rStyle w:val="InternetLink"/>
                  <w:rFonts w:ascii="Archivo;sans-serif" w:hAnsi="Archivo;sans-serif"/>
                  <w:b w:val="false"/>
                  <w:strike w:val="false"/>
                  <w:dstrike w:val="false"/>
                  <w:color w:val="0000FF"/>
                  <w:sz w:val="18"/>
                  <w:u w:val="none"/>
                  <w:effect w:val="none"/>
                </w:rPr>
                <w:t>Item 1. Financial Statements (unaudited):</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1abead4160dc401fb52fae6bdef8bd27_32">
              <w:r>
                <w:rPr>
                  <w:rStyle w:val="InternetLink"/>
                  <w:rFonts w:ascii="Archivo;sans-serif" w:hAnsi="Archivo;sans-serif"/>
                  <w:b w:val="false"/>
                  <w:strike w:val="false"/>
                  <w:dstrike w:val="false"/>
                  <w:color w:val="0000FF"/>
                  <w:sz w:val="18"/>
                  <w:u w:val="none"/>
                  <w:effect w:val="none"/>
                </w:rPr>
                <w:t>3</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9">
              <w:r>
                <w:rPr>
                  <w:rStyle w:val="InternetLink"/>
                  <w:rFonts w:ascii="Archivo;sans-serif" w:hAnsi="Archivo;sans-serif"/>
                  <w:b w:val="false"/>
                  <w:strike w:val="false"/>
                  <w:dstrike w:val="false"/>
                  <w:color w:val="0000FF"/>
                  <w:sz w:val="18"/>
                  <w:u w:val="none"/>
                  <w:effect w:val="none"/>
                </w:rPr>
                <w:t>Condensed 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7df864f5a036411cb423d862262ade31_106">
              <w:r>
                <w:rPr>
                  <w:rStyle w:val="InternetLink"/>
                  <w:rFonts w:ascii="Archivo;sans-serif" w:hAnsi="Archivo;sans-serif"/>
                  <w:b w:val="false"/>
                  <w:strike w:val="false"/>
                  <w:dstrike w:val="false"/>
                  <w:color w:val="0000FF"/>
                  <w:sz w:val="18"/>
                  <w:u w:val="none"/>
                  <w:effect w:val="none"/>
                </w:rPr>
                <w:t>3</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22">
              <w:r>
                <w:rPr>
                  <w:rStyle w:val="InternetLink"/>
                  <w:rFonts w:ascii="Archivo;sans-serif" w:hAnsi="Archivo;sans-serif"/>
                  <w:b w:val="false"/>
                  <w:strike w:val="false"/>
                  <w:dstrike w:val="false"/>
                  <w:color w:val="0000FF"/>
                  <w:sz w:val="18"/>
                  <w:u w:val="none"/>
                  <w:effect w:val="none"/>
                </w:rPr>
                <w:t>Condensed Consolidated Statements of Operations and Comprehensive Income (Loss</w:t>
              </w:r>
            </w:hyperlink>
            <w:r>
              <w:rPr>
                <w:rFonts w:ascii="Archivo;sans-serif" w:hAnsi="Archivo;sans-serif"/>
                <w:b w:val="false"/>
                <w:color w:val="000000"/>
                <w:sz w:val="18"/>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1efe1c9c81b34c009d0a044f7aebdee4_147">
              <w:r>
                <w:rPr>
                  <w:rStyle w:val="InternetLink"/>
                  <w:rFonts w:ascii="Archivo;sans-serif" w:hAnsi="Archivo;sans-serif"/>
                  <w:b w:val="false"/>
                  <w:strike w:val="false"/>
                  <w:dstrike w:val="false"/>
                  <w:color w:val="0000FF"/>
                  <w:sz w:val="18"/>
                  <w:u w:val="none"/>
                  <w:effect w:val="none"/>
                </w:rPr>
                <w:t>4</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25">
              <w:r>
                <w:rPr>
                  <w:rStyle w:val="InternetLink"/>
                  <w:rFonts w:ascii="Archivo;sans-serif" w:hAnsi="Archivo;sans-serif"/>
                  <w:b w:val="false"/>
                  <w:strike w:val="false"/>
                  <w:dstrike w:val="false"/>
                  <w:color w:val="0000FF"/>
                  <w:sz w:val="18"/>
                  <w:u w:val="none"/>
                  <w:effect w:val="none"/>
                </w:rPr>
                <w:t>Condensed 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dde2f0017e624db2a1f8a64561962fb5_101">
              <w:r>
                <w:rPr>
                  <w:rStyle w:val="InternetLink"/>
                  <w:rFonts w:ascii="Archivo;sans-serif" w:hAnsi="Archivo;sans-serif"/>
                  <w:b w:val="false"/>
                  <w:strike w:val="false"/>
                  <w:dstrike w:val="false"/>
                  <w:color w:val="0000FF"/>
                  <w:sz w:val="18"/>
                  <w:u w:val="none"/>
                  <w:effect w:val="none"/>
                </w:rPr>
                <w:t>5</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28">
              <w:r>
                <w:rPr>
                  <w:rStyle w:val="InternetLink"/>
                  <w:rFonts w:ascii="Archivo;sans-serif" w:hAnsi="Archivo;sans-serif"/>
                  <w:b w:val="false"/>
                  <w:strike w:val="false"/>
                  <w:dstrike w:val="false"/>
                  <w:color w:val="0000FF"/>
                  <w:sz w:val="18"/>
                  <w:u w:val="none"/>
                  <w:effect w:val="none"/>
                </w:rPr>
                <w:t>Condensed 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9250e5b4feda4806af5dba9817435961_89">
              <w:r>
                <w:rPr>
                  <w:rStyle w:val="InternetLink"/>
                  <w:rFonts w:ascii="Archivo;sans-serif" w:hAnsi="Archivo;sans-serif"/>
                  <w:b w:val="false"/>
                  <w:strike w:val="false"/>
                  <w:dstrike w:val="false"/>
                  <w:color w:val="0000FF"/>
                  <w:sz w:val="18"/>
                  <w:u w:val="none"/>
                  <w:effect w:val="none"/>
                </w:rPr>
                <w:t>6</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31">
              <w:r>
                <w:rPr>
                  <w:rStyle w:val="InternetLink"/>
                  <w:rFonts w:ascii="Archivo;sans-serif" w:hAnsi="Archivo;sans-serif"/>
                  <w:b w:val="false"/>
                  <w:strike w:val="false"/>
                  <w:dstrike w:val="false"/>
                  <w:color w:val="0000FF"/>
                  <w:sz w:val="18"/>
                  <w:u w:val="none"/>
                  <w:effect w:val="none"/>
                </w:rPr>
                <w:t>Notes to Unaudited Condensed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4159b039121d433db0806633f8b556ab_78">
              <w:r>
                <w:rPr>
                  <w:rStyle w:val="InternetLink"/>
                  <w:rFonts w:ascii="Archivo;sans-serif" w:hAnsi="Archivo;sans-serif"/>
                  <w:b w:val="false"/>
                  <w:strike w:val="false"/>
                  <w:dstrike w:val="false"/>
                  <w:color w:val="0000FF"/>
                  <w:sz w:val="18"/>
                  <w:u w:val="none"/>
                  <w:effect w:val="none"/>
                </w:rPr>
                <w:t>7</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76">
              <w:r>
                <w:rPr>
                  <w:rStyle w:val="InternetLink"/>
                  <w:rFonts w:ascii="Archivo;sans-serif" w:hAnsi="Archivo;sans-serif"/>
                  <w:b w:val="false"/>
                  <w:strike w:val="false"/>
                  <w:dstrike w:val="false"/>
                  <w:color w:val="0000FF"/>
                  <w:sz w:val="18"/>
                  <w:u w:val="none"/>
                  <w:effect w:val="none"/>
                </w:rPr>
                <w:t>Item 2. Management's Discussion and Analysis of Financial Condition and 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43ebb4b2aacb4ad08f07e944b67cd66b_97">
              <w:r>
                <w:rPr>
                  <w:rStyle w:val="InternetLink"/>
                  <w:rFonts w:ascii="Archivo;sans-serif" w:hAnsi="Archivo;sans-serif"/>
                  <w:b w:val="false"/>
                  <w:strike w:val="false"/>
                  <w:dstrike w:val="false"/>
                  <w:color w:val="0000FF"/>
                  <w:sz w:val="18"/>
                  <w:u w:val="none"/>
                  <w:effect w:val="none"/>
                </w:rPr>
                <w:t>22</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97">
              <w:r>
                <w:rPr>
                  <w:rStyle w:val="InternetLink"/>
                  <w:rFonts w:ascii="Archivo;sans-serif" w:hAnsi="Archivo;sans-serif"/>
                  <w:b w:val="false"/>
                  <w:strike w:val="false"/>
                  <w:dstrike w:val="false"/>
                  <w:color w:val="0000FF"/>
                  <w:sz w:val="18"/>
                  <w:u w:val="none"/>
                  <w:effect w:val="none"/>
                </w:rPr>
                <w:t>Item 3. Quantitative and Qualitative Disclosures About Market Risk</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44d80c6426cb4706857d00988c06dee3_329">
              <w:r>
                <w:rPr>
                  <w:rStyle w:val="InternetLink"/>
                  <w:rFonts w:ascii="Archivo;sans-serif" w:hAnsi="Archivo;sans-serif"/>
                  <w:b w:val="false"/>
                  <w:strike w:val="false"/>
                  <w:dstrike w:val="false"/>
                  <w:color w:val="0000FF"/>
                  <w:sz w:val="18"/>
                  <w:u w:val="none"/>
                  <w:effect w:val="none"/>
                </w:rPr>
                <w:t>33</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00">
              <w:r>
                <w:rPr>
                  <w:rStyle w:val="InternetLink"/>
                  <w:rFonts w:ascii="Archivo;sans-serif" w:hAnsi="Archivo;sans-serif"/>
                  <w:b w:val="false"/>
                  <w:strike w:val="false"/>
                  <w:dstrike w:val="false"/>
                  <w:color w:val="0000FF"/>
                  <w:sz w:val="18"/>
                  <w:u w:val="none"/>
                  <w:effect w:val="none"/>
                </w:rPr>
                <w:t>Item 4. Controls and Procedures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8403b0adb34394a0883e47c8181c33_1793">
              <w:r>
                <w:rPr>
                  <w:rStyle w:val="InternetLink"/>
                  <w:rFonts w:ascii="Archivo;sans-serif" w:hAnsi="Archivo;sans-serif"/>
                  <w:b w:val="false"/>
                  <w:strike w:val="false"/>
                  <w:dstrike w:val="false"/>
                  <w:color w:val="0000FF"/>
                  <w:sz w:val="18"/>
                  <w:u w:val="none"/>
                  <w:effect w:val="none"/>
                </w:rPr>
                <w:t>33</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03">
              <w:r>
                <w:rPr>
                  <w:rStyle w:val="InternetLink"/>
                  <w:rFonts w:ascii="Archivo;sans-serif" w:hAnsi="Archivo;sans-serif"/>
                  <w:b/>
                  <w:strike w:val="false"/>
                  <w:dstrike w:val="false"/>
                  <w:color w:val="0000FF"/>
                  <w:sz w:val="18"/>
                  <w:u w:val="none"/>
                  <w:effect w:val="none"/>
                </w:rPr>
                <w:t>PART II.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a170d6fcf98a422585bea679ddcd15f6_30">
              <w:r>
                <w:rPr>
                  <w:rStyle w:val="InternetLink"/>
                  <w:rFonts w:ascii="Archivo;sans-serif" w:hAnsi="Archivo;sans-serif"/>
                  <w:b w:val="false"/>
                  <w:strike w:val="false"/>
                  <w:dstrike w:val="false"/>
                  <w:color w:val="0000FF"/>
                  <w:sz w:val="18"/>
                  <w:u w:val="none"/>
                  <w:effect w:val="none"/>
                </w:rPr>
                <w:t>34</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06">
              <w:r>
                <w:rPr>
                  <w:rStyle w:val="InternetLink"/>
                  <w:rFonts w:ascii="Archivo;sans-serif" w:hAnsi="Archivo;sans-serif"/>
                  <w:b w:val="false"/>
                  <w:strike w:val="false"/>
                  <w:dstrike w:val="false"/>
                  <w:color w:val="0000FF"/>
                  <w:sz w:val="18"/>
                  <w:u w:val="none"/>
                  <w:effect w:val="none"/>
                </w:rPr>
                <w:t>Item 1. Legal Proceedings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1118ccaf385642a896adc0014ad39122_326">
              <w:r>
                <w:rPr>
                  <w:rStyle w:val="InternetLink"/>
                  <w:rFonts w:ascii="Archivo;sans-serif" w:hAnsi="Archivo;sans-serif"/>
                  <w:b w:val="false"/>
                  <w:strike w:val="false"/>
                  <w:dstrike w:val="false"/>
                  <w:color w:val="0000FF"/>
                  <w:sz w:val="18"/>
                  <w:u w:val="none"/>
                  <w:effect w:val="none"/>
                </w:rPr>
                <w:t>34</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09">
              <w:r>
                <w:rPr>
                  <w:rStyle w:val="InternetLink"/>
                  <w:rFonts w:ascii="Archivo;sans-serif" w:hAnsi="Archivo;sans-serif"/>
                  <w:b w:val="false"/>
                  <w:strike w:val="false"/>
                  <w:dstrike w:val="false"/>
                  <w:color w:val="0000FF"/>
                  <w:sz w:val="18"/>
                  <w:u w:val="none"/>
                  <w:effect w:val="none"/>
                </w:rPr>
                <w:t>Item 1A. Risk Factors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da4e60b819f344c0acb1bddbc46ceb60_663">
              <w:r>
                <w:rPr>
                  <w:rStyle w:val="InternetLink"/>
                  <w:rFonts w:ascii="Archivo;sans-serif" w:hAnsi="Archivo;sans-serif"/>
                  <w:b w:val="false"/>
                  <w:strike w:val="false"/>
                  <w:dstrike w:val="false"/>
                  <w:color w:val="0000FF"/>
                  <w:sz w:val="18"/>
                  <w:u w:val="none"/>
                  <w:effect w:val="none"/>
                </w:rPr>
                <w:t>34</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12">
              <w:r>
                <w:rPr>
                  <w:rStyle w:val="InternetLink"/>
                  <w:rFonts w:ascii="Archivo;sans-serif" w:hAnsi="Archivo;sans-serif"/>
                  <w:b w:val="false"/>
                  <w:strike w:val="false"/>
                  <w:dstrike w:val="false"/>
                  <w:color w:val="0000FF"/>
                  <w:sz w:val="18"/>
                  <w:u w:val="none"/>
                  <w:effect w:val="none"/>
                </w:rPr>
                <w:t>Item 2. Unregistered Sales of Equity Securities and Use of Proceeds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aeb2df2f9854c3184965c5d51c0dac9_222">
              <w:r>
                <w:rPr>
                  <w:rStyle w:val="InternetLink"/>
                  <w:rFonts w:ascii="Archivo;sans-serif" w:hAnsi="Archivo;sans-serif"/>
                  <w:b w:val="false"/>
                  <w:strike w:val="false"/>
                  <w:dstrike w:val="false"/>
                  <w:color w:val="0000FF"/>
                  <w:sz w:val="18"/>
                  <w:u w:val="none"/>
                  <w:effect w:val="none"/>
                </w:rPr>
                <w:t>35</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15">
              <w:r>
                <w:rPr>
                  <w:rStyle w:val="InternetLink"/>
                  <w:rFonts w:ascii="Archivo;sans-serif" w:hAnsi="Archivo;sans-serif"/>
                  <w:b w:val="false"/>
                  <w:strike w:val="false"/>
                  <w:dstrike w:val="false"/>
                  <w:color w:val="0000FF"/>
                  <w:sz w:val="18"/>
                  <w:u w:val="none"/>
                  <w:effect w:val="none"/>
                </w:rPr>
                <w:t>Item 3. Defaults Upon Senior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22e05199b484ab59b34e88d525f1bcb_49">
              <w:r>
                <w:rPr>
                  <w:rStyle w:val="InternetLink"/>
                  <w:rFonts w:ascii="Archivo;sans-serif" w:hAnsi="Archivo;sans-serif"/>
                  <w:b w:val="false"/>
                  <w:strike w:val="false"/>
                  <w:dstrike w:val="false"/>
                  <w:color w:val="0000FF"/>
                  <w:sz w:val="18"/>
                  <w:u w:val="none"/>
                  <w:effect w:val="none"/>
                </w:rPr>
                <w:t>35</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18">
              <w:r>
                <w:rPr>
                  <w:rStyle w:val="InternetLink"/>
                  <w:rFonts w:ascii="Archivo;sans-serif" w:hAnsi="Archivo;sans-serif"/>
                  <w:b w:val="false"/>
                  <w:strike w:val="false"/>
                  <w:dstrike w:val="false"/>
                  <w:color w:val="0000FF"/>
                  <w:sz w:val="18"/>
                  <w:u w:val="none"/>
                  <w:effect w:val="none"/>
                </w:rPr>
                <w:t>Item 4. Mine Safety Disclosures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716cc7f5dfef47c9905ef63db7d43922_51">
              <w:r>
                <w:rPr>
                  <w:rStyle w:val="InternetLink"/>
                  <w:rFonts w:ascii="Archivo;sans-serif" w:hAnsi="Archivo;sans-serif"/>
                  <w:b w:val="false"/>
                  <w:strike w:val="false"/>
                  <w:dstrike w:val="false"/>
                  <w:color w:val="0000FF"/>
                  <w:sz w:val="18"/>
                  <w:u w:val="none"/>
                  <w:effect w:val="none"/>
                </w:rPr>
                <w:t>35</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21">
              <w:r>
                <w:rPr>
                  <w:rStyle w:val="InternetLink"/>
                  <w:rFonts w:ascii="Archivo;sans-serif" w:hAnsi="Archivo;sans-serif"/>
                  <w:b w:val="false"/>
                  <w:strike w:val="false"/>
                  <w:dstrike w:val="false"/>
                  <w:color w:val="0000FF"/>
                  <w:sz w:val="18"/>
                  <w:u w:val="none"/>
                  <w:effect w:val="none"/>
                </w:rPr>
                <w:t>Item 5.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6dca054bea1745b7bb9962654f79eb8e_2860">
              <w:r>
                <w:rPr>
                  <w:rStyle w:val="InternetLink"/>
                  <w:rFonts w:ascii="Archivo;sans-serif" w:hAnsi="Archivo;sans-serif"/>
                  <w:b w:val="false"/>
                  <w:strike w:val="false"/>
                  <w:dstrike w:val="false"/>
                  <w:color w:val="0000FF"/>
                  <w:sz w:val="18"/>
                  <w:u w:val="none"/>
                  <w:effect w:val="none"/>
                </w:rPr>
                <w:t>35</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2dd4962790343d797409b782cbae4f7_127">
              <w:r>
                <w:rPr>
                  <w:rStyle w:val="InternetLink"/>
                  <w:rFonts w:ascii="Archivo;sans-serif" w:hAnsi="Archivo;sans-serif"/>
                  <w:b w:val="false"/>
                  <w:strike w:val="false"/>
                  <w:dstrike w:val="false"/>
                  <w:color w:val="0000FF"/>
                  <w:sz w:val="18"/>
                  <w:u w:val="none"/>
                  <w:effect w:val="none"/>
                </w:rPr>
                <w:t>Item 6. Exhibits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7098beab6df4334ad05c92c3cf38e09_22">
              <w:r>
                <w:rPr>
                  <w:rStyle w:val="InternetLink"/>
                  <w:rFonts w:ascii="Archivo;sans-serif" w:hAnsi="Archivo;sans-serif"/>
                  <w:b w:val="false"/>
                  <w:strike w:val="false"/>
                  <w:dstrike w:val="false"/>
                  <w:color w:val="0000FF"/>
                  <w:sz w:val="18"/>
                  <w:u w:val="none"/>
                  <w:effect w:val="none"/>
                </w:rPr>
                <w:t>36</w:t>
              </w:r>
            </w:hyperlink>
          </w:p>
        </w:tc>
      </w:tr>
      <w:t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12dd4962790343d797409b782cbae4f7_130">
              <w:r>
                <w:rPr>
                  <w:rStyle w:val="InternetLink"/>
                  <w:rFonts w:ascii="Archivo;sans-serif" w:hAnsi="Archivo;sans-serif"/>
                  <w:b/>
                  <w:strike w:val="false"/>
                  <w:dstrike w:val="false"/>
                  <w:color w:val="0000FF"/>
                  <w:sz w:val="18"/>
                  <w:u w:val="none"/>
                  <w:effect w:val="none"/>
                </w:rPr>
                <w:t>Signature</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a73cf6365f4d435d8dfdb0e65e6809cc_337">
              <w:r>
                <w:rPr>
                  <w:rStyle w:val="InternetLink"/>
                  <w:rFonts w:ascii="Archivo;sans-serif" w:hAnsi="Archivo;sans-serif"/>
                  <w:b w:val="false"/>
                  <w:strike w:val="false"/>
                  <w:dstrike w:val="false"/>
                  <w:color w:val="0000FF"/>
                  <w:sz w:val="18"/>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3"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bookmarkStart w:id="1" w:name="if0693f05cd6b4ce18e09c5f2b0b47f1c_3722"/>
      <w:bookmarkEnd w:id="1"/>
      <w:r>
        <w:rPr>
          <w:rFonts w:ascii="Archivo;sans-serif" w:hAnsi="Archivo;sans-serif"/>
          <w:b/>
          <w:color w:val="000000"/>
          <w:sz w:val="18"/>
        </w:rPr>
        <w:t>Forward-Looking Statements and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Statements contained in this quarterly report on Form 10-Q, or this "Quarterly Report", regarding our expectations, beliefs, estimates, intentions or strategies are “forward-looking statements” within the meaning of the Private Securities Litigation Reform Act of 1995, Section 27A of the Securities Act of 1933 (the "Securities Act"), and Section 21E of the Securities Exchange Act of 1934 (the "Exchange Act"), in each case, as amended from time to time. Any statements contained herein that are not statements of historical fact may be deemed to be forward-looking statements. For example, words such as "may," "will," "should," "estimates," "predicts," "potential," "continue," "strategy," "believes," "anticipates," "plans," "expects," "intends," “opportunity,” and similar expressions are intended to identify forward-looking statements.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Forward-looking statements contained in this Quarterly Report include, but are not limited to, statements about: our future financial performance, including revenue, margins, and operating expenses; trends in our business and the technology industry; the sufficiency of our cash, cash equivalents, and operating cash flows to meet our liquidity needs; our ability to service and refinance our debt; our market position, opportunity, and growth strategy; our ability to compete successfully; our product strategy, innovation efforts and evolving artificial intelligence ("AI") capabilities; our ability to operate under evolving macroeconomic conditions, including geopolitical instability, tariffs, inflationary pressures, increased interest rates, supply chain disruptions, decreased economic output, and currency volatility; our ability to attract and retain customers; our ability to expand into new markets and internationally; our ability to manage growth and future expenses; and the impact of recent accounting pronouncements on our consolidated financial statements.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Forward-looking statements may appear throughout this Quarterly Report, including in the section entitled: “Management’s Discussion and Analysis of Financial Condition and Results of Operations” (Part I, Item 2). We describe risks and uncertainties that could impact forward-looking statements or cause actual results and events to differ materially in the section entitled “Risk Factors” (Part II, Item 1A) of this Quarterly Report and in the sections entitled “Risk Factors,” “Management’s Discussion and Analysis of Financial Condition and Results of Operations,” and “Quantitative and Qualitative Disclosures About Market Risk” (Part I, Item 1A and Part II, Items 7 and 7A, respectively) of our Annual Report on Form 10-K for the fiscal year ended March 31, 2026, as filed with the Securities and Exchange Commission (the “SEC”) on May 22, 2026 (the “Form 10-K”).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 to advise interested parties of the risks and factors that may affect our business, financial condition, results of operations and prospects.</w:t>
      </w:r>
    </w:p>
    <w:p>
      <w:pPr>
        <w:pStyle w:val="TextBody"/>
        <w:bidi w:val="0"/>
        <w:spacing w:before="0" w:after="0"/>
        <w:jc w:val="both"/>
      </w:pPr>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Our fiscal year ends on March 31 of each calendar year. Each reference to a fiscal year in this Quarterly Report refers to the fiscal year ended March 31 of the calendar year indicated (for example, fiscal 2027 refers to the fiscal year ending March 31, 2027). Unless the context requires otherwise, references to "we," "us," "our," "8x8," and the "Company" refer to 8x8, Inc. and its consolidated subsidiaries. All dollar amounts within this Quarterly Report are in thousands of United States Dollars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20"/>
        </w:rPr>
      </w:pPr>
      <w:bookmarkStart w:id="2" w:name="i565a6cde706f4afbb6c5c3d066688da3_33"/>
      <w:bookmarkEnd w:id="2"/>
      <w:r>
        <w:rPr>
          <w:rFonts w:ascii="Archivo;sans-serif" w:hAnsi="Archiv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color w:val="000000"/>
          <w:sz w:val="22"/>
        </w:rPr>
      </w:pPr>
      <w:bookmarkStart w:id="3" w:name="i1abead4160dc401fb52fae6bdef8bd27_32"/>
      <w:bookmarkEnd w:id="3"/>
      <w:r>
        <w:rPr>
          <w:rFonts w:ascii="Archivo;sans-serif" w:hAnsi="Archivo;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chivo;sans-serif" w:hAnsi="Archivo;sans-serif"/>
          <w:b/>
          <w:color w:val="000000"/>
          <w:sz w:val="20"/>
        </w:rPr>
      </w:pPr>
      <w:bookmarkStart w:id="4" w:name="i7df864f5a036411cb423d862262ade31_106"/>
      <w:bookmarkEnd w:id="4"/>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BALANCE SHEETS</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2840"/>
        <w:gridCol w:w="2020"/>
        <w:gridCol w:w="1994"/>
        <w:gridCol w:w="277"/>
        <w:gridCol w:w="1162"/>
        <w:gridCol w:w="133"/>
        <w:gridCol w:w="109"/>
        <w:gridCol w:w="109"/>
        <w:gridCol w:w="109"/>
        <w:gridCol w:w="247"/>
        <w:gridCol w:w="1033"/>
        <w:gridCol w:w="172"/>
      </w:tblGrid>
      <w:tr>
        <w:tc>
          <w:tcPr>
            <w:tcW w:w="284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ASSETS</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assets:</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101,708 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61,956 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57,004 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32,314 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assets</w:t>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218,767 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209,809 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Property and equipment,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42,963 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right-of-use assets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24,329 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Intangible assets,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50,689 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57,589 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Goodwill</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276,777 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276,372 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c>
          <w:tcPr>
            <w:tcW w:w="6854"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32,973 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assets,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assets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657,895 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662,821 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LIABILITIES AND STOCKHOLDERS' EQUITY</w:t>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liabilities:</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31,555 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36,714 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and other liabilities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73,917 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38,789 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107,326 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liabilities</w:t>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262,491 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192,855 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37,422 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39,100 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200,382 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liabilities,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w:t>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501,898 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516,212 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chivo;sans-serif" w:hAnsi="Archivo;sans-serif"/>
                <w:b w:val="false"/>
                <w:color w:val="000000"/>
                <w:sz w:val="18"/>
              </w:rPr>
              <w:t xml:space="preserve">Commitments and contingencies (Note </w:t>
            </w:r>
            <w:hyperlink w:anchor="i12dd4962790343d797409b782cbae4f7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Stockholders' equity:</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Preferred stock: $0.001 par value, 5,000 shares authorized, none issued and outstanding as of September 30, 2026 and March 31, 2026</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Common stock: $0.001 par value, 300,000 shares authorized, 145,860 shares and 141,164 shares issued and outstanding as of September 30, 2026 and March 31, 2026, respectively</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Additional paid-in capital</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1,046,108 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1,038,745 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other comprehensive loss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deficit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(883,885)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(886,073)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stockholders' equity</w:t>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155,997 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146,609 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 and stockholders' equity</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657,895 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662,821 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11175"/>
                <wp:effectExtent l="0" t="0" r="0" b="0"/>
                <wp:wrapNone/>
                <wp:docPr id="5" name="Frame4"/>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5" w:name="i1efe1c9c81b34c009d0a044f7aebdee4_147"/>
      <w:bookmarkEnd w:id="5"/>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OPERATIONS AND COMPREHENSIVE INCOME (LOSS)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tbl>
      <w:tblPr>
        <w:tblW w:w="10205" w:type="dxa"/>
        <w:jc w:val="left"/>
        <w:tblInd w:w="0" w:type="dxa"/>
        <w:tblLayout w:type="fixed"/>
        <w:tblCellMar>
          <w:top w:w="28" w:type="dxa"/>
          <w:left w:w="28" w:type="dxa"/>
          <w:bottom w:w="28" w:type="dxa"/>
          <w:right w:w="28" w:type="dxa"/>
        </w:tblCellMar>
      </w:tblPr>
      <w:tblGrid>
        <w:gridCol w:w="1446"/>
        <w:gridCol w:w="1012"/>
        <w:gridCol w:w="1020"/>
        <w:gridCol w:w="254"/>
        <w:gridCol w:w="1067"/>
        <w:gridCol w:w="122"/>
        <w:gridCol w:w="122"/>
        <w:gridCol w:w="122"/>
        <w:gridCol w:w="122"/>
        <w:gridCol w:w="254"/>
        <w:gridCol w:w="1067"/>
        <w:gridCol w:w="122"/>
        <w:gridCol w:w="109"/>
        <w:gridCol w:w="109"/>
        <w:gridCol w:w="109"/>
        <w:gridCol w:w="241"/>
        <w:gridCol w:w="1013"/>
        <w:gridCol w:w="116"/>
        <w:gridCol w:w="116"/>
        <w:gridCol w:w="116"/>
        <w:gridCol w:w="116"/>
        <w:gridCol w:w="241"/>
        <w:gridCol w:w="1013"/>
        <w:gridCol w:w="176"/>
      </w:tblGrid>
      <w:tr>
        <w:tc>
          <w:tcPr>
            <w:tcW w:w="14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3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187,784 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179,094 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373,130 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355,402 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192,001 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184,095 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382,171 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71,093 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57,699 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138,728 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111,521 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cost of revenue</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77,437 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64,755 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151,236 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125,676 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114,564 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230,935 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239,780 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expenses: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27,570 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55,976 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56,146 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114,896 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132,019 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Impairment of long-lived assets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operating expenses</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107,632 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113,991 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219,624 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233,866 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from operations</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6,932 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5,349 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5,914 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(loss) before provision for income taxes</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income (loss) per share:</w:t>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Diluted</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number of shares: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136,970 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143,459 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Diluted</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146,349 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145,958 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Comprehensive income (loss)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Comprehensive income (loss)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11175"/>
                <wp:effectExtent l="0" t="0" r="0" b="0"/>
                <wp:wrapNone/>
                <wp:docPr id="6" name="Frame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6" w:name="idde2f0017e624db2a1f8a64561962fb5_101"/>
      <w:bookmarkEnd w:id="6"/>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STOCKHOLDERS' EQUITY</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6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4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26" w:type="dxa"/>
            <w:gridSpan w:val="3"/>
            <w:vMerge w:val="continue"/>
            <w:tcBorders/>
            <w:tcMar>
              <w:top w:w="0" w:type="dxa"/>
              <w:left w:w="0" w:type="dxa"/>
              <w:bottom w:w="0" w:type="dxa"/>
              <w:right w:w="0" w:type="dxa"/>
            </w:tcMar>
            <w:vAlign w:val="center"/>
          </w:tcPr>
          <w:p>
            <w:pPr>
              <w:pStyle w:val="Normal"/>
              <w:bidi w:val="0"/>
              <w:jc w:val="left"/>
            </w:p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2026</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(6,204)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(886,073)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2026</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143,970 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(6,105)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(887,273)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147,817 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ESPP share issuance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September 30, 2026</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145,860 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1,046,108 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(6,372)</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(883,885)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155,997 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6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4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26" w:type="dxa"/>
            <w:gridSpan w:val="3"/>
            <w:vMerge w:val="continue"/>
            <w:tcBorders/>
            <w:tcMar>
              <w:top w:w="0" w:type="dxa"/>
              <w:left w:w="0" w:type="dxa"/>
              <w:bottom w:w="0" w:type="dxa"/>
              <w:right w:w="0" w:type="dxa"/>
            </w:tcMar>
            <w:vAlign w:val="center"/>
          </w:tcPr>
          <w:p>
            <w:pPr>
              <w:pStyle w:val="Normal"/>
              <w:bidi w:val="0"/>
              <w:jc w:val="left"/>
            </w:p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2025</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135,747 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(892,036)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ESPP share issuance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September 30, 2025</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138,569 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1,028,971 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(4,679)</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(891,269)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11175"/>
                <wp:effectExtent l="0" t="0" r="0" b="0"/>
                <wp:wrapNone/>
                <wp:docPr id="7" name="Frame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7" w:name="i9250e5b4feda4806af5dba9817435961_89"/>
      <w:bookmarkEnd w:id="7"/>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CASH FLOWS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0205" w:type="dxa"/>
        <w:jc w:val="center"/>
        <w:tblInd w:w="0" w:type="dxa"/>
        <w:tblLayout w:type="fixed"/>
        <w:tblCellMar>
          <w:top w:w="28" w:type="dxa"/>
          <w:left w:w="28" w:type="dxa"/>
          <w:bottom w:w="28" w:type="dxa"/>
          <w:right w:w="28" w:type="dxa"/>
        </w:tblCellMar>
      </w:tblPr>
      <w:tblGrid>
        <w:gridCol w:w="2513"/>
        <w:gridCol w:w="2130"/>
        <w:gridCol w:w="2141"/>
        <w:gridCol w:w="274"/>
        <w:gridCol w:w="1150"/>
        <w:gridCol w:w="132"/>
        <w:gridCol w:w="132"/>
        <w:gridCol w:w="132"/>
        <w:gridCol w:w="132"/>
        <w:gridCol w:w="274"/>
        <w:gridCol w:w="1004"/>
        <w:gridCol w:w="191"/>
      </w:tblGrid>
      <w:tr>
        <w:tc>
          <w:tcPr>
            <w:tcW w:w="2513"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6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operating activities:</w:t>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Adjustments to reconcile net income (loss) to net cash provided by operating activities:</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Depreciation</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intangible assets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capitalized internal-use software costs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deferred contract acquisition costs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Allowance for credit losses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 net of accretion</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Impairment of long-lived assets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loss on remeasurement of warrants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Changes in assets and liabilities:</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(16,392)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and non-current assets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 and accrued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provided by operating activities</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30,093 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20,708 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investing activities:</w:t>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Purchases of property and equipment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Capitalized internal-use software costs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(4,084)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(7,140)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Payments for other investing activities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investing activities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(5,600)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(8,659)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financing activities:</w:t>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Proceeds from issuance of common stock under employee stock plans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Payments for debt issuance and amendment costs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Repayment of principal on term loan</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financing activities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financing activities</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(16,135)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(26,659)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1,970 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increase (decrease) in cash, cash equivalents and restricted cash</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(12,640)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cash equivalents and restricted cash, beginning of year</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cash equivalents and restricted cash, end of period</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102,601 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76,684 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Supplemental disclosures of cash flow information:</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paid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taxes paid</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Payables and accruals for property and equipment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11175"/>
                <wp:effectExtent l="0" t="0" r="0" b="0"/>
                <wp:wrapNone/>
                <wp:docPr id="8" name="Frame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8" w:name="i4159b039121d433db0806633f8b556ab_78"/>
      <w:bookmarkEnd w:id="8"/>
      <w:r>
        <w:rPr>
          <w:rFonts w:ascii="Archivo;sans-serif" w:hAnsi="Archivo;sans-serif"/>
          <w:b/>
          <w:color w:val="000000"/>
          <w:sz w:val="20"/>
        </w:rPr>
        <w:t>8X8, INC.</w:t>
      </w:r>
    </w:p>
    <w:p>
      <w:pPr>
        <w:pStyle w:val="TextBody"/>
        <w:bidi w:val="0"/>
        <w:spacing w:lineRule="auto" w:line="288" w:before="0" w:after="360"/>
        <w:jc w:val="center"/>
        <w:rPr>
          <w:rFonts w:ascii="Archivo;sans-serif" w:hAnsi="Archivo;sans-serif"/>
          <w:b/>
          <w:color w:val="000000"/>
          <w:sz w:val="20"/>
        </w:rPr>
      </w:pPr>
      <w:r>
        <w:rPr>
          <w:rFonts w:ascii="Archivo;sans-serif" w:hAnsi="Archivo;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 The Company and Significant Accounting Policies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The Company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Basis of Presentation and Consolidation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2026 and notes thereto included in the Form 10-K.</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unaudited condensed consolidated financial statements include the accounts of the Company and its wholly owned subsidiaries. All material intercompany accounts and transactions have been eliminated in consolidation. The Company conducts its operations through one operating and reportable segment.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2027.</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Use of Estimates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revenue recognition,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contract acquisition costs, stock-based compensation, incremental borrowing rate used to calculate operating lease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Significant Accounting Policies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There have been no material changes from the significant accounting policies previously disclosed in Part II, Item 8 of the Form 10-K, except for the following:</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Net Income (Loss) Per Share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Basic net income (loss) per share is computed by dividing net income (loss) available to stockholders (numerator) by the weighted average number of vested, unrestricted shares of common stock outstanding during the period (denominator). Diluted net income per share is computed on the basis of the weighted average number of shares of common stock, plus the effect of dilutive potential shares of common stock outstanding during the period. Dilutive potential shares of common stock from stock options, shares under the Amended and Restated 1996 Employee Stock Purchase Plan (the "ESPP"), Restricted Stock Units ("RSUs"), Performance Stock Units ("PSUs") and warrants are computed using the treasury stock method. PSUs subject to performance conditions are treated as contingently issuable shares and are included in diluted weighted average shares outstanding based on the number of shares that would be issuable if the end of the reporting period were the end of the contingency period, assuming the result would be dilutive. The treasury stock method is then applied to determine the net incremental dilutive shares from PSUs.</w:t>
      </w:r>
    </w:p>
    <w:p>
      <w:pPr>
        <w:pStyle w:val="TextBody"/>
        <w:bidi w:val="0"/>
        <w:spacing w:before="160" w:after="16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pPr>
      <w:r>
        <w:rPr>
          <w:rFonts w:ascii="Archivo;sans-serif" w:hAnsi="Archivo;sans-serif"/>
          <w:b w:val="false"/>
          <w:color w:val="000000"/>
          <w:sz w:val="18"/>
        </w:rPr>
        <w:t xml:space="preserve">Potential shares of common stock attributable to the Company's convertible senior notes due 2028 (the "2028 Notes") as discussed below in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are evaluated using the if-converted method, which requires testing both cash and share settlement assumptions and applying the more dilutive result. For periods where a net loss was recognized, basic and diluted net loss per share are the same, as the effect of potential shares of common stock would be anti-dilutive.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corrected immaterial prior period amounts within its net income (loss) per share disclosures to reflect the following:</w:t>
      </w:r>
    </w:p>
    <w:p>
      <w:pPr>
        <w:pStyle w:val="TextBody"/>
        <w:bidi w:val="0"/>
        <w:spacing w:lineRule="auto" w:line="288" w:before="160" w:after="160"/>
        <w:ind w:left="0" w:right="0" w:hanging="360"/>
        <w:jc w:val="both"/>
      </w:pPr>
      <w:r>
        <w:rPr>
          <w:color w:val="000000"/>
        </w:rPr>
        <w:t>•</w:t>
      </w:r>
      <w:r>
        <w:rPr>
          <w:rFonts w:ascii="Archivo;sans-serif" w:hAnsi="Archivo;sans-serif"/>
          <w:b w:val="false"/>
          <w:color w:val="000000"/>
          <w:sz w:val="18"/>
        </w:rPr>
        <w:t xml:space="preserve">The Company revised its anti-dilutive shares disclosure for the three and six months ended September 30, 2025 to reflect the following: (i) approximately 28.2 million shares issuable upon conversion of the 2028 Notes, which are anti-dilutive under the if-converted method for all periods presented; (ii) PSU shares updated to reflect only contingently issuable shares based on period-end performance; and (iii) additional RSU and PSU shares that were not previously included in the anti-dilutive table despite the Company being in a net loss position for that period. These revisions resulted in an immaterial correction to the anti-dilutive shares disclosure with no impact on basic or diluted net income (loss) per share in the condensed consolidated financial statements for any period presented. </w:t>
      </w:r>
    </w:p>
    <w:p>
      <w:pPr>
        <w:pStyle w:val="TextBody"/>
        <w:bidi w:val="0"/>
        <w:spacing w:lineRule="auto" w:line="288" w:before="160" w:after="160"/>
        <w:ind w:left="0" w:right="0" w:hanging="360"/>
        <w:jc w:val="both"/>
      </w:pPr>
      <w:r>
        <w:rPr>
          <w:color w:val="000000"/>
        </w:rPr>
        <w:t>•</w:t>
      </w:r>
      <w:r>
        <w:rPr>
          <w:rFonts w:ascii="Archivo;sans-serif" w:hAnsi="Archivo;sans-serif"/>
          <w:b w:val="false"/>
          <w:color w:val="000000"/>
          <w:sz w:val="18"/>
        </w:rPr>
        <w:t xml:space="preserve">The Company revised its computation of diluted weighted average shares outstanding for the three months ended September 30, 2025 to include PSUs as contingently issuable shares based on the number of shares that would be issuable if the end of the reporting period were the end of the contingency period, rather than the number of shares deemed probable of vesting. This resulted in an immaterial correction to diluted weighted average shares outstanding for the period presented, with no impact on basic or diluted net income (loss) per share in the condensed consolidated financial statements. See Note </w:t>
      </w:r>
      <w:hyperlink w:anchor="i12dd4962790343d797409b782cbae4f7_70">
        <w:r>
          <w:rPr>
            <w:rStyle w:val="InternetLink"/>
            <w:rFonts w:ascii="Archivo;sans-serif" w:hAnsi="Archivo;sans-serif"/>
            <w:b w:val="false"/>
            <w:strike w:val="false"/>
            <w:dstrike w:val="false"/>
            <w:color w:val="0000FF"/>
            <w:sz w:val="18"/>
            <w:u w:val="none"/>
            <w:effect w:val="none"/>
          </w:rPr>
          <w:t>11</w:t>
        </w:r>
      </w:hyperlink>
      <w:r>
        <w:rPr>
          <w:rFonts w:ascii="Archivo;sans-serif" w:hAnsi="Archivo;sans-serif"/>
          <w:b w:val="false"/>
          <w:color w:val="000000"/>
          <w:sz w:val="18"/>
        </w:rPr>
        <w:t>, Net Income (Loss) Per Share, for further details.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Recently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2024-04, Debt - Debt with Conversion and Other Options (Subtopic 470-20): Induced Conversions of Convertible Debt Instruments, which clarifies whether the induced conversion guidance can be applied to the settlement of a convertible debt instrument that does not require the issuance of equity securities upon conversion. This update is effective for annual reporting periods beginning after December 15, 2025, and interim reporting periods within those annual reporting periods. The Company has adopted ASU 2024-04 on a prospective basis during the three months ended June 30, 2026, and this ASU did not have a material impact on the condensed consolidated financial statements.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July 2025, the FASB issued ASU 2025-05, Financial Instruments - Credit Losses (Topic 326): Measurement of Credit Losses for Accounts Receivable and Contract Assets, providing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This update is effective for annual reporting periods beginning after December 15, 2025, and interim periods within those annual reporting periods, and this update is applied prospectively. The Company has elected the expedient and adopted ASU 2025-05 on a prospective basis during the three months ended June 30, 2026. This ASU did not have a material impact on the condensed consolidated financial statements.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Recently Issued Not Yet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2024-03, Income Statement - Reporting Comprehensive Income - Expense Disaggregation Disclosures (Subtopic 220-40): Disaggregation of Income Statement Expenses, and issued subsequent amendments to the implementation guidance (including ASU 2025-01), which requires companies to disclose additional information about specific expense categories in the notes to financial statements. This guidance will be effective for the Company's annual disclosures beginning for the fiscal year ending March 31, 2028 and for interim period disclosures beginning in the fiscal year ending March 31, 2029. The Company is currently evaluating the impact this guidance will have on the disclosures in its condensed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September 2025, the FASB issued ASU 2025-06, Intangibles - Goodwill and Other - Internal-Use Software (Subtopic 350-40): Targeted Improvements to the Accounting for Internal-Use Software, which updates the accounting model by replacing the project stage approach with a probable-to-complete threshold, relocates website development guidance into Subtopic 350-40, and requires enhanced disclosures for capitalized software costs. This guidance will be effective for the Company's interim and annual disclosures beginning for the fiscal year ending March 31, 2029. The Company is currently evaluating the impact this guidance will have on its condensed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December 2025, the FASB issued ASU 2025-11, Interim Reporting (Topic 270): Narrow-Scope Improvements, which clarifies interim disclosure requirements and adds a principle requiring disclosure of events since the end of the last annual reporting period that have a material impact on the entity. The ASU is effective for the Company’s interim disclosures beginning in the fiscal year ending March 31, 2029, with early adoption permitted, and is not expected to have a material impact on the Company’s condensed consolidated financial statements.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There have been no other recent accounting pronouncements, changes in accounting pronouncements or recently adopted accounting guidance during the six months ended September 30, 2026 that are of significance or potential significance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2. Segment and Revenue Information</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Segment Information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operates in and reports its results in a single operating and reportable segment offering SaaS solutions through the Company's Platform for Customer Experience ("CX"), which delivers unified communications-as-a-service ("UCaaS"), contact center-as-a-service ("CCaaS"), and communications platform-as-a-service ("CPaaS"). The Company derives revenue in the United States, United Kingdom, Singapore, and other international geographical locations from service revenue and other revenue, and manages the business activities on a consolidated basis.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Chief Executive Officer ("CEO"), who reviews operating results to make decisions about allocating resources and assessing performance for the entire Company, has been identified as the chief operating decision maker ("CODM"). The CEO manages and reviews financial information presented on a consolidated basis and uses consolidated net income (loss) for purposes of making operating decisions, evaluating operating expenses, assessing financial performance and the allocation of resources. The CODM does not assess segment performance or make decisions using asset or liability information. The consolidated financial information provided to the CODM, including significant expenses, is presented in a manner consistent with the information already disclosed in the accompanying condensed consolidated financial statements and the notes thereto.</w:t>
      </w:r>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Disaggregation of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believes that the nature, amount, timing, and uncertainty of its revenue and cash flows are most appropriately depicted by (i) geographic region and (ii) type of revenue or service provided. Revenue is disaggregated between subscription and platform usage, as these categories reflect key differences in economic characteristics, including recurring, over-time subscription revenue and variable, usage-based revenue driven by customer consumption.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sets forth the revenue geographic information based on the billing address of customers for each period (in thousands):</w:t>
      </w:r>
    </w:p>
    <w:tbl>
      <w:tblPr>
        <w:tblW w:w="8942" w:type="dxa"/>
        <w:jc w:val="left"/>
        <w:tblInd w:w="0" w:type="dxa"/>
        <w:tblLayout w:type="fixed"/>
        <w:tblCellMar>
          <w:top w:w="28" w:type="dxa"/>
          <w:left w:w="28" w:type="dxa"/>
          <w:bottom w:w="28" w:type="dxa"/>
          <w:right w:w="28" w:type="dxa"/>
        </w:tblCellMar>
      </w:tblPr>
      <w:tblGrid>
        <w:gridCol w:w="695"/>
        <w:gridCol w:w="610"/>
        <w:gridCol w:w="614"/>
        <w:gridCol w:w="269"/>
        <w:gridCol w:w="1130"/>
        <w:gridCol w:w="130"/>
        <w:gridCol w:w="130"/>
        <w:gridCol w:w="130"/>
        <w:gridCol w:w="130"/>
        <w:gridCol w:w="269"/>
        <w:gridCol w:w="1130"/>
        <w:gridCol w:w="130"/>
        <w:gridCol w:w="109"/>
        <w:gridCol w:w="109"/>
        <w:gridCol w:w="109"/>
        <w:gridCol w:w="250"/>
        <w:gridCol w:w="1049"/>
        <w:gridCol w:w="120"/>
        <w:gridCol w:w="120"/>
        <w:gridCol w:w="120"/>
        <w:gridCol w:w="120"/>
        <w:gridCol w:w="250"/>
        <w:gridCol w:w="1049"/>
        <w:gridCol w:w="170"/>
      </w:tblGrid>
      <w:t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103,495 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113,938 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209,296 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228,092 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Kingdom</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64,901 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Singapore</w:t>
            </w:r>
            <w:r>
              <w:rPr>
                <w:rFonts w:ascii="Archivo;sans-serif" w:hAnsi="Archivo;sans-serif"/>
                <w:b w:val="false"/>
                <w:color w:val="000000"/>
                <w:sz w:val="12"/>
              </w:rPr>
              <w:t>1</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27,585 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11,206 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43,521 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16,964 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International</w:t>
            </w:r>
            <w:r>
              <w:rPr>
                <w:rFonts w:ascii="Archivo;sans-serif" w:hAnsi="Archivo;sans-serif"/>
                <w:b w:val="false"/>
                <w:color w:val="000000"/>
                <w:sz w:val="12"/>
              </w:rPr>
              <w:t>2</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26,315 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62,809 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55,499 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192,001 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184,095 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382,171 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365,456 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and platform usage revenue and related fees from the Company's UCaaS, CCaaS and CPaaS offerings. Subscription, platform usage, and other revenue were as follows (in thousands):</w:t>
      </w:r>
    </w:p>
    <w:tbl>
      <w:tblPr>
        <w:tblW w:w="9288" w:type="dxa"/>
        <w:jc w:val="left"/>
        <w:tblInd w:w="0" w:type="dxa"/>
        <w:tblLayout w:type="fixed"/>
        <w:tblCellMar>
          <w:top w:w="28" w:type="dxa"/>
          <w:left w:w="28" w:type="dxa"/>
          <w:bottom w:w="28" w:type="dxa"/>
          <w:right w:w="28" w:type="dxa"/>
        </w:tblCellMar>
      </w:tblPr>
      <w:tblGrid>
        <w:gridCol w:w="820"/>
        <w:gridCol w:w="720"/>
        <w:gridCol w:w="725"/>
        <w:gridCol w:w="269"/>
        <w:gridCol w:w="1130"/>
        <w:gridCol w:w="130"/>
        <w:gridCol w:w="130"/>
        <w:gridCol w:w="130"/>
        <w:gridCol w:w="130"/>
        <w:gridCol w:w="269"/>
        <w:gridCol w:w="1130"/>
        <w:gridCol w:w="130"/>
        <w:gridCol w:w="109"/>
        <w:gridCol w:w="109"/>
        <w:gridCol w:w="109"/>
        <w:gridCol w:w="250"/>
        <w:gridCol w:w="1049"/>
        <w:gridCol w:w="120"/>
        <w:gridCol w:w="120"/>
        <w:gridCol w:w="120"/>
        <w:gridCol w:w="120"/>
        <w:gridCol w:w="250"/>
        <w:gridCol w:w="1049"/>
        <w:gridCol w:w="170"/>
      </w:tblGrid>
      <w:t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Subscription revenue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135,396 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291,300 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Platform usage revenue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52,388 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100,305 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64,102 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service revenue</w:t>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187,784 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179,094 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373,130 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355,402 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192,001 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184,095 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382,171 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365,456 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chivo;sans-serif" w:hAnsi="Archivo;sans-serif"/>
          <w:b w:val="false"/>
          <w:color w:val="000000"/>
          <w:sz w:val="10"/>
        </w:rPr>
        <w:t>1</w:t>
      </w:r>
      <w:r>
        <w:rPr>
          <w:color w:val="000000"/>
        </w:rPr>
        <w:t xml:space="preserve"> </w:t>
      </w:r>
      <w:r>
        <w:rPr>
          <w:rFonts w:ascii="Archivo;sans-serif" w:hAnsi="Archivo;sans-serif"/>
          <w:b w:val="false"/>
          <w:color w:val="000000"/>
          <w:sz w:val="16"/>
        </w:rPr>
        <w:t>Revenue from customers in Singapore exceeded 10% of total revenue for the three and six months ended September 30, 2026. Prior period amounts, previously included in "Other International" have been reclassified to conform to the current period presentation.</w:t>
      </w:r>
    </w:p>
    <w:p>
      <w:pPr>
        <w:pStyle w:val="TextBody"/>
        <w:bidi w:val="0"/>
        <w:spacing w:lineRule="auto" w:line="288" w:before="0" w:after="0"/>
        <w:jc w:val="both"/>
      </w:pPr>
      <w:r>
        <w:rPr>
          <w:rFonts w:ascii="Archivo;sans-serif" w:hAnsi="Archivo;sans-serif"/>
          <w:b w:val="false"/>
          <w:color w:val="000000"/>
          <w:sz w:val="10"/>
        </w:rPr>
        <w:t>2</w:t>
      </w:r>
      <w:r>
        <w:rPr>
          <w:color w:val="000000"/>
        </w:rPr>
        <w:t xml:space="preserve"> </w:t>
      </w:r>
      <w:r>
        <w:rPr>
          <w:rFonts w:ascii="Archivo;sans-serif" w:hAnsi="Archivo;sans-serif"/>
          <w:b w:val="false"/>
          <w:color w:val="000000"/>
          <w:sz w:val="16"/>
        </w:rPr>
        <w:t>No individual country within "Other International" represented 10% or more of the Company’s total revenue for the three and six months ended September 30, 2026 and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Contract Balances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contract assets and deferred revenue from contracts with customers (in thousands):</w:t>
      </w:r>
    </w:p>
    <w:tbl>
      <w:tblPr>
        <w:tblW w:w="10205" w:type="dxa"/>
        <w:jc w:val="left"/>
        <w:tblInd w:w="0" w:type="dxa"/>
        <w:tblLayout w:type="fixed"/>
        <w:tblCellMar>
          <w:top w:w="28" w:type="dxa"/>
          <w:left w:w="28" w:type="dxa"/>
          <w:bottom w:w="28" w:type="dxa"/>
          <w:right w:w="28" w:type="dxa"/>
        </w:tblCellMar>
      </w:tblPr>
      <w:tblGrid>
        <w:gridCol w:w="2221"/>
        <w:gridCol w:w="1953"/>
        <w:gridCol w:w="1957"/>
        <w:gridCol w:w="453"/>
        <w:gridCol w:w="1420"/>
        <w:gridCol w:w="220"/>
        <w:gridCol w:w="109"/>
        <w:gridCol w:w="109"/>
        <w:gridCol w:w="109"/>
        <w:gridCol w:w="343"/>
        <w:gridCol w:w="1073"/>
        <w:gridCol w:w="238"/>
      </w:tblGrid>
      <w:t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c>
          <w:tcPr>
            <w:tcW w:w="6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current (component of Other current assets)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4,996 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6,113 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non-current (component of Other non-current assets)</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5,423 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current</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38,789 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36,699 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Contract assets are recorded for contract consideration not yet invoiced but for which the performance obligations are completed. Contract assets, net of allowances for credit losses, are included in other current assets or other assets in the Company's condensed consolidated balance sheets, depending on whether their reduction will be recognized during the succeeding twelve-month period or beyond. The allowance applied to the Company's contract assets as of September 30, 2026 and March 31, 2026 and the activity in this account, including the current-period provision for expected credit losses for the six months ended September 30, 2026, was not material. As of March 31, 2025, contract assets, current and non-current were $7.0 million and $7.3 million, respectively.</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change in contract assets was primarily driven by billing of amounts previously recognized as revenue, net of new contract assets recognized during the period, resulting in a net decrease in the contract asset balance. The change in deferred revenue was primarily driven by new non-monthly invoices billed during the period exceeding the recognition of subscription and professional services revenue on previously invoiced non-monthly contracts. As of March 31, 2025, deferred revenue, current and non-current, was $37.8 million and $0.7 million, respectively. During the six months ended September 30, 2026 and September 30, 2025, the Company recognized revenue of approximately $29.7 million and $28.5 million that was included in deferred revenue at the beginning of the fiscal year, respectively.</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Remaining Performance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subscription terms typically range from one year to five years. Contract revenue from the remaining performance obligations that had not yet been recognized as of September 30, 2026 was approximately $610.0 million. This amount excludes contracts with an original expected length of less than one year. The Company expects to recognize revenue on approximately 87% of the remaining performance obligations over the next 24 months, including approximately 64% of the remaining performance obligations estimated to be recognized within 12 months, and approximately 13% estimated to be recognized over the remainder of the subscription period.</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Deferred Contract Acquisition Costs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Deferred sales commissions are considered incremental and recoverable costs of acquiring customer contracts. Amortization of deferred contract acquisition costs for the three months ended September 30, 2026 and 2025 was approximately $6.7 million and $8.4 million, respectively, and $13.7 million and $17.4 million during the six months ended September 30, 2026 and 2025, respectively. There were no material write-offs during the six months ended September 30, 2026 and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deferred contract acquisition costs from contracts with customers (in thousands):</w:t>
      </w:r>
    </w:p>
    <w:tbl>
      <w:tblPr>
        <w:tblW w:w="8665" w:type="dxa"/>
        <w:jc w:val="left"/>
        <w:tblInd w:w="0" w:type="dxa"/>
        <w:tblLayout w:type="fixed"/>
        <w:tblCellMar>
          <w:top w:w="28" w:type="dxa"/>
          <w:left w:w="28" w:type="dxa"/>
          <w:bottom w:w="28" w:type="dxa"/>
          <w:right w:w="28" w:type="dxa"/>
        </w:tblCellMar>
      </w:tblPr>
      <w:tblGrid>
        <w:gridCol w:w="1625"/>
        <w:gridCol w:w="1428"/>
        <w:gridCol w:w="1432"/>
        <w:gridCol w:w="419"/>
        <w:gridCol w:w="1536"/>
        <w:gridCol w:w="204"/>
        <w:gridCol w:w="109"/>
        <w:gridCol w:w="109"/>
        <w:gridCol w:w="109"/>
        <w:gridCol w:w="317"/>
        <w:gridCol w:w="1161"/>
        <w:gridCol w:w="216"/>
      </w:tblGrid>
      <w:t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21,896 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25,193 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32,973 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3. Fair Value Measurements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cash equivalents, and restricted cash were as follows (in thousands):</w:t>
      </w:r>
    </w:p>
    <w:tbl>
      <w:tblPr>
        <w:tblW w:w="9866" w:type="dxa"/>
        <w:jc w:val="left"/>
        <w:tblInd w:w="0" w:type="dxa"/>
        <w:tblLayout w:type="fixed"/>
        <w:tblCellMar>
          <w:top w:w="28" w:type="dxa"/>
          <w:left w:w="28" w:type="dxa"/>
          <w:bottom w:w="28" w:type="dxa"/>
          <w:right w:w="28" w:type="dxa"/>
        </w:tblCellMar>
      </w:tblPr>
      <w:tblGrid>
        <w:gridCol w:w="712"/>
        <w:gridCol w:w="630"/>
        <w:gridCol w:w="638"/>
        <w:gridCol w:w="109"/>
        <w:gridCol w:w="109"/>
        <w:gridCol w:w="109"/>
        <w:gridCol w:w="226"/>
        <w:gridCol w:w="946"/>
        <w:gridCol w:w="109"/>
        <w:gridCol w:w="109"/>
        <w:gridCol w:w="109"/>
        <w:gridCol w:w="109"/>
        <w:gridCol w:w="504"/>
        <w:gridCol w:w="2115"/>
        <w:gridCol w:w="245"/>
        <w:gridCol w:w="109"/>
        <w:gridCol w:w="109"/>
        <w:gridCol w:w="109"/>
        <w:gridCol w:w="687"/>
        <w:gridCol w:w="1602"/>
        <w:gridCol w:w="471"/>
      </w:tblGrid>
      <w:tr>
        <w:tc>
          <w:tcPr>
            <w:tcW w:w="71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September 30, 2026</w:t>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 (Current)</w:t>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81,038 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101,708 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46" w:type="dxa"/>
        <w:jc w:val="left"/>
        <w:tblInd w:w="0" w:type="dxa"/>
        <w:tblLayout w:type="fixed"/>
        <w:tblCellMar>
          <w:top w:w="28" w:type="dxa"/>
          <w:left w:w="28" w:type="dxa"/>
          <w:bottom w:w="28" w:type="dxa"/>
          <w:right w:w="28" w:type="dxa"/>
        </w:tblCellMar>
      </w:tblPr>
      <w:tblGrid>
        <w:gridCol w:w="712"/>
        <w:gridCol w:w="630"/>
        <w:gridCol w:w="638"/>
        <w:gridCol w:w="109"/>
        <w:gridCol w:w="109"/>
        <w:gridCol w:w="109"/>
        <w:gridCol w:w="226"/>
        <w:gridCol w:w="826"/>
        <w:gridCol w:w="109"/>
        <w:gridCol w:w="109"/>
        <w:gridCol w:w="109"/>
        <w:gridCol w:w="109"/>
        <w:gridCol w:w="557"/>
        <w:gridCol w:w="2038"/>
        <w:gridCol w:w="269"/>
        <w:gridCol w:w="109"/>
        <w:gridCol w:w="109"/>
        <w:gridCol w:w="109"/>
        <w:gridCol w:w="572"/>
        <w:gridCol w:w="1793"/>
        <w:gridCol w:w="395"/>
      </w:tblGrid>
      <w:tr>
        <w:tc>
          <w:tcPr>
            <w:tcW w:w="71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March 31, 2026</w:t>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 (Current)</w:t>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72,943 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20,317 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of September 30, 2025, cash, cash equivalents and restricted cash of $76.7 million included $75.9 million and $0.8 million of cash and cash equivalents and restricted cash, respectively.</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support its current operations, the Company considers all highly liquid investments with an original maturity of three months or less to be cash equivalents. The restricted cash component is related to accrued holdbacks for business combinations.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uses the Black-Scholes option-pricing valuation model to value its detachable warrants from inception and at each reporting period. During the three months ended September 30, 2026, the Company used historical volatility to determine the fair value of the warrants liability due to the low options trading volume and moneyness assessment as of September 30, 2026. Changes in the fair values of the detachable warrants liability are recorded as a gain (loss) on warrants remeasurement within other income (expense), net in the condensed consolidated statements of operations and comprehensive income (loss).</w:t>
      </w:r>
    </w:p>
    <w:p>
      <w:pPr>
        <w:pStyle w:val="TextBody"/>
        <w:bidi w:val="0"/>
        <w:spacing w:lineRule="auto" w:line="288" w:before="0" w:after="160"/>
        <w:jc w:val="both"/>
      </w:pPr>
      <w:r>
        <w:rPr>
          <w:rFonts w:ascii="Archivo;sans-serif" w:hAnsi="Archivo;sans-serif"/>
          <w:b w:val="false"/>
          <w:color w:val="000000"/>
          <w:sz w:val="18"/>
        </w:rPr>
        <w:t xml:space="preserve">The following table presents additional information about valuation techniques and inputs used for the detachable warrants (see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that are measured at fair value and categorized within Level 3 as of September 30, 2026 and March 31, 2026 (dollars in thousands):</w:t>
      </w:r>
    </w:p>
    <w:tbl>
      <w:tblPr>
        <w:tblW w:w="8245" w:type="dxa"/>
        <w:jc w:val="left"/>
        <w:tblInd w:w="0" w:type="dxa"/>
        <w:tblLayout w:type="fixed"/>
        <w:tblCellMar>
          <w:top w:w="28" w:type="dxa"/>
          <w:left w:w="28" w:type="dxa"/>
          <w:bottom w:w="28" w:type="dxa"/>
          <w:right w:w="28" w:type="dxa"/>
        </w:tblCellMar>
      </w:tblPr>
      <w:tblGrid>
        <w:gridCol w:w="1473"/>
        <w:gridCol w:w="1292"/>
        <w:gridCol w:w="1299"/>
        <w:gridCol w:w="804"/>
        <w:gridCol w:w="388"/>
        <w:gridCol w:w="967"/>
        <w:gridCol w:w="109"/>
        <w:gridCol w:w="109"/>
        <w:gridCol w:w="109"/>
        <w:gridCol w:w="588"/>
        <w:gridCol w:w="282"/>
        <w:gridCol w:w="825"/>
      </w:tblGrid>
      <w:t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Estimated fair value of detachable warrants</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w:t>
            </w:r>
          </w:p>
        </w:tc>
      </w:tr>
      <w:t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Unobservable inputs:</w:t>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volatility</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80.0 </w:t>
            </w:r>
          </w:p>
        </w:tc>
        <w:tc>
          <w:tcPr>
            <w:tcW w:w="9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78.8 </w:t>
            </w:r>
          </w:p>
        </w:tc>
        <w:tc>
          <w:tcPr>
            <w:tcW w:w="82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Risk-free rate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4.5 </w:t>
            </w:r>
          </w:p>
        </w:tc>
        <w:tc>
          <w:tcPr>
            <w:tcW w:w="9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3.7 </w:t>
            </w:r>
          </w:p>
        </w:tc>
        <w:tc>
          <w:tcPr>
            <w:tcW w:w="8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Expected term</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 years</w:t>
            </w:r>
          </w:p>
        </w:tc>
      </w:tr>
    </w:tbl>
    <w:p>
      <w:pPr>
        <w:pStyle w:val="TextBody"/>
        <w:bidi w:val="0"/>
        <w:spacing w:lineRule="auto" w:line="288" w:before="0" w:after="160"/>
        <w:jc w:val="both"/>
      </w:pPr>
      <w:r>
        <w:rPr>
          <w:rFonts w:ascii="Archivo;sans-serif" w:hAnsi="Archivo;sans-serif"/>
          <w:b w:val="false"/>
          <w:color w:val="000000"/>
          <w:sz w:val="18"/>
        </w:rPr>
        <w:t xml:space="preserve">As of September 30, 2026 and March 31, 2026, the estimated fair value of the Company’s convertible senior notes due in 2028 was $195.5 million and $187.7 million, respectively (see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The fair value of the convertible senior notes was determined based on the closing price of the notes on the last trading day of the reporting period, and is classified as Level 2 in the fair value hierarchy due to limited trading activity of the debt instruments. As of September 30, 2026 and March 31, 2026, the carrying value of the Company’s 2024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4. Financial Statement Components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Accounts receivable, net consisted of the following (in thousands):</w:t>
      </w:r>
    </w:p>
    <w:tbl>
      <w:tblPr>
        <w:tblW w:w="7434" w:type="dxa"/>
        <w:jc w:val="left"/>
        <w:tblInd w:w="0" w:type="dxa"/>
        <w:tblLayout w:type="fixed"/>
        <w:tblCellMar>
          <w:top w:w="28" w:type="dxa"/>
          <w:left w:w="28" w:type="dxa"/>
          <w:bottom w:w="28" w:type="dxa"/>
          <w:right w:w="28" w:type="dxa"/>
        </w:tblCellMar>
      </w:tblPr>
      <w:tblGrid>
        <w:gridCol w:w="1178"/>
        <w:gridCol w:w="1037"/>
        <w:gridCol w:w="1039"/>
        <w:gridCol w:w="419"/>
        <w:gridCol w:w="1536"/>
        <w:gridCol w:w="204"/>
        <w:gridCol w:w="109"/>
        <w:gridCol w:w="109"/>
        <w:gridCol w:w="109"/>
        <w:gridCol w:w="317"/>
        <w:gridCol w:w="1161"/>
        <w:gridCol w:w="216"/>
      </w:tblGrid>
      <w:t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accounts receivable</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60,377 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51,191 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Unbilled trade accounts receivable</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credit losses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sales reserves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accounts receivable, net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61,956 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57,004 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Allowances for credit losses and sales reserves consisted of the following (in thousands):</w:t>
      </w:r>
    </w:p>
    <w:tbl>
      <w:tblPr>
        <w:tblW w:w="9644" w:type="dxa"/>
        <w:jc w:val="left"/>
        <w:tblInd w:w="0" w:type="dxa"/>
        <w:tblLayout w:type="fixed"/>
        <w:tblCellMar>
          <w:top w:w="28" w:type="dxa"/>
          <w:left w:w="28" w:type="dxa"/>
          <w:bottom w:w="28" w:type="dxa"/>
          <w:right w:w="28" w:type="dxa"/>
        </w:tblCellMar>
      </w:tblPr>
      <w:tblGrid>
        <w:gridCol w:w="760"/>
        <w:gridCol w:w="668"/>
        <w:gridCol w:w="671"/>
        <w:gridCol w:w="327"/>
        <w:gridCol w:w="1153"/>
        <w:gridCol w:w="157"/>
        <w:gridCol w:w="157"/>
        <w:gridCol w:w="157"/>
        <w:gridCol w:w="157"/>
        <w:gridCol w:w="327"/>
        <w:gridCol w:w="1153"/>
        <w:gridCol w:w="157"/>
        <w:gridCol w:w="109"/>
        <w:gridCol w:w="109"/>
        <w:gridCol w:w="109"/>
        <w:gridCol w:w="293"/>
        <w:gridCol w:w="1035"/>
        <w:gridCol w:w="141"/>
        <w:gridCol w:w="113"/>
        <w:gridCol w:w="113"/>
        <w:gridCol w:w="113"/>
        <w:gridCol w:w="320"/>
        <w:gridCol w:w="1128"/>
        <w:gridCol w:w="217"/>
      </w:tblGrid>
      <w:t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Year Ended March 31, 2026</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r>
      <w:t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Beginning balance</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(Reserve) provision</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Write-offs (recoveries)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8,746 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Ending balance</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(2,904)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2026 and March 31, 2026, no customer accounted for more than 10% of accounts receivable. For the three and six months ended September 30, 2026 and 2025, no customer accounted for more than 10% of revenue.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Property and equipment, net, by geography consisted of the following (in thousands):</w:t>
      </w:r>
    </w:p>
    <w:tbl>
      <w:tblPr>
        <w:tblW w:w="7449" w:type="dxa"/>
        <w:jc w:val="left"/>
        <w:tblInd w:w="0" w:type="dxa"/>
        <w:tblLayout w:type="fixed"/>
        <w:tblCellMar>
          <w:top w:w="28" w:type="dxa"/>
          <w:left w:w="28" w:type="dxa"/>
          <w:bottom w:w="28" w:type="dxa"/>
          <w:right w:w="28" w:type="dxa"/>
        </w:tblCellMar>
      </w:tblPr>
      <w:tblGrid>
        <w:gridCol w:w="1184"/>
        <w:gridCol w:w="1039"/>
        <w:gridCol w:w="1046"/>
        <w:gridCol w:w="419"/>
        <w:gridCol w:w="1536"/>
        <w:gridCol w:w="204"/>
        <w:gridCol w:w="109"/>
        <w:gridCol w:w="109"/>
        <w:gridCol w:w="109"/>
        <w:gridCol w:w="317"/>
        <w:gridCol w:w="1161"/>
        <w:gridCol w:w="216"/>
      </w:tblGrid>
      <w:t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39,238 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42,441 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International</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property and equipment, net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42,963 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45,821 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current assets consisted of the following (in thousands):</w:t>
      </w:r>
    </w:p>
    <w:tbl>
      <w:tblPr>
        <w:tblW w:w="6624" w:type="dxa"/>
        <w:jc w:val="left"/>
        <w:tblInd w:w="0" w:type="dxa"/>
        <w:tblLayout w:type="fixed"/>
        <w:tblCellMar>
          <w:top w:w="28" w:type="dxa"/>
          <w:left w:w="28" w:type="dxa"/>
          <w:bottom w:w="28" w:type="dxa"/>
          <w:right w:w="28" w:type="dxa"/>
        </w:tblCellMar>
      </w:tblPr>
      <w:tblGrid>
        <w:gridCol w:w="884"/>
        <w:gridCol w:w="777"/>
        <w:gridCol w:w="783"/>
        <w:gridCol w:w="419"/>
        <w:gridCol w:w="1536"/>
        <w:gridCol w:w="204"/>
        <w:gridCol w:w="109"/>
        <w:gridCol w:w="109"/>
        <w:gridCol w:w="109"/>
        <w:gridCol w:w="317"/>
        <w:gridCol w:w="1161"/>
        <w:gridCol w:w="216"/>
      </w:tblGrid>
      <w:t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Prepaid expense</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24,945 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23,556 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other current assets</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32,314 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32,650 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Accrued and other liabilities consisted of the following (in thousands):</w:t>
      </w:r>
    </w:p>
    <w:tbl>
      <w:tblPr>
        <w:tblW w:w="7299" w:type="dxa"/>
        <w:jc w:val="left"/>
        <w:tblInd w:w="0" w:type="dxa"/>
        <w:tblLayout w:type="fixed"/>
        <w:tblCellMar>
          <w:top w:w="28" w:type="dxa"/>
          <w:left w:w="28" w:type="dxa"/>
          <w:bottom w:w="28" w:type="dxa"/>
          <w:right w:w="28" w:type="dxa"/>
        </w:tblCellMar>
      </w:tblPr>
      <w:tblGrid>
        <w:gridCol w:w="1131"/>
        <w:gridCol w:w="991"/>
        <w:gridCol w:w="997"/>
        <w:gridCol w:w="419"/>
        <w:gridCol w:w="1536"/>
        <w:gridCol w:w="204"/>
        <w:gridCol w:w="109"/>
        <w:gridCol w:w="109"/>
        <w:gridCol w:w="109"/>
        <w:gridCol w:w="317"/>
        <w:gridCol w:w="1161"/>
        <w:gridCol w:w="216"/>
      </w:tblGrid>
      <w:t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compensation</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21,499 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21,649 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taxes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25,787 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23,238 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accrued liabilities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accrued and other liabilities</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73,917 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income (expense), net consisted of the following (in thousands):</w:t>
      </w:r>
    </w:p>
    <w:tbl>
      <w:tblPr>
        <w:tblW w:w="10205" w:type="dxa"/>
        <w:jc w:val="left"/>
        <w:tblInd w:w="0" w:type="dxa"/>
        <w:tblLayout w:type="fixed"/>
        <w:tblCellMar>
          <w:top w:w="28" w:type="dxa"/>
          <w:left w:w="28" w:type="dxa"/>
          <w:bottom w:w="28" w:type="dxa"/>
          <w:right w:w="28" w:type="dxa"/>
        </w:tblCellMar>
      </w:tblPr>
      <w:tblGrid>
        <w:gridCol w:w="1253"/>
        <w:gridCol w:w="1098"/>
        <w:gridCol w:w="1103"/>
        <w:gridCol w:w="334"/>
        <w:gridCol w:w="1048"/>
        <w:gridCol w:w="161"/>
        <w:gridCol w:w="161"/>
        <w:gridCol w:w="161"/>
        <w:gridCol w:w="161"/>
        <w:gridCol w:w="334"/>
        <w:gridCol w:w="780"/>
        <w:gridCol w:w="161"/>
        <w:gridCol w:w="109"/>
        <w:gridCol w:w="109"/>
        <w:gridCol w:w="109"/>
        <w:gridCol w:w="323"/>
        <w:gridCol w:w="754"/>
        <w:gridCol w:w="155"/>
        <w:gridCol w:w="155"/>
        <w:gridCol w:w="155"/>
        <w:gridCol w:w="155"/>
        <w:gridCol w:w="323"/>
        <w:gridCol w:w="874"/>
        <w:gridCol w:w="229"/>
      </w:tblGrid>
      <w:tr>
        <w:tc>
          <w:tcPr>
            <w:tcW w:w="1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(loss) on warrants remeasurement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income</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4"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5. Intangible Assets and Goodwill</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carrying value of intangible assets consisted of the following (in thousands):</w:t>
      </w:r>
    </w:p>
    <w:tbl>
      <w:tblPr>
        <w:tblW w:w="11875" w:type="dxa"/>
        <w:jc w:val="left"/>
        <w:tblInd w:w="0" w:type="dxa"/>
        <w:tblLayout w:type="fixed"/>
        <w:tblCellMar>
          <w:top w:w="28" w:type="dxa"/>
          <w:left w:w="28" w:type="dxa"/>
          <w:bottom w:w="28" w:type="dxa"/>
          <w:right w:w="28" w:type="dxa"/>
        </w:tblCellMar>
      </w:tblPr>
      <w:tblGrid>
        <w:gridCol w:w="457"/>
        <w:gridCol w:w="401"/>
        <w:gridCol w:w="403"/>
        <w:gridCol w:w="360"/>
        <w:gridCol w:w="360"/>
        <w:gridCol w:w="361"/>
        <w:gridCol w:w="109"/>
        <w:gridCol w:w="109"/>
        <w:gridCol w:w="109"/>
        <w:gridCol w:w="226"/>
        <w:gridCol w:w="946"/>
        <w:gridCol w:w="109"/>
        <w:gridCol w:w="109"/>
        <w:gridCol w:w="109"/>
        <w:gridCol w:w="109"/>
        <w:gridCol w:w="226"/>
        <w:gridCol w:w="986"/>
        <w:gridCol w:w="109"/>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826"/>
        <w:gridCol w:w="154"/>
      </w:tblGrid>
      <w:t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Weighted Average Remaining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w:t>
              <w:br/>
              <w:t>Amount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Customer relationships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(52,673)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(46,177)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names and domains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acquired identifiable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(99,487)</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At September 30, 2026, annual amortization of intangible assets, based upon existing intangible assets and current useful lives, is estimated to be the following (in thousands):</w:t>
      </w:r>
    </w:p>
    <w:tbl>
      <w:tblPr>
        <w:tblW w:w="3590" w:type="dxa"/>
        <w:jc w:val="left"/>
        <w:tblInd w:w="0" w:type="dxa"/>
        <w:tblLayout w:type="fixed"/>
        <w:tblCellMar>
          <w:top w:w="28" w:type="dxa"/>
          <w:left w:w="28" w:type="dxa"/>
          <w:bottom w:w="28" w:type="dxa"/>
          <w:right w:w="28" w:type="dxa"/>
        </w:tblCellMar>
      </w:tblPr>
      <w:tblGrid>
        <w:gridCol w:w="864"/>
        <w:gridCol w:w="759"/>
        <w:gridCol w:w="761"/>
        <w:gridCol w:w="226"/>
        <w:gridCol w:w="826"/>
        <w:gridCol w:w="154"/>
      </w:tblGrid>
      <w:t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 summary of the changes in the carrying amounts of goodwill (in thousands):</w:t>
      </w:r>
    </w:p>
    <w:tbl>
      <w:tblPr>
        <w:tblW w:w="4596" w:type="dxa"/>
        <w:jc w:val="left"/>
        <w:tblInd w:w="0" w:type="dxa"/>
        <w:tblLayout w:type="fixed"/>
        <w:tblCellMar>
          <w:top w:w="28" w:type="dxa"/>
          <w:left w:w="28" w:type="dxa"/>
          <w:bottom w:w="28" w:type="dxa"/>
          <w:right w:w="28" w:type="dxa"/>
        </w:tblCellMar>
      </w:tblPr>
      <w:tblGrid>
        <w:gridCol w:w="1184"/>
        <w:gridCol w:w="1041"/>
        <w:gridCol w:w="1045"/>
        <w:gridCol w:w="226"/>
        <w:gridCol w:w="946"/>
        <w:gridCol w:w="154"/>
      </w:tblGrid>
      <w:t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6. Leases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components of lease expense were as follows (in thousands):</w:t>
      </w:r>
    </w:p>
    <w:tbl>
      <w:tblPr>
        <w:tblW w:w="9365" w:type="dxa"/>
        <w:jc w:val="left"/>
        <w:tblInd w:w="0" w:type="dxa"/>
        <w:tblLayout w:type="fixed"/>
        <w:tblCellMar>
          <w:top w:w="28" w:type="dxa"/>
          <w:left w:w="28" w:type="dxa"/>
          <w:bottom w:w="28" w:type="dxa"/>
          <w:right w:w="28" w:type="dxa"/>
        </w:tblCellMar>
      </w:tblPr>
      <w:tblGrid>
        <w:gridCol w:w="848"/>
        <w:gridCol w:w="745"/>
        <w:gridCol w:w="747"/>
        <w:gridCol w:w="323"/>
        <w:gridCol w:w="1011"/>
        <w:gridCol w:w="156"/>
        <w:gridCol w:w="156"/>
        <w:gridCol w:w="156"/>
        <w:gridCol w:w="156"/>
        <w:gridCol w:w="323"/>
        <w:gridCol w:w="1011"/>
        <w:gridCol w:w="156"/>
        <w:gridCol w:w="109"/>
        <w:gridCol w:w="109"/>
        <w:gridCol w:w="109"/>
        <w:gridCol w:w="299"/>
        <w:gridCol w:w="936"/>
        <w:gridCol w:w="144"/>
        <w:gridCol w:w="144"/>
        <w:gridCol w:w="144"/>
        <w:gridCol w:w="144"/>
        <w:gridCol w:w="299"/>
        <w:gridCol w:w="936"/>
        <w:gridCol w:w="204"/>
      </w:tblGrid>
      <w:t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5,529 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Variable lease expense</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530"/>
        <w:gridCol w:w="1255"/>
        <w:gridCol w:w="1263"/>
        <w:gridCol w:w="277"/>
        <w:gridCol w:w="866"/>
        <w:gridCol w:w="133"/>
        <w:gridCol w:w="133"/>
        <w:gridCol w:w="133"/>
        <w:gridCol w:w="133"/>
        <w:gridCol w:w="277"/>
        <w:gridCol w:w="866"/>
        <w:gridCol w:w="133"/>
        <w:gridCol w:w="109"/>
        <w:gridCol w:w="109"/>
        <w:gridCol w:w="109"/>
        <w:gridCol w:w="264"/>
        <w:gridCol w:w="827"/>
        <w:gridCol w:w="127"/>
        <w:gridCol w:w="127"/>
        <w:gridCol w:w="127"/>
        <w:gridCol w:w="127"/>
        <w:gridCol w:w="264"/>
        <w:gridCol w:w="827"/>
        <w:gridCol w:w="189"/>
      </w:tblGrid>
      <w:tr>
        <w:tc>
          <w:tcPr>
            <w:tcW w:w="15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outflows from operating leases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6,940 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Right-of-use assets obtained in exchange for operating lease obligations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Short-term lease expense was immaterial during the six months ended September 30, 2026 and 2025.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supplemental lease information:</w:t>
      </w:r>
    </w:p>
    <w:tbl>
      <w:tblPr>
        <w:tblW w:w="7930" w:type="dxa"/>
        <w:jc w:val="left"/>
        <w:tblInd w:w="0" w:type="dxa"/>
        <w:tblLayout w:type="fixed"/>
        <w:tblCellMar>
          <w:top w:w="28" w:type="dxa"/>
          <w:left w:w="28" w:type="dxa"/>
          <w:bottom w:w="28" w:type="dxa"/>
          <w:right w:w="28" w:type="dxa"/>
        </w:tblCellMar>
      </w:tblPr>
      <w:tblGrid>
        <w:gridCol w:w="1357"/>
        <w:gridCol w:w="1194"/>
        <w:gridCol w:w="1198"/>
        <w:gridCol w:w="719"/>
        <w:gridCol w:w="719"/>
        <w:gridCol w:w="721"/>
        <w:gridCol w:w="109"/>
        <w:gridCol w:w="109"/>
        <w:gridCol w:w="109"/>
        <w:gridCol w:w="495"/>
        <w:gridCol w:w="495"/>
        <w:gridCol w:w="705"/>
      </w:tblGrid>
      <w:t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remaining lease term</w:t>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4.5 years</w:t>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discount rate</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4.6%</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maturity of lease liabilities under the Company's noncancelable operating leases as of September 30, 2026 (in thousands):</w:t>
      </w:r>
    </w:p>
    <w:tbl>
      <w:tblPr>
        <w:tblW w:w="4760" w:type="dxa"/>
        <w:jc w:val="left"/>
        <w:tblInd w:w="0" w:type="dxa"/>
        <w:tblLayout w:type="fixed"/>
        <w:tblCellMar>
          <w:top w:w="28" w:type="dxa"/>
          <w:left w:w="28" w:type="dxa"/>
          <w:bottom w:w="28" w:type="dxa"/>
          <w:right w:w="28" w:type="dxa"/>
        </w:tblCellMar>
      </w:tblPr>
      <w:tblGrid>
        <w:gridCol w:w="1288"/>
        <w:gridCol w:w="1132"/>
        <w:gridCol w:w="1134"/>
        <w:gridCol w:w="226"/>
        <w:gridCol w:w="826"/>
        <w:gridCol w:w="154"/>
      </w:tblGrid>
      <w:t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lease payments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imputed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Present value of lease liabilities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During the three and six months ended September 30, 2026, the Company renewed lease agreements of existing international office space in the United Kingdom over a five-year term. During the six months ended September 30, 2026, the Company recognized a right-of-use asset and lease liability of $4.3 million and $4.1 million, respectively, on the condensed consolidated balance sheets.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three months ended September 30, 2026, management committed to the cessation of use of approximately 21% of leased space at the Company’s headquarters located at 675 Creekside Way, Campbell, CA (the “Company’s Headquarters”). The Company ceased use of the space on August 7, 2026, and plans to continue to hold this space available for sublease.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reviewed the recoverability of the related right-of-use asset during the three months ended September 30, 2026, and determined the change in the intended use of this location represented an impairment indicator, as this event indicated the carrying value of the right-of-use asset may not be recoverable. In connection with the partial cease-use of the Company’s Headquarters, the Company recorded an impairment charge of $2.9 million, because the carrying amount of the right-of-use asset related to the lease exceeded its fair value based on the Company’s estimate of future discounted cash flows under the income approach. The fair value represented a Level 3 measurement and utilized certain unobservable inputs which required significant judgment and estimates, including estimated sublease income, temporary idling periods, discount rates, free rent periods, and sublease terms based on the Company’s experience and assessment of existing market conditions.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estimation of sublease income is subject to uncertainty due to various factors, including market conditions, demand for the commercial real estate market and the Company’s Headquarters, the future financial stability of potential subtenants, market rent and any related free rent periods. Temporary idling periods are difficult to predict accurately and may arise due to unforeseen circumstances, such as the availability of new tenants, economic downturns, or changes in commercial real estate market conditions. The estimated discount rate of 6.6% is influenced by various factors, including prevailing interest rates, collateralization, and the remaining lease term. The Level 3 fair value measurement was determined by discounting estimated future sublease cash flows, which reflect estimated sublease income, temporary idling periods, and free rent periods, at the estimated discount rate.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three and six months ended September 30, 2026, the non-cash charge of $2.9 million was recorded as an impairment of long-lived assets on the condensed consolidated statements of operations and comprehensive income (loss). No impairment charges were recorded during the three and six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7. Commitments and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Indemnifications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Operating Leases</w:t>
      </w:r>
    </w:p>
    <w:p>
      <w:pPr>
        <w:pStyle w:val="TextBody"/>
        <w:bidi w:val="0"/>
        <w:spacing w:lineRule="auto" w:line="288" w:before="0" w:after="160"/>
        <w:jc w:val="both"/>
      </w:pPr>
      <w:r>
        <w:rPr>
          <w:rFonts w:ascii="Archivo;sans-serif" w:hAnsi="Archivo;sans-serif"/>
          <w:b w:val="false"/>
          <w:color w:val="000000"/>
          <w:sz w:val="18"/>
        </w:rPr>
        <w:t xml:space="preserve">The Company's lease obligations consist of the Company's principal facility and various leased facilities under operating lease agreements. See Note </w:t>
      </w:r>
      <w:hyperlink w:anchor="i12dd4962790343d797409b782cbae4f7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Leases, for more information on the Company's leases and the future minimum lease payments.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Purchase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six months ended September 30, 2026, the Company entered into a $74.0 million noncancelable five-year hosting service contract with a cloud service provider. Under this agreement, $2.0 million has been paid as of September 30, 2026, $6.1 million remains due during fiscal 2027, $13.9 million will be due during fiscal 2028, $15.8 million will be due during fiscal 2029 and $36.2 million will be due for the remaining contractual term.</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fiscal year ended March 31, 2026, the Company increased its noncancelable three-year hosting service contract commitment from $24.1 million to $54.0 million. Under this agreement, $3.4 million remains due in fiscal 2027 and $10.0 million will be due in fiscal 2028.</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Legal Proceedings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may be involved in various claims, lawsuits, investigations, and other legal proceedings, all in various phases,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believes it has recorded adequate provisions for any such lawsuits and claims and proceedings as of September 30, 2026.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condensed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condensed consolidated financial statements could be materially adversely affected in a particular period by the resolution of one or more of these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Federal, State and Local Taxes and Surcharges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From time to time, the Company has received inquiries from a number of federal, state and local taxing agencies with respect to the remittance of sales, use, telecommunications, excise, and income taxes. Several jurisdictions currently are conducting tax audits of the Company's records, all in various phases. The Company collects and/or accrues amounts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Based on such assessments, as of September 30, 2026 and March 31, 2026, the Company had accrued contingent indirect tax liabilities of $9.7 million and $9.4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8. Convertible Senior Notes and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the convertible senior notes and term loan were as follows (in thousands):</w:t>
      </w:r>
    </w:p>
    <w:tbl>
      <w:tblPr>
        <w:tblW w:w="10642" w:type="dxa"/>
        <w:jc w:val="left"/>
        <w:tblInd w:w="0" w:type="dxa"/>
        <w:tblLayout w:type="fixed"/>
        <w:tblCellMar>
          <w:top w:w="28" w:type="dxa"/>
          <w:left w:w="28" w:type="dxa"/>
          <w:bottom w:w="28" w:type="dxa"/>
          <w:right w:w="28" w:type="dxa"/>
        </w:tblCellMar>
      </w:tblPr>
      <w:tblGrid>
        <w:gridCol w:w="462"/>
        <w:gridCol w:w="406"/>
        <w:gridCol w:w="408"/>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Principal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Unamortized debt discount and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Net carrying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307,708 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Non-current portion of long-term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Components of interest expense were as follows (in thousands):</w:t>
      </w:r>
    </w:p>
    <w:tbl>
      <w:tblPr>
        <w:tblW w:w="10205" w:type="dxa"/>
        <w:jc w:val="left"/>
        <w:tblInd w:w="0" w:type="dxa"/>
        <w:tblLayout w:type="fixed"/>
        <w:tblCellMar>
          <w:top w:w="28" w:type="dxa"/>
          <w:left w:w="28" w:type="dxa"/>
          <w:bottom w:w="28" w:type="dxa"/>
          <w:right w:w="28" w:type="dxa"/>
        </w:tblCellMar>
      </w:tblPr>
      <w:tblGrid>
        <w:gridCol w:w="750"/>
        <w:gridCol w:w="597"/>
        <w:gridCol w:w="599"/>
        <w:gridCol w:w="251"/>
        <w:gridCol w:w="785"/>
        <w:gridCol w:w="121"/>
        <w:gridCol w:w="110"/>
        <w:gridCol w:w="110"/>
        <w:gridCol w:w="110"/>
        <w:gridCol w:w="232"/>
        <w:gridCol w:w="726"/>
        <w:gridCol w:w="112"/>
        <w:gridCol w:w="110"/>
        <w:gridCol w:w="110"/>
        <w:gridCol w:w="110"/>
        <w:gridCol w:w="228"/>
        <w:gridCol w:w="714"/>
        <w:gridCol w:w="110"/>
        <w:gridCol w:w="109"/>
        <w:gridCol w:w="109"/>
        <w:gridCol w:w="109"/>
        <w:gridCol w:w="251"/>
        <w:gridCol w:w="785"/>
        <w:gridCol w:w="121"/>
        <w:gridCol w:w="110"/>
        <w:gridCol w:w="110"/>
        <w:gridCol w:w="110"/>
        <w:gridCol w:w="232"/>
        <w:gridCol w:w="725"/>
        <w:gridCol w:w="112"/>
        <w:gridCol w:w="110"/>
        <w:gridCol w:w="110"/>
        <w:gridCol w:w="110"/>
        <w:gridCol w:w="228"/>
        <w:gridCol w:w="713"/>
        <w:gridCol w:w="166"/>
      </w:tblGrid>
      <w:tr>
        <w:tc>
          <w:tcPr>
            <w:tcW w:w="75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September 30, 2025</w:t>
            </w:r>
          </w:p>
        </w:tc>
      </w:tr>
      <w:t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c>
          <w:tcPr>
            <w:tcW w:w="1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debt interest</w:t>
            </w:r>
            <w:r>
              <w:rPr>
                <w:rFonts w:ascii="Archivo;sans-serif" w:hAnsi="Archivo;sans-serif"/>
                <w:b w:val="false"/>
                <w:color w:val="000000"/>
                <w:sz w:val="12"/>
              </w:rPr>
              <w:t>2</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2,545 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0"/>
        <w:gridCol w:w="606"/>
        <w:gridCol w:w="608"/>
        <w:gridCol w:w="252"/>
        <w:gridCol w:w="788"/>
        <w:gridCol w:w="121"/>
        <w:gridCol w:w="109"/>
        <w:gridCol w:w="109"/>
        <w:gridCol w:w="109"/>
        <w:gridCol w:w="232"/>
        <w:gridCol w:w="726"/>
        <w:gridCol w:w="112"/>
        <w:gridCol w:w="109"/>
        <w:gridCol w:w="109"/>
        <w:gridCol w:w="109"/>
        <w:gridCol w:w="226"/>
        <w:gridCol w:w="706"/>
        <w:gridCol w:w="109"/>
        <w:gridCol w:w="109"/>
        <w:gridCol w:w="109"/>
        <w:gridCol w:w="109"/>
        <w:gridCol w:w="252"/>
        <w:gridCol w:w="788"/>
        <w:gridCol w:w="121"/>
        <w:gridCol w:w="109"/>
        <w:gridCol w:w="109"/>
        <w:gridCol w:w="109"/>
        <w:gridCol w:w="232"/>
        <w:gridCol w:w="726"/>
        <w:gridCol w:w="112"/>
        <w:gridCol w:w="109"/>
        <w:gridCol w:w="109"/>
        <w:gridCol w:w="109"/>
        <w:gridCol w:w="226"/>
        <w:gridCol w:w="706"/>
        <w:gridCol w:w="161"/>
      </w:tblGrid>
      <w:tr>
        <w:tc>
          <w:tcPr>
            <w:tcW w:w="7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 2025</w:t>
            </w:r>
          </w:p>
        </w:tc>
      </w:tr>
      <w:t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c>
          <w:tcPr>
            <w:tcW w:w="19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chivo;sans-serif" w:hAnsi="Archivo;sans-serif"/>
                <w:b w:val="false"/>
                <w:color w:val="000000"/>
                <w:sz w:val="18"/>
              </w:rPr>
              <w:t>Total debt interest</w:t>
            </w:r>
            <w:r>
              <w:rPr>
                <w:rFonts w:ascii="Archivo;sans-serif" w:hAnsi="Archivo;sans-serif"/>
                <w:b w:val="false"/>
                <w:color w:val="000000"/>
                <w:sz w:val="12"/>
              </w:rPr>
              <w:t>2</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3,797 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5,171 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pStyle w:val="TextBody"/>
        <w:bidi w:val="0"/>
        <w:spacing w:before="0" w:after="160"/>
        <w:jc w:val="both"/>
      </w:pPr>
      <w:r/>
    </w:p>
    <w:p>
      <w:pPr>
        <w:pStyle w:val="TextBody"/>
        <w:bidi w:val="0"/>
        <w:spacing w:lineRule="auto" w:line="288" w:before="0" w:after="0"/>
        <w:jc w:val="both"/>
      </w:pPr>
      <w:r>
        <w:rPr>
          <w:rFonts w:ascii="Archivo;sans-serif" w:hAnsi="Archivo;sans-serif"/>
          <w:b w:val="false"/>
          <w:color w:val="000000"/>
          <w:sz w:val="10"/>
        </w:rPr>
        <w:t>1</w:t>
      </w:r>
      <w:r>
        <w:rPr>
          <w:color w:val="000000"/>
        </w:rPr>
        <w:t xml:space="preserve"> </w:t>
      </w:r>
      <w:r>
        <w:rPr>
          <w:rFonts w:ascii="Archivo;sans-serif" w:hAnsi="Archivo;sans-serif"/>
          <w:b w:val="false"/>
          <w:i/>
          <w:color w:val="000000"/>
          <w:sz w:val="16"/>
        </w:rPr>
        <w:t>Amount represents the non-cash amortization of debt discount and issuance costs associated with the Company's debt instruments. These costs are amortized to interest expense over the respective terms of the debt using the effective interest method.</w:t>
      </w:r>
    </w:p>
    <w:p>
      <w:pPr>
        <w:pStyle w:val="TextBody"/>
        <w:bidi w:val="0"/>
        <w:spacing w:lineRule="auto" w:line="288" w:before="0" w:after="0"/>
        <w:jc w:val="both"/>
      </w:pPr>
      <w:r>
        <w:rPr>
          <w:rFonts w:ascii="Archivo;sans-serif" w:hAnsi="Archivo;sans-serif"/>
          <w:b w:val="false"/>
          <w:color w:val="000000"/>
          <w:sz w:val="10"/>
        </w:rPr>
        <w:t>2</w:t>
      </w:r>
      <w:r>
        <w:rPr>
          <w:color w:val="000000"/>
        </w:rPr>
        <w:t xml:space="preserve"> </w:t>
      </w:r>
      <w:r>
        <w:rPr>
          <w:rFonts w:ascii="Archivo;sans-serif" w:hAnsi="Archivo;sans-serif"/>
          <w:b w:val="false"/>
          <w:i/>
          <w:color w:val="000000"/>
          <w:sz w:val="16"/>
        </w:rPr>
        <w:t>Total debt interest expense excludes the impact of capitalized interest related to property and equipment from general borrowing costs during the six months ended September 30,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Standard Overnight Financing Rate (the "Term SOFR"), plus a margin of either 2.50%, 2.75% or 3.00%, based on the consolidated total net leverage ratio of the Company and its subsidiaries. The initial margin was 3.00% for the fiscal quarter ending September 30, 2024 and remained 3.00% as of September 30, 2026. The Company has the option to pay interest monthly, quarterly, or semi-annually. During the three months ended September 30, 2026, the Company elected monthly interest payment terms, resulting in contractual interest expense of $1.8 million. As of September 30, 2026, the debt issuance costs were amortized to interest expense over the term of the 2024 Term Loan at an effective interest rate of 8.61%.</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On April 10, 2026, the Company prepaid $14.5 million of quarterly principal payments due under the 2024 Term Loan. The Company completed three principal repayments of the 2024 Term Loan during fiscal 2026 for a total of $30.0 million in aggregate principal amount.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2026, the scheduled minimum principal repayments are $25.0 million in fiscal 2027 (consisting of $12.5 million on each of December 31, 2026 and March 31, 2027) and $82.5 million in fiscal 2028 (consisting of $12.5 million on June 30, 2027 and $70.0 million due upon maturity on August 15, 2027). As of September 30, 2026, the Company has paid $22.5 million, $37.5 million, $22.5 million, and $10.0 million of the originally scheduled principal repayments due in fiscal 2025, 2026, 2027, and 2028 respectively, and the remaining principal amount of the 2024 Term Loan after the payments is $107.5 million.</w:t>
      </w:r>
    </w:p>
    <w:p>
      <w:pPr>
        <w:pStyle w:val="TextBody"/>
        <w:bidi w:val="0"/>
        <w:spacing w:lineRule="auto" w:line="288" w:before="0" w:after="160"/>
        <w:jc w:val="both"/>
      </w:pPr>
      <w:r>
        <w:rPr>
          <w:rFonts w:ascii="Archivo;sans-serif" w:hAnsi="Archivo;sans-serif"/>
          <w:b w:val="false"/>
          <w:color w:val="000000"/>
          <w:sz w:val="18"/>
        </w:rPr>
        <w:t xml:space="preserve">On October 9, 2026, the Company paid the $12.5 million short-term principal payment due December 2026 under the 2024 Term Loan, reducing the remaining principal balance to $95.0 million. The Company has $12.5 million of mandatory principal payments remaining due for fiscal 2027, and the next quarterly payment is due on March 31, 2027. See Note </w:t>
      </w:r>
      <w:hyperlink w:anchor="i12dd4962790343d797409b782cbae4f7_73">
        <w:r>
          <w:rPr>
            <w:rStyle w:val="InternetLink"/>
            <w:rFonts w:ascii="Archivo;sans-serif" w:hAnsi="Archivo;sans-serif"/>
            <w:b w:val="false"/>
            <w:strike w:val="false"/>
            <w:dstrike w:val="false"/>
            <w:color w:val="0000FF"/>
            <w:sz w:val="18"/>
            <w:u w:val="none"/>
            <w:effect w:val="none"/>
          </w:rPr>
          <w:t>12</w:t>
        </w:r>
      </w:hyperlink>
      <w:r>
        <w:rPr>
          <w:rFonts w:ascii="Archivo;sans-serif" w:hAnsi="Archivo;sans-serif"/>
          <w:b w:val="false"/>
          <w:color w:val="000000"/>
          <w:sz w:val="18"/>
        </w:rPr>
        <w:t>, Subsequent Events, for more information.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29, 2025, the Company executed the First Amendment (the "Amendment") to the 2024 Credit Agreement. The Amendment is designed to provide additional financial flexibility and support future strategic initiatives. Under the terms of the 2024 Credit Agreement, the Company may prepay the 2024 Term Loan at any time without incurring a premium or penalty. The Amendment also modified, among other things, the requirements to meet certain financial ratio tests in connection with permitted acquisitions and an adjustment to maintain the existing consolidated total net leverage ratio (a measure of total debt relative to Adjusted Cash EBITDA) at its current level for the duration of the 2024 Credit Agreement. In connection with the Amendment, the Company prepaid $10.0 million of the remaining long-term principal payment due in August 2027 under the 2024 Term Loan. This prepayment did not adjust the scheduled quarterly principal payments.</w:t>
      </w:r>
    </w:p>
    <w:p>
      <w:pPr>
        <w:pStyle w:val="TextBody"/>
        <w:bidi w:val="0"/>
        <w:spacing w:lineRule="auto" w:line="288" w:before="0" w:after="160"/>
        <w:jc w:val="both"/>
      </w:pPr>
      <w:r>
        <w:rPr>
          <w:rFonts w:ascii="Archivo;sans-serif" w:hAnsi="Archivo;sans-serif"/>
          <w:b w:val="false"/>
          <w:color w:val="000000"/>
          <w:sz w:val="18"/>
        </w:rPr>
        <w:t xml:space="preserve">These short-term principal debt repayments are accounted for as partial debt extinguishment transactions. The carrying value of the 2024 Term Loan, including the unamortized debt discount and issuance costs, was derecognized. The difference between the cash consideration paid to partially extinguish the 2024 Term Loan and the carrying value of the 2024 Term Loan was recognized as a loss on debt extinguishment within other income (expense), net, in the condensed consolidated statements of operations and comprehensive income (loss). See Note </w:t>
      </w:r>
      <w:hyperlink w:anchor="i12dd4962790343d797409b782cbae4f7_46">
        <w:r>
          <w:rPr>
            <w:rStyle w:val="InternetLink"/>
            <w:rFonts w:ascii="Archivo;sans-serif" w:hAnsi="Archivo;sans-serif"/>
            <w:b w:val="false"/>
            <w:strike w:val="false"/>
            <w:dstrike w:val="false"/>
            <w:color w:val="0000FF"/>
            <w:sz w:val="18"/>
            <w:u w:val="none"/>
            <w:effect w:val="none"/>
          </w:rPr>
          <w:t>4</w:t>
        </w:r>
      </w:hyperlink>
      <w:r>
        <w:rPr>
          <w:rFonts w:ascii="Archivo;sans-serif" w:hAnsi="Archivo;sans-serif"/>
          <w:b w:val="false"/>
          <w:color w:val="000000"/>
          <w:sz w:val="18"/>
        </w:rPr>
        <w:t>, Financial Statement Components, for further details.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September 30, 2026, the Company was in compliance with all covenants set forth in the 2024 Credit Agreement.</w:t>
      </w:r>
    </w:p>
    <w:p>
      <w:pPr>
        <w:pStyle w:val="TextBody"/>
        <w:bidi w:val="0"/>
        <w:spacing w:lineRule="auto" w:line="288" w:before="0" w:after="0"/>
        <w:jc w:val="left"/>
        <w:rPr>
          <w:rFonts w:ascii="Archivo;sans-serif" w:hAnsi="Archivo;sans-serif"/>
          <w:b w:val="false"/>
          <w:i/>
          <w:color w:val="000000"/>
          <w:sz w:val="18"/>
        </w:rPr>
      </w:pPr>
      <w:r>
        <w:rPr>
          <w:rFonts w:ascii="Archivo;sans-serif" w:hAnsi="Archivo;sans-serif"/>
          <w:b w:val="false"/>
          <w:i/>
          <w:color w:val="000000"/>
          <w:sz w:val="18"/>
        </w:rPr>
        <w:t>2022 Term Loan and Warrants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entered into a senior secured term loan facility (the “2022 Term Loan”) under a term loan credit agreement (the “2022 Credit Agreement”) on August 3, 2022 with Wilmington Savings Fund Society, FSB, as administrative agent, and certain affiliates of Francisco Partners ("FP"). On August 5, 2024, the Company repaid the full outstanding principal amount and accrued interest of the 2022 Term Loan using the proceeds of the 2024 Term Loan and cash on hand.</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pPr>
      <w:r>
        <w:rPr>
          <w:rFonts w:ascii="Archivo;sans-serif" w:hAnsi="Archivo;sans-serif"/>
          <w:b w:val="false"/>
          <w:color w:val="000000"/>
          <w:sz w:val="18"/>
        </w:rPr>
        <w:t xml:space="preserve">The Warrants remain outstanding, with no change in terms in connection with the repayment of the 2022 Term Loan or issuance of the 2024 Term Loan. As of September 30, 2026 and March 31, 2026, the fair value of the Warrants was $0.2 million and $0.2 million, respectively, and was recorded within accrued and other liabilities as of September 30, 2026 and other liabilities, non-current as of March 31, 2026 on the condensed consolidated balance sheets. The subsequent changes in fair value were recorded through other income (expense), net in the Company’s condensed consolidated statements of operations and comprehensive income (loss). See Note </w:t>
      </w:r>
      <w:hyperlink w:anchor="i12dd4962790343d797409b782cbae4f7_43">
        <w:r>
          <w:rPr>
            <w:rStyle w:val="InternetLink"/>
            <w:rFonts w:ascii="Archivo;sans-serif" w:hAnsi="Archivo;sans-serif"/>
            <w:b w:val="false"/>
            <w:strike w:val="false"/>
            <w:dstrike w:val="false"/>
            <w:color w:val="0000FF"/>
            <w:sz w:val="18"/>
            <w:u w:val="none"/>
            <w:effect w:val="none"/>
          </w:rPr>
          <w:t>3</w:t>
        </w:r>
      </w:hyperlink>
      <w:r>
        <w:rPr>
          <w:rFonts w:ascii="Archivo;sans-serif" w:hAnsi="Archivo;sans-serif"/>
          <w:b w:val="false"/>
          <w:color w:val="000000"/>
          <w:sz w:val="18"/>
        </w:rPr>
        <w:t>, Fair Value Measurements, for further details.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2028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2026 and March 31, 2026, the Company had $201.9 million aggregate principal amount of 4.00% 2028 Notes, with debt issuance costs of approximately $5.6 million, of which 50% was paid in the form of shares of the Company's common stock. The 2028 Notes are senior obligations of the Company that accrue interest, payable semi-annually in arrears on February 1 and August 1 of each year.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with cash, shares of the Company’s common stock, or a combination of cash and shares of the Company’s stock. As of September 30, 2026, the Company was in compliance with all covenants set forth in the indenture governing the 2028 Notes. The debt discount and debt issuance costs are amortized to interest expense over the term of the 2028 Notes at an effective interest rate of 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chivo;sans-serif" w:hAnsi="Archivo;sans-serif"/>
          <w:b/>
          <w:color w:val="000000"/>
          <w:sz w:val="22"/>
        </w:rPr>
      </w:pPr>
      <w:r>
        <w:rPr>
          <w:rFonts w:ascii="Archivo;sans-serif" w:hAnsi="Archivo;sans-serif"/>
          <w:b/>
          <w:color w:val="000000"/>
          <w:sz w:val="22"/>
        </w:rPr>
        <w:t>9. Stock-Based Compensation and Stockholders' Equity</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Common Stock Reserved for Future Issuance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Shares of common stock reserved for future issuance related to outstanding equity awards and employee equity incentive plans as of September 30, 2026 were as follows (in thousands):</w:t>
      </w:r>
    </w:p>
    <w:tbl>
      <w:tblPr>
        <w:tblW w:w="8565" w:type="dxa"/>
        <w:jc w:val="left"/>
        <w:tblInd w:w="0" w:type="dxa"/>
        <w:tblLayout w:type="fixed"/>
        <w:tblCellMar>
          <w:top w:w="28" w:type="dxa"/>
          <w:left w:w="28" w:type="dxa"/>
          <w:bottom w:w="28" w:type="dxa"/>
          <w:right w:w="28" w:type="dxa"/>
        </w:tblCellMar>
      </w:tblPr>
      <w:tblGrid>
        <w:gridCol w:w="1760"/>
        <w:gridCol w:w="1546"/>
        <w:gridCol w:w="1554"/>
        <w:gridCol w:w="1085"/>
        <w:gridCol w:w="1085"/>
        <w:gridCol w:w="1535"/>
      </w:tblGrid>
      <w:t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 of Common Stock Reserved</w:t>
            </w:r>
          </w:p>
        </w:tc>
      </w:tr>
      <w:tr>
        <w:tc>
          <w:tcPr>
            <w:tcW w:w="4860"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and performance stock units outstanding</w:t>
            </w:r>
          </w:p>
        </w:tc>
        <w:tc>
          <w:tcPr>
            <w:tcW w:w="2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16,048 </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2017 Plan</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1,596 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2022 Plan</w:t>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13,117 </w:t>
            </w:r>
          </w:p>
        </w:tc>
        <w:tc>
          <w:tcPr>
            <w:tcW w:w="1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for future issuance under the ESPP</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3,674 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shares of common stock reserved</w:t>
            </w:r>
          </w:p>
        </w:tc>
        <w:tc>
          <w:tcPr>
            <w:tcW w:w="2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34,435 </w:t>
            </w:r>
          </w:p>
        </w:tc>
        <w:tc>
          <w:tcPr>
            <w:tcW w:w="1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2022 Equity Incentive Plan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August 3, 2026, stockholders of the Company approved an amendment to the Amended and Restated 2022 Equity Incentive Plan (the "2022 Plan"), which increased the number of shares of the Company's common stock reserved for future issuance by 8.3 million shares.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2017 New Employee Inducement Incentive Plan</w:t>
      </w:r>
    </w:p>
    <w:p>
      <w:pPr>
        <w:pStyle w:val="TextBody"/>
        <w:bidi w:val="0"/>
        <w:spacing w:lineRule="auto" w:line="288" w:before="0" w:after="160"/>
        <w:jc w:val="both"/>
      </w:pPr>
      <w:r>
        <w:rPr>
          <w:rFonts w:ascii="Archivo;sans-serif" w:hAnsi="Archivo;sans-serif"/>
          <w:b w:val="false"/>
          <w:color w:val="000000"/>
          <w:sz w:val="18"/>
        </w:rPr>
        <w:t xml:space="preserve">On July 29, 2026, the Board of Directors approved an amendment to the Amended and Restated 2017 New Employee Inducement Incentive Plan (the "2017 Plan"), which increased the number of shares of the Company's common stock reserved for future issuance by 1.2 million shares. Subsequent to the end of the quarter, the Board of Directors approved an amendment increasing the number of shares reserved for future issuance by 1.2 million shares. See Note </w:t>
      </w:r>
      <w:hyperlink w:anchor="i12dd4962790343d797409b782cbae4f7_73">
        <w:r>
          <w:rPr>
            <w:rStyle w:val="InternetLink"/>
            <w:rFonts w:ascii="Archivo;sans-serif" w:hAnsi="Archivo;sans-serif"/>
            <w:b w:val="false"/>
            <w:strike w:val="false"/>
            <w:dstrike w:val="false"/>
            <w:color w:val="0000FF"/>
            <w:sz w:val="18"/>
            <w:u w:val="none"/>
            <w:effect w:val="none"/>
          </w:rPr>
          <w:t>12</w:t>
        </w:r>
      </w:hyperlink>
      <w:r>
        <w:rPr>
          <w:rFonts w:ascii="Archivo;sans-serif" w:hAnsi="Archivo;sans-serif"/>
          <w:b w:val="false"/>
          <w:color w:val="000000"/>
          <w:sz w:val="18"/>
        </w:rPr>
        <w:t>, Subsequent Events, for further details.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Stock-Based Compensation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stock-based compensation expense (in thousands):</w:t>
      </w:r>
    </w:p>
    <w:tbl>
      <w:tblPr>
        <w:tblW w:w="9618" w:type="dxa"/>
        <w:jc w:val="left"/>
        <w:tblInd w:w="0" w:type="dxa"/>
        <w:tblLayout w:type="fixed"/>
        <w:tblCellMar>
          <w:top w:w="28" w:type="dxa"/>
          <w:left w:w="28" w:type="dxa"/>
          <w:bottom w:w="28" w:type="dxa"/>
          <w:right w:w="28" w:type="dxa"/>
        </w:tblCellMar>
      </w:tblPr>
      <w:tblGrid>
        <w:gridCol w:w="940"/>
        <w:gridCol w:w="824"/>
        <w:gridCol w:w="830"/>
        <w:gridCol w:w="323"/>
        <w:gridCol w:w="1011"/>
        <w:gridCol w:w="156"/>
        <w:gridCol w:w="156"/>
        <w:gridCol w:w="156"/>
        <w:gridCol w:w="156"/>
        <w:gridCol w:w="323"/>
        <w:gridCol w:w="1011"/>
        <w:gridCol w:w="156"/>
        <w:gridCol w:w="109"/>
        <w:gridCol w:w="109"/>
        <w:gridCol w:w="109"/>
        <w:gridCol w:w="285"/>
        <w:gridCol w:w="893"/>
        <w:gridCol w:w="137"/>
        <w:gridCol w:w="137"/>
        <w:gridCol w:w="137"/>
        <w:gridCol w:w="137"/>
        <w:gridCol w:w="285"/>
        <w:gridCol w:w="1044"/>
        <w:gridCol w:w="194"/>
      </w:tblGrid>
      <w:t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11,715 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 xml:space="preserve">The Company accounts for stock-based compensation through the measurement and recognition of compensation expense for share-based payment awards made to employees, directors or consultants over the related requisite service period, including restricted stock, RSUs and PSUs, qualified performance-based awards, and stock grants (all issuable under the Company's equity incentive plans). </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As of September 30, 2026, unrecognized stock-based compensation expense by award type and their expected weighted-average recognition periods are summarized as follows (in thousands, except years):</w:t>
      </w:r>
    </w:p>
    <w:tbl>
      <w:tblPr>
        <w:tblW w:w="8591" w:type="dxa"/>
        <w:jc w:val="left"/>
        <w:tblInd w:w="0" w:type="dxa"/>
        <w:tblLayout w:type="fixed"/>
        <w:tblCellMar>
          <w:top w:w="28" w:type="dxa"/>
          <w:left w:w="28" w:type="dxa"/>
          <w:bottom w:w="28" w:type="dxa"/>
          <w:right w:w="28" w:type="dxa"/>
        </w:tblCellMar>
      </w:tblPr>
      <w:tblGrid>
        <w:gridCol w:w="1685"/>
        <w:gridCol w:w="1479"/>
        <w:gridCol w:w="1485"/>
        <w:gridCol w:w="226"/>
        <w:gridCol w:w="826"/>
        <w:gridCol w:w="109"/>
        <w:gridCol w:w="109"/>
        <w:gridCol w:w="109"/>
        <w:gridCol w:w="109"/>
        <w:gridCol w:w="226"/>
        <w:gridCol w:w="706"/>
        <w:gridCol w:w="109"/>
        <w:gridCol w:w="109"/>
        <w:gridCol w:w="109"/>
        <w:gridCol w:w="109"/>
        <w:gridCol w:w="226"/>
        <w:gridCol w:w="706"/>
        <w:gridCol w:w="154"/>
      </w:tblGrid>
      <w:t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ESPP</w:t>
            </w:r>
          </w:p>
        </w:tc>
      </w:tr>
      <w:t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Unrecognized stock-based compensation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amortization period</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years</w:t>
            </w:r>
          </w:p>
        </w:tc>
      </w:tr>
    </w:tbl>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Restricted Stock Units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RSU activity (shares in thousands):</w:t>
      </w:r>
    </w:p>
    <w:tbl>
      <w:tblPr>
        <w:tblW w:w="10205" w:type="dxa"/>
        <w:jc w:val="left"/>
        <w:tblInd w:w="0" w:type="dxa"/>
        <w:tblLayout w:type="fixed"/>
        <w:tblCellMar>
          <w:top w:w="28" w:type="dxa"/>
          <w:left w:w="28" w:type="dxa"/>
          <w:bottom w:w="28" w:type="dxa"/>
          <w:right w:w="28" w:type="dxa"/>
        </w:tblCellMar>
      </w:tblPr>
      <w:tblGrid>
        <w:gridCol w:w="860"/>
        <w:gridCol w:w="607"/>
        <w:gridCol w:w="615"/>
        <w:gridCol w:w="575"/>
        <w:gridCol w:w="461"/>
        <w:gridCol w:w="462"/>
        <w:gridCol w:w="109"/>
        <w:gridCol w:w="109"/>
        <w:gridCol w:w="109"/>
        <w:gridCol w:w="613"/>
        <w:gridCol w:w="1595"/>
        <w:gridCol w:w="299"/>
        <w:gridCol w:w="109"/>
        <w:gridCol w:w="109"/>
        <w:gridCol w:w="109"/>
        <w:gridCol w:w="1011"/>
        <w:gridCol w:w="1011"/>
        <w:gridCol w:w="1442"/>
      </w:tblGrid>
      <w:tr>
        <w:tc>
          <w:tcPr>
            <w:tcW w:w="8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RSUs</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9,791 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0.86</w:t>
            </w:r>
          </w:p>
        </w:tc>
      </w:tr>
      <w:t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7,772 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(4,130)</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(1,213)</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2026</w:t>
            </w:r>
          </w:p>
        </w:tc>
        <w:tc>
          <w:tcPr>
            <w:tcW w:w="10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w:t>
            </w:r>
          </w:p>
        </w:tc>
      </w:tr>
    </w:tbl>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Performance Stock Units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Market-Based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grant date fair value of market-based PSUs is determined using a Monte Carlo simulation model. Stock-based compensation expense is recognized over the requisite service period, regardless of whether the market condition is ultimately achieved. During the three and six months ended September 30, 2026 and 2025, the Company determined that the market conditions were not achieved and therefore no shares have been earned.</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Performance-Based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is valued based on the Company’s stock price at the grant date. Stock-based compensation expense is recognized over the requisite service period based on the number of units expected to vest, which is reassessed during each reporting period based on the Company’s evaluation of the probability of achieving the applicable performance conditions.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determined that the CFFO and revenue targets for the performance period were probable of being achieved and recognized $0.7 million and $1.1 million of related compensation expense for the three and six months ended September 30, 2026, respectively. The Company recognized $0.6 million and $0.9 million of related stock-based compensation expense for the three and six months ended September 30,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21"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PSU activity (shares in thousands):</w:t>
      </w:r>
    </w:p>
    <w:tbl>
      <w:tblPr>
        <w:tblW w:w="10205" w:type="dxa"/>
        <w:jc w:val="left"/>
        <w:tblInd w:w="0" w:type="dxa"/>
        <w:tblLayout w:type="fixed"/>
        <w:tblCellMar>
          <w:top w:w="28" w:type="dxa"/>
          <w:left w:w="28" w:type="dxa"/>
          <w:bottom w:w="28" w:type="dxa"/>
          <w:right w:w="28" w:type="dxa"/>
        </w:tblCellMar>
      </w:tblPr>
      <w:tblGrid>
        <w:gridCol w:w="863"/>
        <w:gridCol w:w="612"/>
        <w:gridCol w:w="619"/>
        <w:gridCol w:w="510"/>
        <w:gridCol w:w="463"/>
        <w:gridCol w:w="464"/>
        <w:gridCol w:w="109"/>
        <w:gridCol w:w="109"/>
        <w:gridCol w:w="109"/>
        <w:gridCol w:w="617"/>
        <w:gridCol w:w="1607"/>
        <w:gridCol w:w="302"/>
        <w:gridCol w:w="109"/>
        <w:gridCol w:w="109"/>
        <w:gridCol w:w="109"/>
        <w:gridCol w:w="1019"/>
        <w:gridCol w:w="1019"/>
        <w:gridCol w:w="1456"/>
      </w:tblGrid>
      <w:tr>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PSUs</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0.65</w:t>
            </w:r>
          </w:p>
        </w:tc>
      </w:tr>
      <w:t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r>
              <w:rPr>
                <w:rFonts w:ascii="Archivo;sans-serif" w:hAnsi="Archivo;sans-serif"/>
                <w:b w:val="false"/>
                <w:color w:val="000000"/>
                <w:sz w:val="12"/>
              </w:rPr>
              <w:t>1</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(938)</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2026</w:t>
            </w:r>
          </w:p>
        </w:tc>
        <w:tc>
          <w:tcPr>
            <w:tcW w:w="9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3,828 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w:t>
            </w:r>
          </w:p>
        </w:tc>
      </w:tr>
    </w:tbl>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Share Repurchase Program</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Repurchase Plan"). The 2017 Repurchase Plan expires when the maximum purchase amount is reached, or upon the earlier revocation or termination by the Company's board of directors. During the six months ended September 30, 2025, the Company repurchased 1.0 million shares of common stock in the open market for approximately $1.8 million at an average price of $1.83 per share. The total purchase price of the common stock repurchased and retired was reflected as a reduction to the condensed consolidated stockholders' equity during the repurchase period. The remaining amount of common stock available for repurchase under the 2017 Repurchase Plan as of September 30, 2026 was approximately $5.2 million. During the six months ended September 30, 2026, the Company did not repurchase any shares of common stock under the 2017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10. Income Taxes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effective tax rate was 11.6% and 21.3% for the three months ended September 30, 2026 and 2025, respectively, and 39.6% and (71.9)% for the six months ended September 30, 2026 and 2025, respectively. The difference between the effective tax rate and the U.S. federal statutory rate was primarily due to the full valuation allowance that the Company maintains against its U.S. deferred tax assets after adjusting for the impact of certain provisions under the One Big Beautiful Bill Act (the "OBBBA"), current tax liabilities of profitable foreign subsidiaries subject to different local income tax rates, and state taxes in the United States. The effective tax rate is calculated by dividing the provision for income taxes by the income (loss) before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11. Net Income (Loss) Per Share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reconciliation of the weighted average number of common shares outstanding used in calculating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442"/>
        <w:gridCol w:w="1197"/>
        <w:gridCol w:w="1169"/>
        <w:gridCol w:w="304"/>
        <w:gridCol w:w="937"/>
        <w:gridCol w:w="144"/>
        <w:gridCol w:w="144"/>
        <w:gridCol w:w="144"/>
        <w:gridCol w:w="144"/>
        <w:gridCol w:w="340"/>
        <w:gridCol w:w="784"/>
        <w:gridCol w:w="144"/>
        <w:gridCol w:w="109"/>
        <w:gridCol w:w="109"/>
        <w:gridCol w:w="109"/>
        <w:gridCol w:w="271"/>
        <w:gridCol w:w="833"/>
        <w:gridCol w:w="128"/>
        <w:gridCol w:w="128"/>
        <w:gridCol w:w="128"/>
        <w:gridCol w:w="128"/>
        <w:gridCol w:w="266"/>
        <w:gridCol w:w="912"/>
        <w:gridCol w:w="191"/>
      </w:tblGrid>
      <w:tr>
        <w:tc>
          <w:tcPr>
            <w:tcW w:w="14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basic</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136,970 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143,459 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diluted</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146,349 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145,958 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 per share - basic</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 per share - diluted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 the periods presented where the Company was in a loss position, basic net loss per share is equivalent to diluted net loss per share as the inclusion of all potential dilutive shares would have had an anti-dilutive effect.</w:t>
      </w:r>
    </w:p>
    <w:p>
      <w:pPr>
        <w:pStyle w:val="TextBody"/>
        <w:bidi w:val="0"/>
        <w:spacing w:lineRule="auto" w:line="288" w:before="0" w:after="0"/>
        <w:jc w:val="both"/>
      </w:pPr>
      <w:r>
        <w:rPr>
          <w:rFonts w:ascii="Archivo;sans-serif" w:hAnsi="Archivo;sans-serif"/>
          <w:b w:val="false"/>
          <w:color w:val="000000"/>
          <w:sz w:val="10"/>
        </w:rPr>
        <w:t>1</w:t>
      </w:r>
      <w:r>
        <w:rPr>
          <w:color w:val="000000"/>
        </w:rPr>
        <w:t xml:space="preserve"> </w:t>
      </w:r>
      <w:r>
        <w:rPr>
          <w:rFonts w:ascii="Archivo;sans-serif" w:hAnsi="Archivo;sans-serif"/>
          <w:b w:val="false"/>
          <w:color w:val="000000"/>
          <w:sz w:val="16"/>
        </w:rPr>
        <w:t>Represents performance-based PSUs granted based on the achievement of specific financial or operational goals, such as revenue growth or CFFO.</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potentially dilutive weighted-average common shares were excluded from the calculation of diluted earnings per share because their inclusion would have been anti-dilutive (shares in thousands):</w:t>
      </w:r>
    </w:p>
    <w:tbl>
      <w:tblPr>
        <w:tblW w:w="10205" w:type="dxa"/>
        <w:jc w:val="left"/>
        <w:tblInd w:w="0" w:type="dxa"/>
        <w:tblLayout w:type="fixed"/>
        <w:tblCellMar>
          <w:top w:w="28" w:type="dxa"/>
          <w:left w:w="28" w:type="dxa"/>
          <w:bottom w:w="28" w:type="dxa"/>
          <w:right w:w="28" w:type="dxa"/>
        </w:tblCellMar>
      </w:tblPr>
      <w:tblGrid>
        <w:gridCol w:w="1294"/>
        <w:gridCol w:w="1132"/>
        <w:gridCol w:w="1113"/>
        <w:gridCol w:w="444"/>
        <w:gridCol w:w="382"/>
        <w:gridCol w:w="290"/>
        <w:gridCol w:w="290"/>
        <w:gridCol w:w="290"/>
        <w:gridCol w:w="290"/>
        <w:gridCol w:w="444"/>
        <w:gridCol w:w="382"/>
        <w:gridCol w:w="308"/>
        <w:gridCol w:w="109"/>
        <w:gridCol w:w="109"/>
        <w:gridCol w:w="109"/>
        <w:gridCol w:w="522"/>
        <w:gridCol w:w="330"/>
        <w:gridCol w:w="267"/>
        <w:gridCol w:w="267"/>
        <w:gridCol w:w="267"/>
        <w:gridCol w:w="267"/>
        <w:gridCol w:w="607"/>
        <w:gridCol w:w="301"/>
        <w:gridCol w:w="391"/>
      </w:tblGrid>
      <w:tr>
        <w:tc>
          <w:tcPr>
            <w:tcW w:w="12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and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2,704 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4,263 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12,677 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Potential shares attributable to the ESPP</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1,584 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Warrants to purchase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anti-dilutive shares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38,276 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35,311 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36,197 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45,675 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used the if-converted method for calculating any potential dilutive effect of its convertible senior notes for the three and six months ended September 30, 2026 and 2025.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was excluded from the calculation of diluted net income (loss) per share for the three and six months ended September 30, 2026 and 2025 because the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12. Subsequent Events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Term Loan Prepayment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On October 9, 2026, the Company prepaid $12.5 million of quarterly principal payments due under the 2024 Term Loan. This short-term principal debt repayment is accounted for as a partial debt extinguishment transaction. As a result, any associated unamortized debt discount and issuance costs of the 2024 Term Loan will be recognized within other income (expense), net, in the condensed consolidated statements of operations and comprehensive income (loss) for the three months ended December 31, 2026. The remaining principal amount of the 2024 Term Loan after the repayment is $95.0 million. The next quarterly payment is due on March 31, 2027.</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Amendment to 2017 Plan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October 21, 2026, the Board of Directors approved an amendment to the 2017 Plan, which increased the number of shares of the Company's common stock reserved for future issuance by 1.2 million shares.</w:t>
      </w:r>
    </w:p>
    <w:p>
      <w:pPr>
        <w:pStyle w:val="TextBody"/>
        <w:bidi w:val="0"/>
        <w:spacing w:before="160" w:after="1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23"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bookmarkStart w:id="9" w:name="i43ebb4b2aacb4ad08f07e944b67cd66b_97"/>
      <w:bookmarkEnd w:id="9"/>
      <w:r>
        <w:rPr>
          <w:rFonts w:ascii="Archivo;sans-serif" w:hAnsi="Archivo;sans-serif"/>
          <w:b/>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entitled “Forward-Looking Statements and Risk Factors,” the following discussion and analysis contain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and those set forth under the section entitled "Risk Factors" in the Form 10-K for the fiscal year ended March 31, 2026.</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Overview</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8x8, Inc. is a global provider of integrated customer experience and business communications solutions, purpose-built to unify customer and employee engagement across the enterprise. Our 8x8 Platform for CX combines contact center, business communications, and application programmable interfaces ("APIs") for communications into a single, secure system powered by artificial intelligence ("AI")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from first interactions to lasting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serve a broad customer base, from small businesses to large global enterprises across every major industry. We reach customers through a combination of direct sales and an expanding global network of channel partners. To serve diverse organizations of all sizes, we invest in retaining and growing customers across segments through a service model that scales from AI-powered support for smaller accounts to dedicated customer success resources for our most complex enterprise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service revenue from subscriptions to our UCaaS and CCaaS offerings, as well as usage of our platform. Our service subscription plans are sold on a per-user basis and are structured with increasing levels of functionality, based on the specific communication needs and customer engagement profile of each user. Platform usage revenue is revenue recognized from sales of products on an as-used basis and includes the use of our communications APIs, digital and voice AI interactions, and telephony minutes. Platform usage revenue increased by 51% in the second quarter of fiscal 2027 compared to the second quarter of fiscal 2026, driven by an increase in the use of communication APIs in the Asia-Pacific region, reflecting expanded customer adoption of our usage-based offerings. This growth was partially offset by a decrease in subscription revenue related to customer churn and down-sell, reflecting a continued shift in revenue mix from subscription-based to usage-based offerings.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Macroeconomic and Other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are subject to risks and exposures, including those caused by adverse economic conditions. Macroeconomic conditions that could adversely affect our business include geopolitical instability, tariffs, inflationary pressures, increased interest rates, supply chain disruptions, decreased economic output, and currency volatility. We continuously monitor the impacts of these factors, as well as the overall global economy and geopolitical landscape, on our business and financial results.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While the implications of macroeconomic events on our business, results of operations, and overall financial position remain uncertain, we expect that difficult economic conditions could negatively impact our business in future periods. For example, our installed base includes small businesses, which tend to be disproportionately affected by macroeconomic headwinds. International revenue grew from approximately 38% of total revenue in the second quarter of fiscal 2026 to approximately 46% in the second quarter of fiscal 2027, increasing our exposure to foreign currency fluctuations. However, a significant portion of our international operating expenses is denominated in the same currencies as our international revenue, which partially mitigates the impact of currency movements on profitability. We also continue to monitor the pace of AI adoption across our customer base, which represents both an evolving competitive dynamic and a direct driver of demand for our platform capabilities and usage-based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Summary and Outlook</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the second quarter of fiscal 2027, we delivered the following financial results: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Service revenue increased 4.9% to $187.8 million, compared to $179.1 million in the second quarter of fiscal 2026.</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Gross margin was 59.7%, compared to 64.8% in the second quarter of fiscal 2026.</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Operating income was $6.9 million, compared to $5.3 million in the second quarter of fiscal 2026.</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Net income was $3.4 million, compared to net income of $0.8 million in the second quarter of fiscal 2026.</w:t>
      </w:r>
    </w:p>
    <w:p>
      <w:pPr>
        <w:pStyle w:val="TextBody"/>
        <w:bidi w:val="0"/>
        <w:spacing w:lineRule="auto" w:line="288" w:before="0" w:after="160"/>
        <w:ind w:left="0" w:right="0" w:hanging="360"/>
        <w:jc w:val="both"/>
      </w:pPr>
      <w:r>
        <w:rPr>
          <w:color w:val="000000"/>
        </w:rPr>
        <w:t>•</w:t>
      </w:r>
      <w:r>
        <w:rPr>
          <w:rFonts w:ascii="Archivo;sans-serif" w:hAnsi="Archivo;sans-serif"/>
          <w:b w:val="false"/>
          <w:color w:val="000000"/>
          <w:sz w:val="18"/>
        </w:rPr>
        <w:t>Cash provided by operating activities was $13.1 million, compared to $8.8 million in the second quarter of fiscal 2026.</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0"/>
        <w:ind w:left="0" w:right="0" w:hanging="360"/>
        <w:jc w:val="both"/>
      </w:pPr>
      <w:r>
        <w:rPr>
          <w:color w:val="000000"/>
        </w:rPr>
        <w:t>•</w:t>
      </w:r>
      <w:r>
        <w:rPr>
          <w:rFonts w:ascii="Archivo;sans-serif" w:hAnsi="Archivo;sans-serif"/>
          <w:b w:val="false"/>
          <w:color w:val="000000"/>
          <w:sz w:val="18"/>
        </w:rPr>
        <w:t>Service revenue increased 5.0% to $373.1 million, compared to $355.4 million in the six months ended September 30, 2025.</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Gross margin was 60.4%, compared to 65.6% in the six months ended September 30, 2025.</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Operating income was $11.3 million, compared to $5.9 million in the six months ended September 30, 2025.</w:t>
      </w:r>
    </w:p>
    <w:p>
      <w:pPr>
        <w:pStyle w:val="TextBody"/>
        <w:bidi w:val="0"/>
        <w:spacing w:lineRule="auto" w:line="288" w:before="0" w:after="0"/>
        <w:ind w:left="0" w:right="0" w:hanging="360"/>
        <w:jc w:val="left"/>
      </w:pPr>
      <w:r>
        <w:rPr>
          <w:color w:val="000000"/>
        </w:rPr>
        <w:t>•</w:t>
      </w:r>
      <w:r>
        <w:rPr>
          <w:rFonts w:ascii="Archivo;sans-serif" w:hAnsi="Archivo;sans-serif"/>
          <w:b w:val="false"/>
          <w:color w:val="000000"/>
          <w:sz w:val="18"/>
        </w:rPr>
        <w:t>Net income was $2.2 million, compared to net loss of $3.5 million in the six months ended September 30, 2025.</w:t>
      </w:r>
    </w:p>
    <w:p>
      <w:pPr>
        <w:pStyle w:val="TextBody"/>
        <w:bidi w:val="0"/>
        <w:spacing w:lineRule="auto" w:line="288" w:before="0" w:after="160"/>
        <w:ind w:left="0" w:right="0" w:hanging="360"/>
        <w:jc w:val="both"/>
      </w:pPr>
      <w:r>
        <w:rPr>
          <w:color w:val="000000"/>
        </w:rPr>
        <w:t>•</w:t>
      </w:r>
      <w:r>
        <w:rPr>
          <w:rFonts w:ascii="Archivo;sans-serif" w:hAnsi="Archivo;sans-serif"/>
          <w:b w:val="false"/>
          <w:color w:val="000000"/>
          <w:sz w:val="18"/>
        </w:rPr>
        <w:t>Cash provided by operating activities was $30.1 million, compared to $20.7 million in the six months ended September 30, 2025.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part of our objectives to grow our revenue and increase profitability and cash flow, we are focused on retaining our existing customers and driving multi-product adoption within our installed base, as well as expanding our base with new customers. We believe that continued innovation is a critical factor in attracting and retaining our customers and is an important variable in achieving sustainable growth. We are committed to continuing our investment in research and development to deliver innovation across our Platform for CX, expand our ecosystem of integrated third-party applications, and maintain the high platform availability that our customers require.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This fiscal year our focus involves the following: (i) strengthening our partner-first go-to-market strategy and growing our community of value-added resellers and technology partners as a means to expand distribution, especially in international regions; (ii) improving customer retention while continuing to expand the features and functionality of our Platform for CX; (iii) driving multi-product adoption within our installed base by increasing the use of our agentic AI solutions and communication APIs; and (iv) increasing the efficiency of our operations through process improvements, automation, and self-service. We are embracing the use of AI internally to accelerate innovation and the introduction of new products, improve our sales productivity and conversion rates, increase the efficiency and security of our global network infrastructure, and simplify our back-office operations.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investment in research and development has enabled us to introduce new products like 8x8 Engage and 8x8 AI Studio, add capabilities that allow our customers to enhance their employee and customer experiences, and expand integrations within our Technology Partner Ecosystem. We also invested in our global network infrastructure to ensure continued high availability, enhance security, and lower the cost to deliver our services. Our combined investments in our platform and process improvements allow us to deliver tightly integrated solutions around the world that prioritize ease-of-use, out-of-the-box functionality, and rapid deployment. We expect the costs of delivering our communication services and communication APIs, both in total dollars and as a percentage of service revenue, to vary with the amount of service revenue and the mix of subscription and usage revenue within service revenue.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To improve our sales efficiency over time, we are investing in marketing programs to drive awareness for our solutions, training programs and tools to increase productivity in our direct sales, and partner enablement solutions to drive increased cross-sell and new business. We are also devoting resources to expand our community of value-added resellers, who provide implementation services and Tier 1 customer support in addition to sales capacity.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continue to monitor factors that could have an impact on customer buying behavior and demand, including technological changes in AI-related developments, macroeconomic conditions, the competitive environment, contract duration, churn, upsell and down-sell, renewals, and payment terms, all of which have caused variability in our results and may continue to do so in the future.</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25"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Key GAAP Operating Results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assess the success of our strategies to achieve growth and increase our cash flow, our management reviews our financial performance as presented in our condensed consolidated financial statements, including trends in service revenue, gross profit margin, income from operations, net income (loss), and cash flow generated by operations in absolute dollars and as a percentage of total revenue as presented in the following table:</w:t>
      </w:r>
    </w:p>
    <w:tbl>
      <w:tblPr>
        <w:tblW w:w="10205" w:type="dxa"/>
        <w:jc w:val="left"/>
        <w:tblInd w:w="0" w:type="dxa"/>
        <w:tblLayout w:type="fixed"/>
        <w:tblCellMar>
          <w:top w:w="28" w:type="dxa"/>
          <w:left w:w="28" w:type="dxa"/>
          <w:bottom w:w="28" w:type="dxa"/>
          <w:right w:w="28" w:type="dxa"/>
        </w:tblCellMar>
      </w:tblPr>
      <w:tblGrid>
        <w:gridCol w:w="526"/>
        <w:gridCol w:w="463"/>
        <w:gridCol w:w="464"/>
        <w:gridCol w:w="440"/>
        <w:gridCol w:w="302"/>
        <w:gridCol w:w="535"/>
        <w:gridCol w:w="115"/>
        <w:gridCol w:w="115"/>
        <w:gridCol w:w="115"/>
        <w:gridCol w:w="277"/>
        <w:gridCol w:w="266"/>
        <w:gridCol w:w="528"/>
        <w:gridCol w:w="109"/>
        <w:gridCol w:w="109"/>
        <w:gridCol w:w="109"/>
        <w:gridCol w:w="286"/>
        <w:gridCol w:w="296"/>
        <w:gridCol w:w="511"/>
        <w:gridCol w:w="109"/>
        <w:gridCol w:w="109"/>
        <w:gridCol w:w="109"/>
        <w:gridCol w:w="413"/>
        <w:gridCol w:w="331"/>
        <w:gridCol w:w="501"/>
        <w:gridCol w:w="109"/>
        <w:gridCol w:w="109"/>
        <w:gridCol w:w="109"/>
        <w:gridCol w:w="440"/>
        <w:gridCol w:w="302"/>
        <w:gridCol w:w="535"/>
        <w:gridCol w:w="109"/>
        <w:gridCol w:w="109"/>
        <w:gridCol w:w="109"/>
        <w:gridCol w:w="284"/>
        <w:gridCol w:w="255"/>
        <w:gridCol w:w="597"/>
      </w:tblGrid>
      <w:t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Fiscal 2026</w:t>
            </w:r>
          </w:p>
        </w:tc>
      </w:tr>
      <w:t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w:t>
            </w:r>
          </w:p>
        </w:tc>
      </w:tr>
      <w:t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6"/>
              </w:rPr>
            </w:pPr>
            <w:r>
              <w:rPr>
                <w:rFonts w:ascii="Archivo;sans-serif" w:hAnsi="Archivo;sans-serif"/>
                <w:b w:val="false"/>
                <w:i/>
                <w:color w:val="000000"/>
                <w:sz w:val="16"/>
              </w:rPr>
              <w:t>(In thousands, except percentages)</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r>
      <w:tr>
        <w:tc>
          <w:tcPr>
            <w:tcW w:w="14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Service revenue</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187,784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185,346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180,175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179,682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179,094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176,308</w:t>
            </w:r>
          </w:p>
        </w:tc>
      </w:tr>
      <w:t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97.3 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97.3 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97.2 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Gross profit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114,564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116,371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117,053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119,340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120,440</w:t>
            </w:r>
          </w:p>
        </w:tc>
      </w:tr>
      <w:t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59.7 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61.2 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63.2 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63.9 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64.8 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66.4 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Income from operations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6,932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565</w:t>
            </w:r>
          </w:p>
        </w:tc>
      </w:tr>
      <w:t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3.6 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2.3 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2.9 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income (loss)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3,388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(4,315)</w:t>
            </w:r>
          </w:p>
        </w:tc>
      </w:tr>
      <w:t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(0.6)</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(2.4)</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cash provided by operating activities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13,059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20,692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i/>
          <w:color w:val="000000"/>
          <w:sz w:val="22"/>
        </w:rPr>
      </w:pPr>
      <w:r>
        <w:rPr>
          <w:rFonts w:ascii="Archivo;sans-serif" w:hAnsi="Archivo;sans-serif"/>
          <w:b/>
          <w:i/>
          <w:color w:val="000000"/>
          <w:sz w:val="22"/>
        </w:rPr>
        <w:t>Components of Results of Operations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 xml:space="preserve">Service Revenue </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platform usage revenue, and related fees from our UCaaS, CCaaS and CPaaS offerings. We plan to increase service revenue through a combination of new customer acquisition, cross-selling of additional products to existing customers, including new products resulting from our increased investment in innovation, AI, geographic expansion of our customer base outside the United States, innovation in our products and technologies, and strategic acquisitions of technologies and businesses.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revenue consists of revenue from professional services, primarily in support of deployment of our solutions and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Cost of Service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service revenue consists primarily of costs associated with network operations and related personnel, technology licenses, amortization of intangible assets and capitalized internal use software, other communication origination and termination services provided by third-party carriers, outsourced customer service call center operations, and other costs such as customer service costs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pStyle w:val="TextBody"/>
        <w:bidi w:val="0"/>
        <w:spacing w:before="160" w:after="16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Cost of 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other revenue consists primarily of costs associated with the purchase and shipping and handling of IP telephone hardware, as well as scheduling, personnel costs, and other expenditures incurred in connection with the professional services associated with the deployment and implementation of our products, and allocated information technology and facilities costs.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Research and Development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consist primarily of personnel and related costs, stock-based compensation, third-party development, software and equipment costs necessary to conduct our product, platform development and engineering efforts, as well as allocated information technology and facilities costs.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Sales and Marketing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Sales and marketing expenses consist primarily of personnel and related costs, stock-based compensation, sales commissions, including those to the channel, trade shows, advertising and other marketing, demand generation, and promotional expenses, as well as allocated information technology and facilities costs.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General and Administrative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consist primarily of personnel and related costs, professional services fees, corporate administrative costs, tax and regulatory fees, stock-based compensation and allocated information technology and facilities costs.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Impairment of Long-Lived Assets</w:t>
      </w:r>
    </w:p>
    <w:p>
      <w:pPr>
        <w:pStyle w:val="TextBody"/>
        <w:bidi w:val="0"/>
        <w:spacing w:lineRule="auto" w:line="288" w:before="160" w:after="160"/>
        <w:jc w:val="both"/>
      </w:pPr>
      <w:r>
        <w:rPr>
          <w:rFonts w:ascii="Archivo;sans-serif" w:hAnsi="Archivo;sans-serif"/>
          <w:b w:val="false"/>
          <w:color w:val="000000"/>
          <w:sz w:val="18"/>
        </w:rPr>
        <w:t xml:space="preserve">Impairment of long-lived assets consists of non-cash impairment charges for right-of-use assets. During the second quarter of fiscal 2027, we partially ceased use of the Company's Headquarters. We reviewed the recoverability of the related right-of-use asset and determined this event represented an impairment indicator, because it indicated the carrying value of the right-of-use asset may not be recoverable. In connection with the partial cease-use of the Company’s Headquarters, we recorded an impairment charge of $2.9 million, as the carrying amount of the right-of-use asset exceeded its fair value based on our estimate of future discounted cash flows related to the leased facility. During the three and six months ended September 30, 2026, the non-cash charge of $2.9 million was recorded as an impairment of long-lived assets on the condensed consolidated statements of operations and comprehensive income (loss). See Note </w:t>
      </w:r>
      <w:hyperlink w:anchor="i12dd4962790343d797409b782cbae4f7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Leases, for further details.</w:t>
      </w:r>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Interest Expense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Interest expense consists primarily of interest expense related to our term loan and convertible notes, and amortization of debt discount and issuance costs.</w:t>
      </w:r>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Other Income (Expense), Net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income (expense), net, consists primarily of losses on debt extinguishment, gains or losses on warrant remeasurement, interest income, gains or losses on foreign exchange transactions, as well as other income.</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Provision for Income Taxes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Provision for income taxes consists primarily of foreign income taxes and state taxes in the United States. As we expand the scale of our international business activities, any changes in the United States and foreign taxation of such activities may increase our overall provision for income taxes in the future. We have a valuation allowance for our U.S.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27"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Results of Operations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Service revenue</w:t>
      </w:r>
    </w:p>
    <w:tbl>
      <w:tblPr>
        <w:tblW w:w="12128" w:type="dxa"/>
        <w:jc w:val="left"/>
        <w:tblInd w:w="0" w:type="dxa"/>
        <w:tblLayout w:type="fixed"/>
        <w:tblCellMar>
          <w:top w:w="28" w:type="dxa"/>
          <w:left w:w="28" w:type="dxa"/>
          <w:bottom w:w="28" w:type="dxa"/>
          <w:right w:w="28" w:type="dxa"/>
        </w:tblCellMar>
      </w:tblPr>
      <w:tblGrid>
        <w:gridCol w:w="451"/>
        <w:gridCol w:w="397"/>
        <w:gridCol w:w="398"/>
        <w:gridCol w:w="275"/>
        <w:gridCol w:w="311"/>
        <w:gridCol w:w="632"/>
        <w:gridCol w:w="109"/>
        <w:gridCol w:w="109"/>
        <w:gridCol w:w="109"/>
        <w:gridCol w:w="275"/>
        <w:gridCol w:w="311"/>
        <w:gridCol w:w="632"/>
        <w:gridCol w:w="109"/>
        <w:gridCol w:w="109"/>
        <w:gridCol w:w="109"/>
        <w:gridCol w:w="226"/>
        <w:gridCol w:w="706"/>
        <w:gridCol w:w="109"/>
        <w:gridCol w:w="109"/>
        <w:gridCol w:w="109"/>
        <w:gridCol w:w="109"/>
        <w:gridCol w:w="233"/>
        <w:gridCol w:w="233"/>
        <w:gridCol w:w="271"/>
        <w:gridCol w:w="109"/>
        <w:gridCol w:w="109"/>
        <w:gridCol w:w="109"/>
        <w:gridCol w:w="275"/>
        <w:gridCol w:w="311"/>
        <w:gridCol w:w="632"/>
        <w:gridCol w:w="109"/>
        <w:gridCol w:w="109"/>
        <w:gridCol w:w="109"/>
        <w:gridCol w:w="275"/>
        <w:gridCol w:w="311"/>
        <w:gridCol w:w="632"/>
        <w:gridCol w:w="109"/>
        <w:gridCol w:w="109"/>
        <w:gridCol w:w="109"/>
        <w:gridCol w:w="226"/>
        <w:gridCol w:w="826"/>
        <w:gridCol w:w="109"/>
        <w:gridCol w:w="109"/>
        <w:gridCol w:w="109"/>
        <w:gridCol w:w="109"/>
        <w:gridCol w:w="233"/>
        <w:gridCol w:w="233"/>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187,784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373,130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$8.7 million, or 4.9%, for the three months ended September 30, 2026, compared to the three months ended September 30, 2025. This change was primarily due to an increase of $17.7 million in platform usage revenue driven by an increase in the use of communication APIs in the Asia-Pacific region, reflecting expanded customer adoption of our usage-based offerings. This increase was partially offset by a decrease in subscription revenue of $9.0 million related to customer churn and down-sell.</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$17.7 million, or 5.0%, for the six months ended September 30, 2026, compared to the six months ended September 30, 2025. This change was primarily due to an increase of $36.2 million in platform usage revenue driven by an increase in the use of communication APIs in the Asia-Pacific region, reflecting expanded customer adoption of our usage-based offerings. This increase was partially offset by a decrease in subscription revenue of $18.5 million related to customer churn and down-sell.</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revenue</w:t>
      </w:r>
    </w:p>
    <w:tbl>
      <w:tblPr>
        <w:tblW w:w="11050" w:type="dxa"/>
        <w:jc w:val="left"/>
        <w:tblInd w:w="0" w:type="dxa"/>
        <w:tblLayout w:type="fixed"/>
        <w:tblCellMar>
          <w:top w:w="28" w:type="dxa"/>
          <w:left w:w="28" w:type="dxa"/>
          <w:bottom w:w="28" w:type="dxa"/>
          <w:right w:w="28" w:type="dxa"/>
        </w:tblCellMar>
      </w:tblPr>
      <w:tblGrid>
        <w:gridCol w:w="451"/>
        <w:gridCol w:w="397"/>
        <w:gridCol w:w="398"/>
        <w:gridCol w:w="256"/>
        <w:gridCol w:w="210"/>
        <w:gridCol w:w="461"/>
        <w:gridCol w:w="109"/>
        <w:gridCol w:w="109"/>
        <w:gridCol w:w="109"/>
        <w:gridCol w:w="256"/>
        <w:gridCol w:w="210"/>
        <w:gridCol w:w="461"/>
        <w:gridCol w:w="109"/>
        <w:gridCol w:w="109"/>
        <w:gridCol w:w="109"/>
        <w:gridCol w:w="226"/>
        <w:gridCol w:w="541"/>
        <w:gridCol w:w="109"/>
        <w:gridCol w:w="109"/>
        <w:gridCol w:w="109"/>
        <w:gridCol w:w="109"/>
        <w:gridCol w:w="300"/>
        <w:gridCol w:w="301"/>
        <w:gridCol w:w="271"/>
        <w:gridCol w:w="109"/>
        <w:gridCol w:w="109"/>
        <w:gridCol w:w="109"/>
        <w:gridCol w:w="256"/>
        <w:gridCol w:w="210"/>
        <w:gridCol w:w="461"/>
        <w:gridCol w:w="109"/>
        <w:gridCol w:w="109"/>
        <w:gridCol w:w="109"/>
        <w:gridCol w:w="236"/>
        <w:gridCol w:w="230"/>
        <w:gridCol w:w="547"/>
        <w:gridCol w:w="109"/>
        <w:gridCol w:w="109"/>
        <w:gridCol w:w="109"/>
        <w:gridCol w:w="226"/>
        <w:gridCol w:w="721"/>
        <w:gridCol w:w="109"/>
        <w:gridCol w:w="109"/>
        <w:gridCol w:w="109"/>
        <w:gridCol w:w="109"/>
        <w:gridCol w:w="300"/>
        <w:gridCol w:w="30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$0.8 million, or 15.7%, for the three months ended September 30, 2026, compared to the three months ended September 30, 2025, primarily due to a decrease in professional service revenue of $0.8 million.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$1.0 million, or 10.1%, for the six months ended September 30, 2026, compared to the six months ended September 30, 2025, due to a decrease in professional service revenue of $1.5 million, partially offset by an increase in product revenue of $0.5 million.</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Cost of 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service revenue</w:t>
      </w:r>
    </w:p>
    <w:tbl>
      <w:tblPr>
        <w:tblW w:w="12318" w:type="dxa"/>
        <w:jc w:val="left"/>
        <w:tblInd w:w="0" w:type="dxa"/>
        <w:tblLayout w:type="fixed"/>
        <w:tblCellMar>
          <w:top w:w="28" w:type="dxa"/>
          <w:left w:w="28" w:type="dxa"/>
          <w:bottom w:w="28" w:type="dxa"/>
          <w:right w:w="28" w:type="dxa"/>
        </w:tblCellMar>
      </w:tblPr>
      <w:tblGrid>
        <w:gridCol w:w="451"/>
        <w:gridCol w:w="397"/>
        <w:gridCol w:w="398"/>
        <w:gridCol w:w="297"/>
        <w:gridCol w:w="289"/>
        <w:gridCol w:w="547"/>
        <w:gridCol w:w="109"/>
        <w:gridCol w:w="109"/>
        <w:gridCol w:w="109"/>
        <w:gridCol w:w="297"/>
        <w:gridCol w:w="289"/>
        <w:gridCol w:w="547"/>
        <w:gridCol w:w="109"/>
        <w:gridCol w:w="109"/>
        <w:gridCol w:w="109"/>
        <w:gridCol w:w="226"/>
        <w:gridCol w:w="826"/>
        <w:gridCol w:w="109"/>
        <w:gridCol w:w="109"/>
        <w:gridCol w:w="109"/>
        <w:gridCol w:w="109"/>
        <w:gridCol w:w="293"/>
        <w:gridCol w:w="293"/>
        <w:gridCol w:w="271"/>
        <w:gridCol w:w="109"/>
        <w:gridCol w:w="109"/>
        <w:gridCol w:w="109"/>
        <w:gridCol w:w="275"/>
        <w:gridCol w:w="311"/>
        <w:gridCol w:w="632"/>
        <w:gridCol w:w="109"/>
        <w:gridCol w:w="109"/>
        <w:gridCol w:w="109"/>
        <w:gridCol w:w="275"/>
        <w:gridCol w:w="311"/>
        <w:gridCol w:w="632"/>
        <w:gridCol w:w="109"/>
        <w:gridCol w:w="109"/>
        <w:gridCol w:w="109"/>
        <w:gridCol w:w="226"/>
        <w:gridCol w:w="826"/>
        <w:gridCol w:w="109"/>
        <w:gridCol w:w="109"/>
        <w:gridCol w:w="109"/>
        <w:gridCol w:w="109"/>
        <w:gridCol w:w="293"/>
        <w:gridCol w:w="293"/>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service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$13.4 million, or 23.2%, for the three months ended September 30, 2026, compared to the three months ended September 30, 2025, primarily due to an increase of $14.3 million in network and carrier service provider costs to deliver our platform usage services and support our capacity needs. This increase was partially offset by decreases of $0.7 million in depreciation and amortization of intangible assets and $0.2 million in amortization of capitalized software.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$27.2 million, or 24.4%, for the six months ended September 30, 2026, compared to the six months ended September 30, 2025, primarily due to an increase of $30.5 million in network and carrier service provider costs to deliver our platform usage services and support our capacity needs. This increase was partially offset by decreases of $1.8 million in salaries, benefits and consulting costs, $1.0 million in depreciation and amortization of intangible assets, and $0.5 million in amortization of capitalized software.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other revenue</w:t>
      </w:r>
    </w:p>
    <w:tbl>
      <w:tblPr>
        <w:tblW w:w="12096" w:type="dxa"/>
        <w:jc w:val="left"/>
        <w:tblInd w:w="0" w:type="dxa"/>
        <w:tblLayout w:type="fixed"/>
        <w:tblCellMar>
          <w:top w:w="28" w:type="dxa"/>
          <w:left w:w="28" w:type="dxa"/>
          <w:bottom w:w="28" w:type="dxa"/>
          <w:right w:w="28" w:type="dxa"/>
        </w:tblCellMar>
      </w:tblPr>
      <w:tblGrid>
        <w:gridCol w:w="451"/>
        <w:gridCol w:w="397"/>
        <w:gridCol w:w="398"/>
        <w:gridCol w:w="388"/>
        <w:gridCol w:w="318"/>
        <w:gridCol w:w="461"/>
        <w:gridCol w:w="109"/>
        <w:gridCol w:w="109"/>
        <w:gridCol w:w="109"/>
        <w:gridCol w:w="388"/>
        <w:gridCol w:w="318"/>
        <w:gridCol w:w="461"/>
        <w:gridCol w:w="109"/>
        <w:gridCol w:w="109"/>
        <w:gridCol w:w="109"/>
        <w:gridCol w:w="226"/>
        <w:gridCol w:w="541"/>
        <w:gridCol w:w="109"/>
        <w:gridCol w:w="109"/>
        <w:gridCol w:w="109"/>
        <w:gridCol w:w="109"/>
        <w:gridCol w:w="300"/>
        <w:gridCol w:w="301"/>
        <w:gridCol w:w="271"/>
        <w:gridCol w:w="109"/>
        <w:gridCol w:w="109"/>
        <w:gridCol w:w="109"/>
        <w:gridCol w:w="358"/>
        <w:gridCol w:w="348"/>
        <w:gridCol w:w="547"/>
        <w:gridCol w:w="109"/>
        <w:gridCol w:w="109"/>
        <w:gridCol w:w="109"/>
        <w:gridCol w:w="358"/>
        <w:gridCol w:w="348"/>
        <w:gridCol w:w="547"/>
        <w:gridCol w:w="109"/>
        <w:gridCol w:w="109"/>
        <w:gridCol w:w="109"/>
        <w:gridCol w:w="226"/>
        <w:gridCol w:w="721"/>
        <w:gridCol w:w="109"/>
        <w:gridCol w:w="109"/>
        <w:gridCol w:w="109"/>
        <w:gridCol w:w="109"/>
        <w:gridCol w:w="300"/>
        <w:gridCol w:w="30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other revenue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140.8 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$0.7 million, or 10.1%, for the three months ended September 30, 2026, compared to the three months ended September 30, 2025, primarily due to decreases in salaries, benefits, and consulting costs to deliver our professional services.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$1.6 million, or 11.6%, for the six months ended September 30, 2026, compared to the six months ended September 30, 2025, primarily due to decreases in salaries, benefits, and consulting costs to deliver our professional services.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Gross Profit</w:t>
      </w:r>
    </w:p>
    <w:tbl>
      <w:tblPr>
        <w:tblW w:w="12068" w:type="dxa"/>
        <w:jc w:val="left"/>
        <w:tblInd w:w="0" w:type="dxa"/>
        <w:tblLayout w:type="fixed"/>
        <w:tblCellMar>
          <w:top w:w="28" w:type="dxa"/>
          <w:left w:w="28" w:type="dxa"/>
          <w:bottom w:w="28" w:type="dxa"/>
          <w:right w:w="28" w:type="dxa"/>
        </w:tblCellMar>
      </w:tblPr>
      <w:tblGrid>
        <w:gridCol w:w="451"/>
        <w:gridCol w:w="397"/>
        <w:gridCol w:w="398"/>
        <w:gridCol w:w="275"/>
        <w:gridCol w:w="311"/>
        <w:gridCol w:w="632"/>
        <w:gridCol w:w="109"/>
        <w:gridCol w:w="109"/>
        <w:gridCol w:w="109"/>
        <w:gridCol w:w="275"/>
        <w:gridCol w:w="311"/>
        <w:gridCol w:w="632"/>
        <w:gridCol w:w="109"/>
        <w:gridCol w:w="109"/>
        <w:gridCol w:w="109"/>
        <w:gridCol w:w="226"/>
        <w:gridCol w:w="721"/>
        <w:gridCol w:w="109"/>
        <w:gridCol w:w="109"/>
        <w:gridCol w:w="109"/>
        <w:gridCol w:w="109"/>
        <w:gridCol w:w="240"/>
        <w:gridCol w:w="241"/>
        <w:gridCol w:w="271"/>
        <w:gridCol w:w="109"/>
        <w:gridCol w:w="109"/>
        <w:gridCol w:w="109"/>
        <w:gridCol w:w="275"/>
        <w:gridCol w:w="311"/>
        <w:gridCol w:w="632"/>
        <w:gridCol w:w="109"/>
        <w:gridCol w:w="109"/>
        <w:gridCol w:w="109"/>
        <w:gridCol w:w="275"/>
        <w:gridCol w:w="311"/>
        <w:gridCol w:w="632"/>
        <w:gridCol w:w="109"/>
        <w:gridCol w:w="109"/>
        <w:gridCol w:w="109"/>
        <w:gridCol w:w="226"/>
        <w:gridCol w:w="721"/>
        <w:gridCol w:w="109"/>
        <w:gridCol w:w="109"/>
        <w:gridCol w:w="109"/>
        <w:gridCol w:w="109"/>
        <w:gridCol w:w="240"/>
        <w:gridCol w:w="24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Gross profit decreased by $4.8 million, or 4.0%, for the three months ended September 30, 2026, compared to the three months ended September 30, 2025, driven by the shift in revenue mix toward usage-based offerings, as growth in cost of service revenue outpaced service revenue growth. Generally, usage-based offerings generate higher network and carrier service provider costs per dollar of revenue relative to our subscription-based offerings, resulting in lower gross margin.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Gross profit decreased by $8.8 million, or 3.7%, for the six months ended September 30, 2026, compared to the six months ended September 30, 2025, driven by the shift in revenue mix toward usage-based offerings, as growth in cost of service revenue outpaced service revenue growth. Generally, usage-based offerings generate higher network and carrier service provider costs per dollar of revenue relative to our subscription-based offerings, resulting in lower gross margin.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29"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Research and development</w:t>
      </w:r>
    </w:p>
    <w:tbl>
      <w:tblPr>
        <w:tblW w:w="11428" w:type="dxa"/>
        <w:jc w:val="left"/>
        <w:tblInd w:w="0" w:type="dxa"/>
        <w:tblLayout w:type="fixed"/>
        <w:tblCellMar>
          <w:top w:w="28" w:type="dxa"/>
          <w:left w:w="28" w:type="dxa"/>
          <w:bottom w:w="28" w:type="dxa"/>
          <w:right w:w="28" w:type="dxa"/>
        </w:tblCellMar>
      </w:tblPr>
      <w:tblGrid>
        <w:gridCol w:w="511"/>
        <w:gridCol w:w="397"/>
        <w:gridCol w:w="398"/>
        <w:gridCol w:w="297"/>
        <w:gridCol w:w="289"/>
        <w:gridCol w:w="547"/>
        <w:gridCol w:w="109"/>
        <w:gridCol w:w="109"/>
        <w:gridCol w:w="109"/>
        <w:gridCol w:w="297"/>
        <w:gridCol w:w="289"/>
        <w:gridCol w:w="547"/>
        <w:gridCol w:w="109"/>
        <w:gridCol w:w="109"/>
        <w:gridCol w:w="109"/>
        <w:gridCol w:w="226"/>
        <w:gridCol w:w="541"/>
        <w:gridCol w:w="109"/>
        <w:gridCol w:w="109"/>
        <w:gridCol w:w="109"/>
        <w:gridCol w:w="109"/>
        <w:gridCol w:w="240"/>
        <w:gridCol w:w="241"/>
        <w:gridCol w:w="271"/>
        <w:gridCol w:w="109"/>
        <w:gridCol w:w="109"/>
        <w:gridCol w:w="109"/>
        <w:gridCol w:w="297"/>
        <w:gridCol w:w="289"/>
        <w:gridCol w:w="547"/>
        <w:gridCol w:w="109"/>
        <w:gridCol w:w="109"/>
        <w:gridCol w:w="109"/>
        <w:gridCol w:w="297"/>
        <w:gridCol w:w="289"/>
        <w:gridCol w:w="547"/>
        <w:gridCol w:w="109"/>
        <w:gridCol w:w="109"/>
        <w:gridCol w:w="109"/>
        <w:gridCol w:w="226"/>
        <w:gridCol w:w="541"/>
        <w:gridCol w:w="109"/>
        <w:gridCol w:w="109"/>
        <w:gridCol w:w="109"/>
        <w:gridCol w:w="109"/>
        <w:gridCol w:w="240"/>
        <w:gridCol w:w="241"/>
        <w:gridCol w:w="316"/>
      </w:tblGrid>
      <w:tr>
        <w:tc>
          <w:tcPr>
            <w:tcW w:w="5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decreased by $0.3 million, or 1.2%, for the three months ended September 30, 2026, compared to the three months ended September 30, 2025, primarily due to decreases of $2.7 million in combined salaries, benefits, and consulting costs necessary to conduct our product, platform development and engineering efforts and $0.3 million in stock-based compensation. These decreases were partially offset by lower capitalization of internally-developed software of $1.2 million, an increase of $1.2 million in other costs necessary to conduct our research and development activities, and a $0.3 million increase in amortization of intangible assets.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decreased by $0.3 million, or 0.5%, for the six months ended September 30, 2026, compared to the six months ended September 30, 2025, primarily due to decreases of $5.2 million in combined salaries, benefits, and consulting costs necessary to conduct our product, platform development and engineering efforts and $0.8 million in stock-based compensation. These decreases were partially offset by lower capitalization of internally-developed software and an increase in other costs necessary to conduct our research and development activities of $4.5 million, a $0.6 million increase in amortization of capitalized software placed into service in prior periods, and a $0.6 million increase in amortization of intangible assets.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Sales and marketing</w:t>
      </w:r>
    </w:p>
    <w:tbl>
      <w:tblPr>
        <w:tblW w:w="12258" w:type="dxa"/>
        <w:jc w:val="left"/>
        <w:tblInd w:w="0" w:type="dxa"/>
        <w:tblLayout w:type="fixed"/>
        <w:tblCellMar>
          <w:top w:w="28" w:type="dxa"/>
          <w:left w:w="28" w:type="dxa"/>
          <w:bottom w:w="28" w:type="dxa"/>
          <w:right w:w="28" w:type="dxa"/>
        </w:tblCellMar>
      </w:tblPr>
      <w:tblGrid>
        <w:gridCol w:w="451"/>
        <w:gridCol w:w="397"/>
        <w:gridCol w:w="398"/>
        <w:gridCol w:w="297"/>
        <w:gridCol w:w="289"/>
        <w:gridCol w:w="547"/>
        <w:gridCol w:w="109"/>
        <w:gridCol w:w="109"/>
        <w:gridCol w:w="109"/>
        <w:gridCol w:w="297"/>
        <w:gridCol w:w="289"/>
        <w:gridCol w:w="547"/>
        <w:gridCol w:w="109"/>
        <w:gridCol w:w="109"/>
        <w:gridCol w:w="109"/>
        <w:gridCol w:w="226"/>
        <w:gridCol w:w="721"/>
        <w:gridCol w:w="109"/>
        <w:gridCol w:w="109"/>
        <w:gridCol w:w="109"/>
        <w:gridCol w:w="109"/>
        <w:gridCol w:w="300"/>
        <w:gridCol w:w="301"/>
        <w:gridCol w:w="271"/>
        <w:gridCol w:w="109"/>
        <w:gridCol w:w="109"/>
        <w:gridCol w:w="109"/>
        <w:gridCol w:w="275"/>
        <w:gridCol w:w="311"/>
        <w:gridCol w:w="632"/>
        <w:gridCol w:w="109"/>
        <w:gridCol w:w="109"/>
        <w:gridCol w:w="109"/>
        <w:gridCol w:w="275"/>
        <w:gridCol w:w="311"/>
        <w:gridCol w:w="632"/>
        <w:gridCol w:w="109"/>
        <w:gridCol w:w="109"/>
        <w:gridCol w:w="109"/>
        <w:gridCol w:w="226"/>
        <w:gridCol w:w="841"/>
        <w:gridCol w:w="109"/>
        <w:gridCol w:w="109"/>
        <w:gridCol w:w="109"/>
        <w:gridCol w:w="109"/>
        <w:gridCol w:w="300"/>
        <w:gridCol w:w="30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Sales and marketing expenses decreased by $7.7 million, or 12.0%, for the three months ended September 30, 2026, compared to the three months ended September 30, 2025, primarily due to decreases of $3.7 million in salaries, benefits, and consulting costs, $2.5 million in channel commissions and amortization of deferred contract acquisition costs, $1.1 million in paid media and other marketing services costs, and $0.4 million in stock-based compensation expense.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Sales and marketing expenses decreased by $17.1 million, or 13.0%, for the six months ended September 30, 2026, compared to the six months ended September 30, 2025, primarily due to decreases of $7.8 million in salaries, benefits, and consulting costs, $6.0 million in channel commissions and amortization of deferred contract acquisition costs, $2.0 million in paid media and other marketing services costs, and $1.3 million in stock-based compensation expense.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General and administrative</w:t>
      </w:r>
    </w:p>
    <w:tbl>
      <w:tblPr>
        <w:tblW w:w="11683" w:type="dxa"/>
        <w:jc w:val="left"/>
        <w:tblInd w:w="0" w:type="dxa"/>
        <w:tblLayout w:type="fixed"/>
        <w:tblCellMar>
          <w:top w:w="28" w:type="dxa"/>
          <w:left w:w="28" w:type="dxa"/>
          <w:bottom w:w="28" w:type="dxa"/>
          <w:right w:w="28" w:type="dxa"/>
        </w:tblCellMar>
      </w:tblPr>
      <w:tblGrid>
        <w:gridCol w:w="616"/>
        <w:gridCol w:w="397"/>
        <w:gridCol w:w="398"/>
        <w:gridCol w:w="297"/>
        <w:gridCol w:w="289"/>
        <w:gridCol w:w="547"/>
        <w:gridCol w:w="109"/>
        <w:gridCol w:w="109"/>
        <w:gridCol w:w="109"/>
        <w:gridCol w:w="297"/>
        <w:gridCol w:w="289"/>
        <w:gridCol w:w="547"/>
        <w:gridCol w:w="109"/>
        <w:gridCol w:w="109"/>
        <w:gridCol w:w="109"/>
        <w:gridCol w:w="226"/>
        <w:gridCol w:w="721"/>
        <w:gridCol w:w="109"/>
        <w:gridCol w:w="109"/>
        <w:gridCol w:w="109"/>
        <w:gridCol w:w="109"/>
        <w:gridCol w:w="240"/>
        <w:gridCol w:w="241"/>
        <w:gridCol w:w="271"/>
        <w:gridCol w:w="109"/>
        <w:gridCol w:w="109"/>
        <w:gridCol w:w="109"/>
        <w:gridCol w:w="297"/>
        <w:gridCol w:w="289"/>
        <w:gridCol w:w="547"/>
        <w:gridCol w:w="109"/>
        <w:gridCol w:w="109"/>
        <w:gridCol w:w="109"/>
        <w:gridCol w:w="297"/>
        <w:gridCol w:w="289"/>
        <w:gridCol w:w="547"/>
        <w:gridCol w:w="109"/>
        <w:gridCol w:w="109"/>
        <w:gridCol w:w="109"/>
        <w:gridCol w:w="226"/>
        <w:gridCol w:w="526"/>
        <w:gridCol w:w="109"/>
        <w:gridCol w:w="109"/>
        <w:gridCol w:w="109"/>
        <w:gridCol w:w="109"/>
        <w:gridCol w:w="233"/>
        <w:gridCol w:w="233"/>
        <w:gridCol w:w="316"/>
      </w:tblGrid>
      <w:tr>
        <w:tc>
          <w:tcPr>
            <w:tcW w:w="6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decreased by $1.3 million, or 5.6%, for the three months ended September 30, 2026, compared to the three months ended September 30, 2025, primarily due to decreases of $0.8 million in transaction-related and general corporate costs, $0.7 million in personnel and consulting costs, and $0.4 million in stock-based compensation. These decreases were partially offset by increases of $0.4 million in legal and regulatory costs and $0.2 million in facilities costs.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increased by $0.3 million, or 0.6%, for the six months ended September 30, 2026, compared to the six months ended September 30, 2025, primarily due to increases of $1.7 million in transaction-related and general corporate costs and $0.2 million in facilities costs. These increases were partially offset by decreases of $1.3 million in stock-based compensation and $0.3 million in personnel and consulting costs.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Impairment of long-lived assets</w:t>
      </w:r>
    </w:p>
    <w:tbl>
      <w:tblPr>
        <w:tblW w:w="10205" w:type="dxa"/>
        <w:jc w:val="left"/>
        <w:tblInd w:w="0" w:type="dxa"/>
        <w:tblLayout w:type="fixed"/>
        <w:tblCellMar>
          <w:top w:w="28" w:type="dxa"/>
          <w:left w:w="28" w:type="dxa"/>
          <w:bottom w:w="28" w:type="dxa"/>
          <w:right w:w="28" w:type="dxa"/>
        </w:tblCellMar>
      </w:tblPr>
      <w:tblGrid>
        <w:gridCol w:w="659"/>
        <w:gridCol w:w="580"/>
        <w:gridCol w:w="581"/>
        <w:gridCol w:w="256"/>
        <w:gridCol w:w="210"/>
        <w:gridCol w:w="461"/>
        <w:gridCol w:w="110"/>
        <w:gridCol w:w="110"/>
        <w:gridCol w:w="110"/>
        <w:gridCol w:w="273"/>
        <w:gridCol w:w="133"/>
        <w:gridCol w:w="275"/>
        <w:gridCol w:w="110"/>
        <w:gridCol w:w="110"/>
        <w:gridCol w:w="110"/>
        <w:gridCol w:w="229"/>
        <w:gridCol w:w="718"/>
        <w:gridCol w:w="110"/>
        <w:gridCol w:w="110"/>
        <w:gridCol w:w="110"/>
        <w:gridCol w:w="110"/>
        <w:gridCol w:w="120"/>
        <w:gridCol w:w="120"/>
        <w:gridCol w:w="120"/>
        <w:gridCol w:w="109"/>
        <w:gridCol w:w="109"/>
        <w:gridCol w:w="109"/>
        <w:gridCol w:w="256"/>
        <w:gridCol w:w="210"/>
        <w:gridCol w:w="461"/>
        <w:gridCol w:w="109"/>
        <w:gridCol w:w="109"/>
        <w:gridCol w:w="109"/>
        <w:gridCol w:w="273"/>
        <w:gridCol w:w="133"/>
        <w:gridCol w:w="271"/>
        <w:gridCol w:w="109"/>
        <w:gridCol w:w="109"/>
        <w:gridCol w:w="109"/>
        <w:gridCol w:w="226"/>
        <w:gridCol w:w="706"/>
        <w:gridCol w:w="109"/>
        <w:gridCol w:w="109"/>
        <w:gridCol w:w="109"/>
        <w:gridCol w:w="109"/>
        <w:gridCol w:w="118"/>
        <w:gridCol w:w="118"/>
        <w:gridCol w:w="181"/>
      </w:tblGrid>
      <w:t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Impairment of long-lived assets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N/M</w:t>
            </w:r>
          </w:p>
        </w:tc>
      </w:tr>
      <w:t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and 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Impairment of long-lived assets increased by $2.9 million for the three and six months ended September 30, 2026, compared to the three and six months ended September 30, 2025. During the second quarter of fiscal 2027, we partially ceased use of office space at the Company's Headquarters. We reviewed the recoverability of the related right-of-use asset and determined this event represented an impairment indicator, because it indicated the carrying value of the right-of-use asset may not be recoverable. In connection with the partial cease-use of the Company's Headquarters, we recorded an impairment charge of $2.9 million, as the carrying amount of the right-of-use asset exceeded its fair value based on our estimate of future discounted cash flows related to the leased facility. During the three and six months ended September 30, 2026, the non-cash charge of $2.9 million was recorded as an impairment of long-lived assets on the condensed consolidated statements of operations and comprehensive income (loss).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Interest expense</w:t>
      </w:r>
    </w:p>
    <w:tbl>
      <w:tblPr>
        <w:tblW w:w="10910" w:type="dxa"/>
        <w:jc w:val="left"/>
        <w:tblInd w:w="0" w:type="dxa"/>
        <w:tblLayout w:type="fixed"/>
        <w:tblCellMar>
          <w:top w:w="28" w:type="dxa"/>
          <w:left w:w="28" w:type="dxa"/>
          <w:bottom w:w="28" w:type="dxa"/>
          <w:right w:w="28" w:type="dxa"/>
        </w:tblCellMar>
      </w:tblPr>
      <w:tblGrid>
        <w:gridCol w:w="451"/>
        <w:gridCol w:w="397"/>
        <w:gridCol w:w="398"/>
        <w:gridCol w:w="251"/>
        <w:gridCol w:w="230"/>
        <w:gridCol w:w="515"/>
        <w:gridCol w:w="109"/>
        <w:gridCol w:w="109"/>
        <w:gridCol w:w="109"/>
        <w:gridCol w:w="251"/>
        <w:gridCol w:w="230"/>
        <w:gridCol w:w="515"/>
        <w:gridCol w:w="109"/>
        <w:gridCol w:w="109"/>
        <w:gridCol w:w="109"/>
        <w:gridCol w:w="226"/>
        <w:gridCol w:w="526"/>
        <w:gridCol w:w="109"/>
        <w:gridCol w:w="109"/>
        <w:gridCol w:w="109"/>
        <w:gridCol w:w="109"/>
        <w:gridCol w:w="300"/>
        <w:gridCol w:w="301"/>
        <w:gridCol w:w="271"/>
        <w:gridCol w:w="109"/>
        <w:gridCol w:w="109"/>
        <w:gridCol w:w="109"/>
        <w:gridCol w:w="251"/>
        <w:gridCol w:w="230"/>
        <w:gridCol w:w="515"/>
        <w:gridCol w:w="109"/>
        <w:gridCol w:w="109"/>
        <w:gridCol w:w="109"/>
        <w:gridCol w:w="251"/>
        <w:gridCol w:w="230"/>
        <w:gridCol w:w="515"/>
        <w:gridCol w:w="109"/>
        <w:gridCol w:w="109"/>
        <w:gridCol w:w="109"/>
        <w:gridCol w:w="226"/>
        <w:gridCol w:w="526"/>
        <w:gridCol w:w="109"/>
        <w:gridCol w:w="109"/>
        <w:gridCol w:w="109"/>
        <w:gridCol w:w="109"/>
        <w:gridCol w:w="240"/>
        <w:gridCol w:w="24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pPr>
      <w:r>
        <w:rPr>
          <w:rFonts w:ascii="Archivo;sans-serif" w:hAnsi="Archivo;sans-serif"/>
          <w:b w:val="false"/>
          <w:color w:val="000000"/>
          <w:sz w:val="18"/>
        </w:rPr>
        <w:t xml:space="preserve">Interest expense decreased by $0.6 million, or 13.1%, for the three months ended September 30, 2026, compared to the three months ended September 30, 2025, primarily from reduced debt interest due to a lower interest rate and principal balance on the 2024 Term Loan. 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Interest expense decreased by $0.4 million, or 4.8%, for the six months ended September 30, 2026, compared to the six months ended September 30, 2025, primarily due to reduced debt interest resulting from a lower interest rate and principal balance on the 2024 Term Loan. This decrease was partially offset by lower capitalized interest related to property and equipment from general borrowing costs recorded in fiscal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31"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Other income (expense), net</w:t>
      </w:r>
    </w:p>
    <w:tbl>
      <w:tblPr>
        <w:tblW w:w="10490" w:type="dxa"/>
        <w:jc w:val="left"/>
        <w:tblInd w:w="0" w:type="dxa"/>
        <w:tblLayout w:type="fixed"/>
        <w:tblCellMar>
          <w:top w:w="28" w:type="dxa"/>
          <w:left w:w="28" w:type="dxa"/>
          <w:bottom w:w="28" w:type="dxa"/>
          <w:right w:w="28" w:type="dxa"/>
        </w:tblCellMar>
      </w:tblPr>
      <w:tblGrid>
        <w:gridCol w:w="451"/>
        <w:gridCol w:w="397"/>
        <w:gridCol w:w="398"/>
        <w:gridCol w:w="256"/>
        <w:gridCol w:w="210"/>
        <w:gridCol w:w="461"/>
        <w:gridCol w:w="109"/>
        <w:gridCol w:w="109"/>
        <w:gridCol w:w="109"/>
        <w:gridCol w:w="293"/>
        <w:gridCol w:w="173"/>
        <w:gridCol w:w="333"/>
        <w:gridCol w:w="109"/>
        <w:gridCol w:w="109"/>
        <w:gridCol w:w="109"/>
        <w:gridCol w:w="226"/>
        <w:gridCol w:w="526"/>
        <w:gridCol w:w="109"/>
        <w:gridCol w:w="109"/>
        <w:gridCol w:w="109"/>
        <w:gridCol w:w="109"/>
        <w:gridCol w:w="353"/>
        <w:gridCol w:w="353"/>
        <w:gridCol w:w="271"/>
        <w:gridCol w:w="109"/>
        <w:gridCol w:w="109"/>
        <w:gridCol w:w="109"/>
        <w:gridCol w:w="293"/>
        <w:gridCol w:w="173"/>
        <w:gridCol w:w="333"/>
        <w:gridCol w:w="109"/>
        <w:gridCol w:w="109"/>
        <w:gridCol w:w="109"/>
        <w:gridCol w:w="293"/>
        <w:gridCol w:w="173"/>
        <w:gridCol w:w="333"/>
        <w:gridCol w:w="109"/>
        <w:gridCol w:w="109"/>
        <w:gridCol w:w="109"/>
        <w:gridCol w:w="226"/>
        <w:gridCol w:w="541"/>
        <w:gridCol w:w="109"/>
        <w:gridCol w:w="109"/>
        <w:gridCol w:w="109"/>
        <w:gridCol w:w="109"/>
        <w:gridCol w:w="300"/>
        <w:gridCol w:w="30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income (expense) increased by $0.6 million during the three months ended September 30, 2026, compared to the three months ended September 30, 2025, primarily due to increases of $0.5 million in miscellaneous other income and $0.1 million in foreign exchange gains.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income (expense) decreased by $0.1 million during the six months ended September 30, 2026, compared to the six months ended September 30, 2025, primarily due to an increase of $0.6 million in foreign exchange losses and a reduced gain of $0.2 million on the remeasurement of the Warrants issued in connection with the 2022 Term Loan. These decreases in other income (expense) were partially offset by increases of $0.6 million in miscellaneous other income and $0.1 million in interest income.</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Provision for income taxes</w:t>
      </w:r>
    </w:p>
    <w:tbl>
      <w:tblPr>
        <w:tblW w:w="10378" w:type="dxa"/>
        <w:jc w:val="left"/>
        <w:tblInd w:w="0" w:type="dxa"/>
        <w:tblLayout w:type="fixed"/>
        <w:tblCellMar>
          <w:top w:w="28" w:type="dxa"/>
          <w:left w:w="28" w:type="dxa"/>
          <w:bottom w:w="28" w:type="dxa"/>
          <w:right w:w="28" w:type="dxa"/>
        </w:tblCellMar>
      </w:tblPr>
      <w:tblGrid>
        <w:gridCol w:w="451"/>
        <w:gridCol w:w="397"/>
        <w:gridCol w:w="398"/>
        <w:gridCol w:w="293"/>
        <w:gridCol w:w="173"/>
        <w:gridCol w:w="333"/>
        <w:gridCol w:w="109"/>
        <w:gridCol w:w="109"/>
        <w:gridCol w:w="109"/>
        <w:gridCol w:w="293"/>
        <w:gridCol w:w="173"/>
        <w:gridCol w:w="333"/>
        <w:gridCol w:w="109"/>
        <w:gridCol w:w="109"/>
        <w:gridCol w:w="109"/>
        <w:gridCol w:w="226"/>
        <w:gridCol w:w="526"/>
        <w:gridCol w:w="109"/>
        <w:gridCol w:w="109"/>
        <w:gridCol w:w="109"/>
        <w:gridCol w:w="109"/>
        <w:gridCol w:w="353"/>
        <w:gridCol w:w="353"/>
        <w:gridCol w:w="271"/>
        <w:gridCol w:w="109"/>
        <w:gridCol w:w="109"/>
        <w:gridCol w:w="109"/>
        <w:gridCol w:w="256"/>
        <w:gridCol w:w="210"/>
        <w:gridCol w:w="461"/>
        <w:gridCol w:w="109"/>
        <w:gridCol w:w="109"/>
        <w:gridCol w:w="109"/>
        <w:gridCol w:w="256"/>
        <w:gridCol w:w="210"/>
        <w:gridCol w:w="461"/>
        <w:gridCol w:w="109"/>
        <w:gridCol w:w="109"/>
        <w:gridCol w:w="109"/>
        <w:gridCol w:w="226"/>
        <w:gridCol w:w="421"/>
        <w:gridCol w:w="109"/>
        <w:gridCol w:w="109"/>
        <w:gridCol w:w="109"/>
        <w:gridCol w:w="109"/>
        <w:gridCol w:w="240"/>
        <w:gridCol w:w="241"/>
        <w:gridCol w:w="316"/>
      </w:tblGrid>
      <w:t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Provision for income taxes increased by $0.2 million for the three months ended September 30, 2026, compared to the three months ended September 30, 2025, primarily due to increases of $0.4 million in foreign tax expense and $0.2 million in federal tax expense, which were partially offset by a $0.4 million reduction in unrecognized tax benefit.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Provision for income taxes was relatively flat for the six months ended September 30, 2026, compared to the six months ended September 30, 2025, due to increases of $0.3 million in foreign tax expense and $0.1 million in federal tax expense, which were partially offset by a $0.4 million reduction in unrecognized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Liquidity and Capital Resources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the foreseeable future, the success of our operations, the global economic outlook, and the pace of growth in our markets could impact our business and liquidity.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2026, the remaining $107.5 million outstanding principal balance of the 2024 Term Loan has been classified as a current liability on our condensed consolidated balance sheets, as the final maturity date is August 15, 2027, which falls within twelve months of the balance sheet date. Management has evaluated our liquidity position and concluded that our existing cash and cash equivalents, together with anticipated cash flows from operations, are sufficient to repay the 2024 Term Loan at maturity. We are pursuing debt refinancing options for all debt instruments prior to their maturity.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and Cash Equivalents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and cash equivalents (in thousands):</w:t>
      </w:r>
    </w:p>
    <w:tbl>
      <w:tblPr>
        <w:tblW w:w="6715" w:type="dxa"/>
        <w:jc w:val="left"/>
        <w:tblInd w:w="0" w:type="dxa"/>
        <w:tblLayout w:type="fixed"/>
        <w:tblCellMar>
          <w:top w:w="28" w:type="dxa"/>
          <w:left w:w="28" w:type="dxa"/>
          <w:bottom w:w="28" w:type="dxa"/>
          <w:right w:w="28" w:type="dxa"/>
        </w:tblCellMar>
      </w:tblPr>
      <w:tblGrid>
        <w:gridCol w:w="919"/>
        <w:gridCol w:w="807"/>
        <w:gridCol w:w="809"/>
        <w:gridCol w:w="381"/>
        <w:gridCol w:w="1595"/>
        <w:gridCol w:w="183"/>
        <w:gridCol w:w="109"/>
        <w:gridCol w:w="109"/>
        <w:gridCol w:w="109"/>
        <w:gridCol w:w="317"/>
        <w:gridCol w:w="1161"/>
        <w:gridCol w:w="216"/>
      </w:tblGrid>
      <w:t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101,708 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 current</w:t>
            </w:r>
            <w:r>
              <w:rPr>
                <w:rFonts w:ascii="Archivo;sans-serif" w:hAnsi="Archivo;sans-serif"/>
                <w:b w:val="false"/>
                <w:color w:val="000000"/>
                <w:sz w:val="12"/>
              </w:rPr>
              <w:t>1</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c>
          <w:tcPr>
            <w:tcW w:w="2535"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102,601 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primary requirements for liquidity and working capital include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2027 is to maintain sufficient liquidity to fund our operations and growth initiatives, including planned software development activities, and to pay down our outstanding debt.</w:t>
      </w:r>
    </w:p>
    <w:p>
      <w:pPr>
        <w:pStyle w:val="TextBody"/>
        <w:bidi w:val="0"/>
        <w:spacing w:lineRule="auto" w:line="288" w:before="0" w:after="160"/>
        <w:jc w:val="both"/>
      </w:pPr>
      <w:r>
        <w:rPr>
          <w:rFonts w:ascii="Archivo;sans-serif" w:hAnsi="Archivo;sans-serif"/>
          <w:b w:val="false"/>
          <w:color w:val="000000"/>
          <w:sz w:val="18"/>
        </w:rPr>
        <w:t xml:space="preserve">As of September 30, 2026,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principal and interest payments related to our debt obligations, and operating and capital purchase commitments. For information regarding our expected cash requirements and timing of payments related to leases and noncancelable purchase commitments, see Note </w:t>
      </w:r>
      <w:hyperlink w:anchor="i12dd4962790343d797409b782cbae4f7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xml:space="preserve">, Leases, and Note </w:t>
      </w:r>
      <w:hyperlink w:anchor="i12dd4962790343d797409b782cbae4f7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xml:space="preserve">, Commitments and Contingencies, respectively, to the condensed consolidated financial statements. Additionally, refer to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to the condensed consolidated financial statements for more information related to our debt obligations.</w:t>
      </w:r>
    </w:p>
    <w:p>
      <w:pPr>
        <w:pStyle w:val="TextBody"/>
        <w:bidi w:val="0"/>
        <w:spacing w:lineRule="auto" w:line="288" w:before="160" w:after="160"/>
        <w:jc w:val="both"/>
      </w:pPr>
      <w:r>
        <w:rPr>
          <w:rFonts w:ascii="Archivo;sans-serif" w:hAnsi="Archivo;sans-serif"/>
          <w:b w:val="false"/>
          <w:color w:val="000000"/>
          <w:sz w:val="18"/>
        </w:rPr>
        <w:t xml:space="preserve">Our outstanding 2024 Term Loan allows for voluntary prepayments. In order to reduce future cash interest payments, as well as future amounts due at maturity or upon redemption, we may, from time to time, make prepayments. We evaluate opportunities for stock repurchases, and may utilize cash and cash equivalents to repurchase shares under the 2017 Repurchase Plan. During the six months ended September 30, 2025, we repurchased 1.0 million shares of common stock in the open market for approximately $1.8 million at an average price of $1.83 per share. For more information, see Note </w:t>
      </w:r>
      <w:hyperlink w:anchor="i12dd4962790343d797409b782cbae4f7_64">
        <w:r>
          <w:rPr>
            <w:rStyle w:val="InternetLink"/>
            <w:rFonts w:ascii="Archivo;sans-serif" w:hAnsi="Archivo;sans-serif"/>
            <w:b w:val="false"/>
            <w:strike w:val="false"/>
            <w:dstrike w:val="false"/>
            <w:color w:val="0000FF"/>
            <w:sz w:val="18"/>
            <w:u w:val="none"/>
            <w:effect w:val="none"/>
          </w:rPr>
          <w:t>9</w:t>
        </w:r>
      </w:hyperlink>
      <w:r>
        <w:rPr>
          <w:rFonts w:ascii="Archivo;sans-serif" w:hAnsi="Archivo;sans-serif"/>
          <w:b w:val="false"/>
          <w:color w:val="000000"/>
          <w:sz w:val="18"/>
        </w:rPr>
        <w:t>, Stock-Based Compensation and Stockholders' Equity.</w:t>
      </w:r>
    </w:p>
    <w:p>
      <w:pPr>
        <w:pStyle w:val="TextBody"/>
        <w:bidi w:val="0"/>
        <w:spacing w:lineRule="auto" w:line="288" w:before="160" w:after="160"/>
        <w:jc w:val="both"/>
      </w:pPr>
      <w:r>
        <w:rPr>
          <w:rFonts w:ascii="Archivo;sans-serif" w:hAnsi="Archivo;sans-serif"/>
          <w:b w:val="false"/>
          <w:color w:val="000000"/>
          <w:sz w:val="18"/>
        </w:rPr>
        <w:t xml:space="preserve">As of September 30, 2026, our 2028 Notes were trading at a discount to their principal amount. We may seek to retire, refinance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Flows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flows provided by (used in) operating, investing and financing activities (in thousands):</w:t>
      </w:r>
    </w:p>
    <w:tbl>
      <w:tblPr>
        <w:tblW w:w="9983" w:type="dxa"/>
        <w:jc w:val="left"/>
        <w:tblInd w:w="0" w:type="dxa"/>
        <w:tblLayout w:type="fixed"/>
        <w:tblCellMar>
          <w:top w:w="28" w:type="dxa"/>
          <w:left w:w="28" w:type="dxa"/>
          <w:bottom w:w="28" w:type="dxa"/>
          <w:right w:w="28" w:type="dxa"/>
        </w:tblCellMar>
      </w:tblPr>
      <w:tblGrid>
        <w:gridCol w:w="2326"/>
        <w:gridCol w:w="2040"/>
        <w:gridCol w:w="2053"/>
        <w:gridCol w:w="289"/>
        <w:gridCol w:w="1059"/>
        <w:gridCol w:w="139"/>
        <w:gridCol w:w="139"/>
        <w:gridCol w:w="139"/>
        <w:gridCol w:w="139"/>
        <w:gridCol w:w="289"/>
        <w:gridCol w:w="1174"/>
        <w:gridCol w:w="197"/>
      </w:tblGrid>
      <w:tr>
        <w:tc>
          <w:tcPr>
            <w:tcW w:w="232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provided by operating activities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30,093 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20,708 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investing activities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(5,600)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financing activities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(26,659)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increase (decrease) in cash, cash equivalents and restricted cash</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7,639 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(12,640)</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provided by operating activities increased by $9.4 million to $30.1 million for the six months ended September 30, 2026, primarily driven by an increase in cash collected from customers and a decrease in cash paid to vendors, employees and interest on outstanding debt. Cash used in investing activities decreased by $3.1 million to $5.6 million for the six months ended September 30, 2026, primarily due to decreases in capitalized internal-use software costs and purchases of property and equipment. Cash used in financing activities decreased by $10.5 million to $16.1 million for the six months ended September 30, 2026, mainly due to a decrease in the repayment of principal on the 2024 Term Loan and no common stock repurchases for such period, partially offset by an increase in payments for other financing activities.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Debt Obligations</w:t>
      </w:r>
    </w:p>
    <w:p>
      <w:pPr>
        <w:pStyle w:val="TextBody"/>
        <w:bidi w:val="0"/>
        <w:spacing w:lineRule="auto" w:line="288" w:before="0" w:after="160"/>
        <w:jc w:val="both"/>
      </w:pPr>
      <w:r>
        <w:rPr>
          <w:rFonts w:ascii="Archivo;sans-serif" w:hAnsi="Archivo;sans-serif"/>
          <w:b w:val="false"/>
          <w:color w:val="000000"/>
          <w:sz w:val="18"/>
        </w:rPr>
        <w:t xml:space="preserve">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in the unaudited condensed consolidated financial statements included elsewhere in this Quarterly Report for information regarding our debt obligations.</w:t>
      </w:r>
    </w:p>
    <w:p>
      <w:pPr>
        <w:pStyle w:val="TextBody"/>
        <w:bidi w:val="0"/>
        <w:spacing w:lineRule="auto" w:line="288" w:before="0" w:after="0"/>
        <w:jc w:val="left"/>
      </w:pPr>
      <w:r>
        <w:rPr>
          <w:rFonts w:ascii="Archivo;sans-serif" w:hAnsi="Archivo;sans-serif"/>
          <w:b w:val="false"/>
          <w:color w:val="000000"/>
          <w:sz w:val="10"/>
        </w:rPr>
        <w:t>1</w:t>
      </w:r>
      <w:r>
        <w:rPr>
          <w:color w:val="000000"/>
        </w:rPr>
        <w:t xml:space="preserve"> </w:t>
      </w:r>
      <w:r>
        <w:rPr>
          <w:rFonts w:ascii="Archivo;sans-serif" w:hAnsi="Archivo;sans-serif"/>
          <w:b w:val="false"/>
          <w:i/>
          <w:color w:val="000000"/>
          <w:sz w:val="16"/>
        </w:rPr>
        <w:t>Restricted cash is related to accrued holdbacks for business combinations.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33"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SOFR, plus a margin of either 2.50%, 2.75% or 3.00% based on the consolidated total net leverage ratio of the Company and its subsidiaries. The initial margin was 3.00% for the fiscal quarter ending September 30, 2024 and remained 3.00% as of September 30, 2026. We have the option to pay interest monthly, quarterly, or semi-annually. During the three months ended September 30, 2026, we elected monthly interest payment terms which resulted in cash payments of $1.8 million. For the three months ending December 31, 2026, we have elected monthly interest payment terms, which will result in cash payments of approximately $1.7 million. As of September 30, 2026, the debt issuance costs were amortized to interest expense over the term of the 2024 Term Loan at an effective interest rate of 8.61%.</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we have the right to prepay the 2024 Term Loan at any time without any premium or penalty. We completed three principal repayments of the 2024 Term Loan during fiscal 2026 for a total of $30.0 million in aggregate principal amount. We completed one principal repayment of the 2024 Term Loan during the six months ended September 30, 2026 for $14.5 million in aggregate principal amount.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2026, the scheduled minimum principal repayments are $25.0 million in fiscal 2027 (consisting of $12.5 million on each of December 31, 2026 and March 31, 2027) and $82.5 million in fiscal 2028 (consisting of $12.5 million on June 30, 2027 and $70.0 million due upon maturity on August 15, 2027). As of September 30, 2026, we have paid $22.5 million, $37.5 million, $22.5 million, and $10.0 million of the originally scheduled principal repayments due in fiscal 2025, 2026, 2027, and 2028 respectively, and the remaining principal amount of the 2024 Term Loan after the payments is $107.5 million.</w:t>
      </w:r>
    </w:p>
    <w:p>
      <w:pPr>
        <w:pStyle w:val="TextBody"/>
        <w:bidi w:val="0"/>
        <w:spacing w:lineRule="auto" w:line="288" w:before="0" w:after="160"/>
        <w:jc w:val="both"/>
      </w:pPr>
      <w:r>
        <w:rPr>
          <w:rFonts w:ascii="Archivo;sans-serif" w:hAnsi="Archivo;sans-serif"/>
          <w:b w:val="false"/>
          <w:color w:val="000000"/>
          <w:sz w:val="18"/>
        </w:rPr>
        <w:t xml:space="preserve">On October 9, 2026, we paid the $12.5 million short-term principal payment due December 2026 under the 2024 Term Loan, reducing the remaining principal balance to $95.0 million. We have $12.5 million of mandatory principal payments remaining due for fiscal 2027, and the next quarterly payment is due on March 31, 2027. See Note </w:t>
      </w:r>
      <w:hyperlink w:anchor="i12dd4962790343d797409b782cbae4f7_73">
        <w:r>
          <w:rPr>
            <w:rStyle w:val="InternetLink"/>
          </w:rPr>
          <w:t>1</w:t>
        </w:r>
      </w:hyperlink>
      <w:hyperlink w:anchor="i12dd4962790343d797409b782cbae4f7_73">
        <w:r>
          <w:rPr>
            <w:rStyle w:val="InternetLink"/>
          </w:rPr>
          <w:t>2</w:t>
        </w:r>
      </w:hyperlink>
      <w:r>
        <w:rPr>
          <w:rFonts w:ascii="Archivo;sans-serif" w:hAnsi="Archivo;sans-serif"/>
          <w:b w:val="false"/>
          <w:color w:val="000000"/>
          <w:sz w:val="18"/>
        </w:rPr>
        <w:t>, Subsequent Events, for more information.</w:t>
      </w:r>
    </w:p>
    <w:p>
      <w:pPr>
        <w:pStyle w:val="TextBody"/>
        <w:bidi w:val="0"/>
        <w:spacing w:lineRule="auto" w:line="288" w:before="0" w:after="0"/>
        <w:jc w:val="left"/>
        <w:rPr>
          <w:rFonts w:ascii="Archivo;sans-serif" w:hAnsi="Archivo;sans-serif"/>
          <w:b w:val="false"/>
          <w:i/>
          <w:color w:val="000000"/>
          <w:sz w:val="18"/>
        </w:rPr>
      </w:pPr>
      <w:r>
        <w:rPr>
          <w:rFonts w:ascii="Archivo;sans-serif" w:hAnsi="Archivo;sans-serif"/>
          <w:b w:val="false"/>
          <w:i/>
          <w:color w:val="000000"/>
          <w:sz w:val="18"/>
        </w:rPr>
        <w:t>Material Cash Requirements and Other Obligations</w:t>
      </w:r>
    </w:p>
    <w:p>
      <w:pPr>
        <w:pStyle w:val="TextBody"/>
        <w:bidi w:val="0"/>
        <w:spacing w:before="0" w:after="0"/>
        <w:jc w:val="left"/>
      </w:pPr>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March 31, 2026, our material cash requirements and other obligations were $69.6 million. During the fiscal year ended March 31, 2026, we increased our noncancelable three-year hosting service contract commitment from $24.1 million to $54.0 million. Under this agreement, $3.4 million remains due in fiscal 2027 and $10.0 million will be due in fiscal 2028.</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six months ended September 30, 2026, we entered into a $74.0 million noncancelable five-year hosting service contract with a cloud service provider. Under this agreement, $2.0 million has been paid as of September 30, 2026, $6.1 million remains due during fiscal 2027, $13.9 million will be due during fiscal 2028, $15.8 million will be due during fiscal 2029 and $36.2 million will be due for the remaining contractual term. For information regarding our material cash requirements and other obligations, see Item 7, "Management's Discussion and Analysis" in the Form 10-K.</w:t>
      </w:r>
    </w:p>
    <w:p>
      <w:pPr>
        <w:pStyle w:val="TextBody"/>
        <w:bidi w:val="0"/>
        <w:spacing w:lineRule="auto" w:line="288" w:before="0" w:after="160"/>
        <w:jc w:val="both"/>
      </w:pPr>
      <w:r>
        <w:rPr>
          <w:rFonts w:ascii="Archivo;sans-serif" w:hAnsi="Archivo;sans-serif"/>
          <w:b w:val="false"/>
          <w:color w:val="000000"/>
          <w:sz w:val="18"/>
        </w:rPr>
        <w:t xml:space="preserve">During the six months ended September 30, 2026, we reduced the 2024 Term Loan contractual principal by $14.5 million to $107.5 million. See Note </w:t>
      </w:r>
      <w:hyperlink w:anchor="i12dd4962790343d797409b782cbae4f7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34"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Critical Accounting Policies and Estimates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160"/>
        <w:jc w:val="both"/>
      </w:pPr>
      <w:r>
        <w:rPr>
          <w:rFonts w:ascii="Archivo;sans-serif" w:hAnsi="Archivo;sans-serif"/>
          <w:b w:val="false"/>
          <w:color w:val="000000"/>
          <w:sz w:val="18"/>
        </w:rPr>
        <w:t xml:space="preserve">Our condensed consolidated financial statements are prepared in accordance with U.S. generally accepted accounting principles ("U.S. GAAP"). See Note </w:t>
      </w:r>
      <w:hyperlink w:anchor="i12dd4962790343d797409b782cbae4f7_34">
        <w:r>
          <w:rPr>
            <w:rStyle w:val="InternetLink"/>
            <w:rFonts w:ascii="Archivo;sans-serif" w:hAnsi="Archivo;sans-serif"/>
            <w:b w:val="false"/>
            <w:strike w:val="false"/>
            <w:dstrike w:val="false"/>
            <w:color w:val="0000FF"/>
            <w:sz w:val="18"/>
            <w:u w:val="none"/>
            <w:effect w:val="none"/>
          </w:rPr>
          <w:t>1</w:t>
        </w:r>
      </w:hyperlink>
      <w:r>
        <w:rPr>
          <w:rFonts w:ascii="Archivo;sans-serif" w:hAnsi="Archivo;sans-serif"/>
          <w:b w:val="false"/>
          <w:color w:val="000000"/>
          <w:sz w:val="18"/>
        </w:rPr>
        <w:t>, The Company and Significant Accounting Policies, in the notes to the unaudited condensed consolidated financial statements included in this Quarterly Report, which describes the significant accounting policies and methods used in the preparation of our condensed consolidated financial statements. There have been no significant changes during the six months ended September 30, 2026 to our critical accounting policies and estimates previously disclosed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0" w:name="i44d80c6426cb4706857d00988c06dee3_329"/>
      <w:bookmarkEnd w:id="10"/>
      <w:r>
        <w:rPr>
          <w:rFonts w:ascii="Archivo;sans-serif" w:hAnsi="Archivo;sans-serif"/>
          <w:b/>
          <w:color w:val="000000"/>
          <w:sz w:val="22"/>
        </w:rPr>
        <w:t>ITEM 3. Quantitative and Qualitative Disclosures About Market Risk</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There have been no material changes in our exposures to market risk since March 31, 2026. For details on the Company’s interest rate and foreign currency exchange risks, see “Quantitative and Qualitative Disclosures About Market Risk” in Part II, Item 7A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1" w:name="i858403b0adb34394a0883e47c8181c33_1793"/>
      <w:bookmarkEnd w:id="11"/>
      <w:r>
        <w:rPr>
          <w:rFonts w:ascii="Archivo;sans-serif" w:hAnsi="Archivo;sans-serif"/>
          <w:b/>
          <w:color w:val="000000"/>
          <w:sz w:val="22"/>
        </w:rPr>
        <w:t>ITEM 4. Controls and Procedures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Evaluation of Disclosure Controls and Procedures</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Our management, with the participation of our Chief Executive Officer ("CEO") and Chief Financial Officer ("CFO"), has evaluated the effectiveness of our disclosure controls and procedures (as defined in Rules 13a-15(e) and 15d-15(e) under the Securities Exchange Act of 1934, as amended) as of September 30, 2026. Based on this evaluation, our CEO and CFO concluded that, as of September 30, 2026, our disclosure controls and procedures were effective at a reasonable assurance level to ensure that information required to be disclosed by us in the reports that we file or submit under the Exchange Act is recorded, processed, summarized, and reported within the time periods specified in the SEC’s rules and forms.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Changes in Internal Control Over Financial Reporting</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During the three months ended September 30, 2026,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Limitations on the Effectiveness of Controls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management, including the CEO and CFO,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35"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33</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12" w:name="ia170d6fcf98a422585bea679ddcd15f6_30"/>
      <w:bookmarkEnd w:id="12"/>
      <w:r>
        <w:rPr>
          <w:rFonts w:ascii="Archivo;sans-serif" w:hAnsi="Archivo;sans-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3" w:name="i1118ccaf385642a896adc0014ad39122_326"/>
      <w:bookmarkEnd w:id="13"/>
      <w:r>
        <w:rPr>
          <w:rFonts w:ascii="Archivo;sans-serif" w:hAnsi="Archivo;sans-serif"/>
          <w:b/>
          <w:color w:val="000000"/>
          <w:sz w:val="22"/>
        </w:rPr>
        <w:t>ITEM 1. Legal Proceedings</w:t>
      </w:r>
    </w:p>
    <w:p>
      <w:pPr>
        <w:pStyle w:val="TextBody"/>
        <w:bidi w:val="0"/>
        <w:spacing w:lineRule="auto" w:line="288" w:before="0" w:after="240"/>
        <w:jc w:val="both"/>
      </w:pPr>
      <w:r>
        <w:rPr>
          <w:rFonts w:ascii="Archivo;sans-serif" w:hAnsi="Archivo;sans-serif"/>
          <w:b w:val="false"/>
          <w:color w:val="000000"/>
          <w:sz w:val="18"/>
        </w:rPr>
        <w:t xml:space="preserve">Information with respect to this item may be found in Note </w:t>
      </w:r>
      <w:hyperlink w:anchor="i12dd4962790343d797409b782cbae4f7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Commitments and Contingencies</w:t>
      </w:r>
      <w:r>
        <w:rPr>
          <w:rFonts w:ascii="Archivo;sans-serif" w:hAnsi="Archivo;sans-serif"/>
          <w:b w:val="false"/>
          <w:i/>
          <w:color w:val="000000"/>
          <w:sz w:val="18"/>
        </w:rPr>
        <w:t>,</w:t>
      </w:r>
      <w:r>
        <w:rPr>
          <w:color w:val="000000"/>
        </w:rPr>
        <w:t xml:space="preserve"> </w:t>
      </w:r>
      <w:r>
        <w:rPr>
          <w:rFonts w:ascii="Archivo;sans-serif" w:hAnsi="Archivo;sans-serif"/>
          <w:b w:val="false"/>
          <w:color w:val="000000"/>
          <w:sz w:val="18"/>
        </w:rPr>
        <w:t>under the heading “Legal Proceedings” in the Notes to Unaudited Condensed Consolidated Financial Statements included in this Quarterly Report, which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bookmarkStart w:id="14" w:name="ida4e60b819f344c0acb1bddbc46ceb60_663"/>
      <w:bookmarkEnd w:id="14"/>
      <w:r>
        <w:rPr>
          <w:rFonts w:ascii="Archivo;sans-serif" w:hAnsi="Archivo;sans-serif"/>
          <w:b/>
          <w:color w:val="000000"/>
          <w:sz w:val="22"/>
        </w:rPr>
        <w:t>ITEM 1A.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Investing in our securities involves risk. Prior to making a decision about investing in our securities, you should carefully consider the risk factors related to our business and operations described in Part I, Item 1A of the Form 10-K under the heading “Risk Factors,” together with all of the other information contained or incorporated by reference in this Quarterly Report. Additional risks and uncertainties not presently known to us or that we currently deem immaterial may also affect our operations.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Except as set forth below, there have been no material changes to the risk factors previously disclosed in our Annual Report on Form 10-K for the fiscal year ended March 31, 2026.</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Refinancing our 2024 Term Loan and our 2028 Notes before their maturities is likely to be more expensive than our current interest expense and we may not be able to refinance such debt on acceptable terms, or at all, and the concentration of those maturities within a short period could materially and adversely affect our liquidity and financial condition.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2024 Term Loan matures on August 15, 2027 and our 2028 Notes mature on February 1, 2028. As of September 30, 2026, $107.5 million of principal was outstanding under the 2024 Term Loan, all of which is classified as a current liability on our balance sheet, and $201.9 million aggregate principal amount of the 2028 Notes was outstanding. Following a $12.5 million principal payment on October 9, 2026, $95.0 million remains outstanding under the 2024 Term Loan. Accordingly, based on principal currently outstanding, approximately $297 million of indebtedness is scheduled to mature between March 2027 and February 2028, including approximately $272 million that matures within a period of approximately six months beginning in August 2027. As of September 30, 2026, our cash and cash equivalents balance was $101.7 million, before giving effect to the October 2026 principal payment. Barring an increase in the price per share of our common stock such that the 2028 Notes would be convertible into shares, we do not expect that our cash, cash equivalents and anticipated cash flows from operations will be sufficient to repay both instruments at maturity without a refinancing or other capital-raising transaction.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are pursuing a refinancing of our debt structure, including the 2024 Term Loan and the 2028 Notes. There can be no assurance that we will be able to complete a refinancing on acceptable terms, on our anticipated timeline, or at all. Our ability to do so will depend on factors, many of which are outside our control, including conditions in the credit and capital markets, interest rates, our operating performance and credit profile, the trading price of our common stock and of the 2028 Notes, and the willingness of lenders and investors to extend credit to companies in our industry and of our size. Any refinancing is likely to be at a higher interest rate than our existing debt, may contain more restrictive covenants, may require additional collateral or guarantees, or may include equity or equity-linked securities, which could dilute our existing stockholders. Repurchasing or exchanging the 2028 Notes before maturity may also require us to pay a premium or incur other costs, and could result in a loss on extinguishment of debt or induced conversion expense.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If we are unable to refinance the 2024 Term Loan before its maturity, we intend to repay it with cash on hand and cash generated from operations, which would substantially reduce our liquidity and the funds available for operations, investment and other corporate purposes, and would leave us dependent on a subsequent transaction to repay the 2028 Notes in February 2028. If we are unable to refinance or repay our indebtedness as it matures, we could default under the 2024 Credit Agreement or the indenture governing the 2028 Notes, which could result in acceleration of that indebtedness and cross-defaults under our other agreements. Management evaluates our ability to continue as a going concern in each interim and annual reporting period, considering conditions and events within one year after the financial statements are issued. If a refinancing has not been completed, the 2028 Notes maturity is expected to fall within that period beginning with our report for the quarter ending December 31, 2026. Accordingly, management will be required to evaluate whether that maturity raises substantial doubt about our ability to continue as a going concern, and any such conclusion or related disclosure could adversely affect our stock price, our relationships with customers, partners and suppliers, and our ability to complete a refinancing on acceptable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36"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34</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bookmarkStart w:id="15" w:name="i0aeb2df2f9854c3184965c5d51c0dac9_222"/>
      <w:bookmarkEnd w:id="15"/>
      <w:r>
        <w:rPr>
          <w:rFonts w:ascii="Archivo;sans-serif" w:hAnsi="Archivo;sans-serif"/>
          <w:b/>
          <w:color w:val="000000"/>
          <w:sz w:val="22"/>
        </w:rPr>
        <w:t>ITEM 2. Unregistered Sales of Equity Securities and Use of Proceeds</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(a) Unregistered Sales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(b) Use of Proceeds from Registered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60"/>
        <w:jc w:val="left"/>
        <w:rPr>
          <w:rFonts w:ascii="Archivo;sans-serif" w:hAnsi="Archivo;sans-serif"/>
          <w:b w:val="false"/>
          <w:color w:val="000000"/>
          <w:sz w:val="18"/>
        </w:rPr>
      </w:pPr>
      <w:r>
        <w:rPr>
          <w:rFonts w:ascii="Archivo;sans-serif" w:hAnsi="Archivo;sans-serif"/>
          <w:b w:val="false"/>
          <w:color w:val="000000"/>
          <w:sz w:val="18"/>
        </w:rPr>
        <w:t>(c) Issuer Purchases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chivo;sans-serif" w:hAnsi="Archivo;sans-serif"/>
          <w:b/>
          <w:color w:val="000000"/>
          <w:sz w:val="22"/>
        </w:rPr>
      </w:pPr>
      <w:bookmarkStart w:id="16" w:name="i322e05199b484ab59b34e88d525f1bcb_49"/>
      <w:bookmarkEnd w:id="16"/>
      <w:r>
        <w:rPr>
          <w:rFonts w:ascii="Archivo;sans-serif" w:hAnsi="Archivo;sans-serif"/>
          <w:b/>
          <w:color w:val="000000"/>
          <w:sz w:val="22"/>
        </w:rPr>
        <w:t>ITEM 3. Defaults Upon Senior Securities</w:t>
      </w:r>
    </w:p>
    <w:p>
      <w:pPr>
        <w:pStyle w:val="TextBody"/>
        <w:bidi w:val="0"/>
        <w:spacing w:lineRule="auto" w:line="288" w:before="120" w:after="24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7" w:name="i716cc7f5dfef47c9905ef63db7d43922_51"/>
      <w:bookmarkEnd w:id="17"/>
      <w:r>
        <w:rPr>
          <w:rFonts w:ascii="Archivo;sans-serif" w:hAnsi="Archivo;sans-serif"/>
          <w:b/>
          <w:color w:val="000000"/>
          <w:sz w:val="22"/>
        </w:rPr>
        <w:t>ITEM 4. Mine Safety Disclosures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8" w:name="i6dca054bea1745b7bb9962654f79eb8e_2860"/>
      <w:bookmarkEnd w:id="18"/>
      <w:r>
        <w:rPr>
          <w:rFonts w:ascii="Archivo;sans-serif" w:hAnsi="Archivo;sans-serif"/>
          <w:b/>
          <w:color w:val="000000"/>
          <w:sz w:val="22"/>
        </w:rPr>
        <w:t>ITEM 5. Other Information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None of the Company's directors and officers (as defined in Rule 16a-1(f) under the Exchange Act) adopted or terminated a Rule 10b5-1 trading arrangement (as defined in Item 408(c) of Regulation S-K) during the three months ended September 30, 2026, except as noted below:</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Kevin Kraus, our Chief Financial Officer and a Section 16 officer, adopted a Rule 10b5-1 Trading Plan on August 24, 2026, intended to satisfy the affirmative defense of Rule 10b5-1(c) under the Exchange Act. Mr. Kraus’s Rule 10b5-1 Trading Plan provides for the potential sale of up to 24,000 shares of the Company’s common stock, plus an additional number of shares that Mr. Kraus may receive in connection with his participation in the ESPP. The exact number of these additional shares can only be determined upon the future purchase of shares under the ESPP. The plan is scheduled to expire on November 23, 2027.</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RSUs and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37"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35</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color w:val="000000"/>
          <w:sz w:val="22"/>
        </w:rPr>
      </w:pPr>
      <w:bookmarkStart w:id="19" w:name="i87098beab6df4334ad05c92c3cf38e09_22"/>
      <w:bookmarkEnd w:id="19"/>
      <w:r>
        <w:rPr>
          <w:rFonts w:ascii="Archivo;sans-serif" w:hAnsi="Archivo;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406"/>
        <w:gridCol w:w="357"/>
        <w:gridCol w:w="359"/>
        <w:gridCol w:w="1703"/>
        <w:gridCol w:w="1529"/>
        <w:gridCol w:w="1533"/>
        <w:gridCol w:w="399"/>
        <w:gridCol w:w="399"/>
        <w:gridCol w:w="400"/>
        <w:gridCol w:w="333"/>
        <w:gridCol w:w="251"/>
        <w:gridCol w:w="214"/>
        <w:gridCol w:w="369"/>
        <w:gridCol w:w="369"/>
        <w:gridCol w:w="369"/>
        <w:gridCol w:w="353"/>
        <w:gridCol w:w="353"/>
        <w:gridCol w:w="509"/>
      </w:tblGrid>
      <w:t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Incorporated by Reference</w:t>
            </w:r>
          </w:p>
        </w:tc>
        <w:tc>
          <w:tcPr>
            <w:tcW w:w="121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4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Description</w:t>
            </w:r>
          </w:p>
        </w:tc>
        <w:tc>
          <w:tcPr>
            <w:tcW w:w="11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Company Form</w:t>
            </w:r>
          </w:p>
        </w:tc>
        <w:tc>
          <w:tcPr>
            <w:tcW w:w="7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Filing Date</w:t>
            </w:r>
          </w:p>
        </w:tc>
        <w:tc>
          <w:tcPr>
            <w:tcW w:w="11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12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Filed Herewith</w:t>
            </w:r>
          </w:p>
        </w:tc>
      </w:tr>
      <w:tr>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w:t>
            </w:r>
          </w:p>
        </w:tc>
        <w:tc>
          <w:tcPr>
            <w:tcW w:w="4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Archivo;sans-serif" w:hAnsi="Archivo;sans-serif"/>
                  <w:b w:val="false"/>
                  <w:color w:val="0000FF"/>
                  <w:sz w:val="18"/>
                  <w:u w:val="single"/>
                </w:rPr>
                <w:t>Certificate of Amendment to the Restated Certificate of Incorporation of 8x8, Inc., dated as of July 12, 2022</w:t>
              </w:r>
            </w:hyperlink>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8-K</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7/13/2022</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Archivo;sans-serif" w:hAnsi="Archivo;sans-serif"/>
                  <w:b w:val="false"/>
                  <w:color w:val="0000FF"/>
                  <w:sz w:val="18"/>
                  <w:u w:val="single"/>
                </w:rPr>
                <w:t>Amended and Restated By-Laws of 8x8, Inc.</w:t>
              </w:r>
            </w:hyperlink>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8-K</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7/28/2015</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Archivo;sans-serif" w:hAnsi="Archivo;sans-serif"/>
                  <w:b w:val="false"/>
                  <w:color w:val="0000FF"/>
                  <w:sz w:val="18"/>
                  <w:u w:val="single"/>
                </w:rPr>
                <w:t>8x8, Inc. Amended and Restated 2022 Equity Incentive Plan</w:t>
              </w:r>
            </w:hyperlink>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10-Q</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8/5/2026</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8x8_fy27q2xex102xar2017.htm">
              <w:r>
                <w:rPr>
                  <w:rStyle w:val="InternetLink"/>
                  <w:rFonts w:ascii="Archivo;sans-serif" w:hAnsi="Archivo;sans-serif"/>
                  <w:b w:val="false"/>
                  <w:color w:val="0000FF"/>
                  <w:sz w:val="18"/>
                  <w:u w:val="single"/>
                </w:rPr>
                <w:t>8x8, Inc. Amended and Restated 2017 New Employee Inducement Incentive Plan</w:t>
              </w:r>
            </w:hyperlink>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31.1</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8x8_fy27q2xex311.htm">
              <w:r>
                <w:rPr>
                  <w:rStyle w:val="InternetLink"/>
                  <w:rFonts w:ascii="Archivo;sans-serif" w:hAnsi="Archivo;sans-serif"/>
                  <w:b w:val="false"/>
                  <w:color w:val="0000FF"/>
                  <w:sz w:val="18"/>
                  <w:u w:val="single"/>
                </w:rPr>
                <w:t>Certification of Chief Executive Officer of the Registrant pursuant to Rule 13a-14</w:t>
              </w:r>
            </w:hyperlink>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31.2</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8x8_fy27q2xex312.htm">
              <w:r>
                <w:rPr>
                  <w:rStyle w:val="InternetLink"/>
                  <w:rFonts w:ascii="Archivo;sans-serif" w:hAnsi="Archivo;sans-serif"/>
                  <w:b w:val="false"/>
                  <w:color w:val="0000FF"/>
                  <w:sz w:val="18"/>
                  <w:u w:val="single"/>
                </w:rPr>
                <w:t>Certification of Chief Financial Officer of the Registrant pursuant to Rule 13a-14</w:t>
              </w:r>
            </w:hyperlink>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32.1</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8x8_fy27q2xex321.htm">
              <w:r>
                <w:rPr>
                  <w:rStyle w:val="InternetLink"/>
                  <w:rFonts w:ascii="Archivo;sans-serif" w:hAnsi="Archivo;sans-serif"/>
                  <w:b w:val="false"/>
                  <w:color w:val="0000FF"/>
                  <w:sz w:val="18"/>
                  <w:u w:val="single"/>
                </w:rPr>
                <w:t>Certification of Chief Executive Officer of the Registrant pursuant to 18 U.S.C. 1350, as adopted pursuant to Section 906 of the Sarbanes-Oxley Act of 2002</w:t>
              </w:r>
            </w:hyperlink>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32.2</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8x8_fy27q2xex322.htm">
              <w:r>
                <w:rPr>
                  <w:rStyle w:val="InternetLink"/>
                  <w:rFonts w:ascii="Archivo;sans-serif" w:hAnsi="Archivo;sans-serif"/>
                  <w:b w:val="false"/>
                  <w:color w:val="0000FF"/>
                  <w:sz w:val="18"/>
                  <w:u w:val="single"/>
                </w:rPr>
                <w:t>Certification of Chief Financial Officer of the Registrant pursuant to 18 U.S.C. 1350, as adopted pursuant to Section 906 of the Sarbanes-Oxley Act of 2002</w:t>
              </w:r>
            </w:hyperlink>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101.INS</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Instance Document - the instance document does not appear in the Interactive Data File because its XBRL tags are embedded within the Inline XBRL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101.SCH</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Taxonomy Schema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101.CAL</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Taxonomy Calculation Linkbase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101.DEF</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Taxonomy Definition Linkbase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101.LAB</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Taxonomy Labels Linkbase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101.PRE</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Inline XBRL Taxonomy Presentation Linkbase Document</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104</w:t>
            </w:r>
          </w:p>
        </w:tc>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Cover Page Interactive Data File (formatted as Inline XBRL and contained in Exhibit 101)</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38"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36</w:t>
                      </w:r>
                    </w:p>
                  </w:txbxContent>
                </v:textbox>
                <w10:wrap type="none"/>
              </v:rect>
            </w:pict>
          </mc:Fallback>
        </mc:AlternateContent>
      </w:r>
    </w:p>
    <w:p>
      <w:pPr>
        <w:pStyle w:val="TextBody"/>
        <w:bidi w:val="0"/>
        <w:spacing w:lineRule="auto" w:line="288" w:before="0" w:after="0"/>
        <w:jc w:val="left"/>
      </w:pPr>
      <w:hyperlink w:anchor="i12dd4962790343d797409b782cbae4f7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20" w:name="ia73cf6365f4d435d8dfdb0e65e6809cc_337"/>
      <w:bookmarkEnd w:id="20"/>
      <w:r>
        <w:rPr>
          <w:rFonts w:ascii="Archivo;sans-serif" w:hAnsi="Archivo;sans-serif"/>
          <w:b/>
          <w:color w:val="000000"/>
          <w:sz w:val="22"/>
        </w:rPr>
        <w:t>SIGNATURES</w:t>
      </w:r>
    </w:p>
    <w:p>
      <w:pPr>
        <w:pStyle w:val="TextBody"/>
        <w:bidi w:val="0"/>
        <w:spacing w:lineRule="auto" w:line="288" w:before="240" w:after="360"/>
        <w:jc w:val="both"/>
        <w:rPr>
          <w:rFonts w:ascii="Archivo;sans-serif" w:hAnsi="Archivo;sans-serif"/>
          <w:b w:val="false"/>
          <w:color w:val="000000"/>
          <w:sz w:val="18"/>
        </w:rPr>
      </w:pPr>
      <w:r>
        <w:rPr>
          <w:rFonts w:ascii="Archivo;sans-serif" w:hAnsi="Archivo;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November 5, 2026.</w:t>
      </w:r>
    </w:p>
    <w:tbl>
      <w:tblPr>
        <w:tblW w:w="66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9"/>
        <w:gridCol w:w="1759"/>
        <w:gridCol w:w="249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4"/>
              </w:rPr>
            </w:pPr>
            <w:r>
              <w:rPr>
                <w:rFonts w:ascii="Archivo;sans-serif" w:hAnsi="Archivo;sans-serif"/>
                <w:b/>
                <w:color w:val="000000"/>
                <w:sz w:val="24"/>
              </w:rPr>
              <w:t>8x8, Inc.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/s/ Colleen Martin-Garcia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Colleen Martin-Garcia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Chief Accounting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(Principal Accounting Officer and Duly Authorized Officer)</w:t>
            </w:r>
          </w:p>
        </w:tc>
      </w:tr>
    </w:tbl>
    <w:p>
      <w:pPr>
        <w:pStyle w:val="TextBody"/>
        <w:bidi w:val="0"/>
        <w:spacing w:before="0" w:after="0"/>
        <w:jc w:val="center"/>
      </w:pPr>
      <w:bookmarkStart w:id="21" w:name="a8x8_fy27q2xex102xar2017.htm"/>
      <w:bookmarkStart w:id="22" w:name="ksa8x8_fy27q2xex102xar2017"/>
      <w:bookmarkEnd w:id="21"/>
      <w:bookmarkEnd w:id="22"/>
      <w:r>
        <w:drawing>
          <wp:inline distT="0" distB="0" distL="0" distR="0">
            <wp:extent cx="10048875" cy="130016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40"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37</w:t>
                      </w:r>
                    </w:p>
                  </w:txbxContent>
                </v:textbox>
                <w10:wrap type="none"/>
              </v:rect>
            </w:pict>
          </mc:Fallback>
        </mc:AlternateContent>
      </w:r>
    </w:p>
    <w:p>
      <w:pPr>
        <w:pStyle w:val="TextBody"/>
        <w:bidi w:val="0"/>
        <w:jc w:val="center"/>
        <w:rPr>
          <w:color w:val="FFFFFF"/>
          <w:sz w:val="2"/>
        </w:rPr>
      </w:pPr>
      <w:r>
        <w:rPr>
          <w:color w:val="FFFFFF"/>
          <w:sz w:val="2"/>
        </w:rPr>
        <w:t xml:space="preserve">8X8, INC. AMENDED AND RESTATED 2017 NEW EMPLOYEE INDUCEMENT INCENTIVE PLAN As amended October 21, 2026 1.Purposes 1.1 General Purpose. The Company, by means of the Plan, seeks to retain the services of persons not previously an employee or director of the Company, or following a bona fide period of non- employment, as an inducement material to the individual's entering into employment with the Company within the meaning of Manual Rule 303A.08 of the New York Stock Exchange Listing Rules and Rule 5635(c)(4) of the Nasdaq Listing Rules, and to provide incentives for such persons to exert maximum efforts for the success of the Company and its Affiliates. 1.2 Available Awards. The purpose of the Plan is to provide a means by which eligible recipients of Awards may be given an opportunity to benefit from increases in value of the Common Stock through the granting of the following stock awards: Options, Restricted Stock, Restricted Stock Units, Stock Appreciation Rights, Performance Units and Stock Grants. 2.Definitions As used in this Plan, the following terms shall have the following meanings: 2.1 Accelerate, Accelerated, and Acceleration means: (a) when used with respect to a Stock Right, that as of the time of 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 2.2 Affiliate means any corporation, partnership, limited liability company, business trust, or other entity controlling, controlled by or under common control with the Company. 2.3 Award means any grant or sale pursuant to the Plan of Options, Stock Appreciation Rights, Performance Units, Restricted Stock, Restricted Stock Units or Stock Grants. 2.4 Award Agreement means an agreement between the Company and the recipient of an Award, or other notice of grant of an Award, setting forth the terms and conditions of the Award. 2.5 Board means the Company's Board of Directors. 2.6 Code means the Internal Revenue Code of 1986, as amended from time to time, or any successor statute thereto, and any regulations issued from time to time thereunder. 2.7 Committee means the Compensation Committee of the Board, which in general is responsible for the administration of the Plan, as provided in Section 4 of the Plan. For any period during which no such committee is in existence, "Committee" shall mean the Independent Board, and all authority and responsibility assigned to the Committee under the Plan shall be exercised, if at all, by the Independent Board. 2.8 Company means 8x8, Inc., a corporation organized under the laws of the State of Delaware. 2.9 Corporate Transaction means any (1) merger or consolidation of the Company with or into another entity as a result of which the Stock of the Company is converted into or exchanged for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 2.10 Effective Date means the most recent date on which this Plan has been approved by the Board, including the Independent Board. 2.11 Exchange Act means the Securities Exchange Act of 1934, as amended. 2.12 Grant Date means the date as of which an Option is granted, as determined under Section 6.1(a). 2.13 Independent Board means a majority of the independent directors on the Board. "Independent director" has the meaning given under Manual Rule 303A.02 of the New York Stock Exchange Listing Rules and Rules 5005(a)(20) and 5605(a)(2) of the Nasdaq Listing Rules. 2.14 Market Value means the value of a share of Stock on a particular date determined by such methods or procedures as may be established by the Committee. Unless otherwise determined by the Committee, the Market Value of Stock as of any date is: (a) the closing price for the Stock as reported on the New York Stock Exchange or Nasdaq Stock Market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 2.15 Option means an option to purchase shares of Stock. 2.16 Optionee means a Participant to whom an Option shall have been granted under the Plan. 2.17 Participant means any holder of an outstanding Award under the Plan. 2.18 Performance Criteria means the criteria that the Committee selects for purposes of establishing the Performance Goal or Performance Goals for a Participant for a Performance Period. The Performance Criteria used to establish Performance Goals are limited to: (i) cash flow (before or after dividends), (ii) earnings per share (including, without limitation, earnings before interest, taxes, depreciation and amortization), (iii) stock price, (iv) return on equity, (v) 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 to capital), (xii) revenue, (xiii) sales or net sales, (xiv) backlog, (xv) income, pre-tax income or net income, (xvi) operating income or pre-tax profit, (xvii) operating profit, net operating profit or economic profit, (xviii) gross margin, operating margin or profit margin, (xix) return on operating revenue or return on operating assets, (xx) cash from operations, (xxi) operating ratio, (xxii) operating revenue, (xxiii) market share improvement, (xxiv) general and administrative expenses and (xxv) customer service. 2.19 Performance Goals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 (ii) litigation, claims, judgments or settlements, (iii) the effect of changes in tax law, accounting principles or other such laws or provisions affecting reported results, (iv) accruals for reorganization and restructuring programs and (v) any extraordinary, unusual, non-recurring or non-comparable items (A) as described in Accounting Standards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 2.20 Performance Period means the one or more periods, which may be of varying and overlapping durations, selected by the Committee, over which the attainment of one or more Performance Goals or other business objectives will be measured for purposes of determining a Participant's right to, and the payment of, a Performance Unit. 2.21 Performance Unit means a right granted to a Participant under Section 6.5, to receive cash, Stock or other Awards, the payment of which is contingent on achieving Performance Goals or other business objectives established by the Committee. 2.22 Plan means this Amended and Restated 2017 New Employee Inducement Incentive Plan of the Company, as amended from time to time, and including any attachments or addenda hereto. 2.23 Restricted Stock means a grant or sale of shares of Stock to a Participant subject to a Risk of Forfeiture. 2.24 Restricted Stock Units means rights to receive shares of Stock at the close of a Restriction Period, subject to a Risk of Forfeiture. 2.25 Restriction Period means the period of time, established by the Committee in connection with an Award of Restricted Stock or Restricted Stock Units, during which the shares of Restricted Stock or Restricted Stock Units are subject to a Risk of Forfeiture described in the applicable Award Agreement. 2.26 Risk of Forfeiture means a limitation on the right of the Participant to retain Restricted Stock or Restricted Stock Units, including a right in the Company to reacquire shares of Restricted Stock at less than their then Market Value, arising because of the occurrence or non-occurrence of specified events or conditions. 2.27 Securities Act means the Securities Act of 1933, as amended. 2.28 SEC means the Securities and Exchange Commission. 2.29 Stock means common stock, par value $0.001 per share, of the Company, and such other securities as may be substituted for Stock pursuant to Section 7. 2.30 Stock Appreciation Right means a right to receive any excess in the Market Value of shares of Stock (except as otherwise provided in Section 6.2(c)) over a specified exercise price. 2.31 Stock Grant means the grant of shares of Stock not subject to restrictions or other forfeiture conditions. 2.32 Stock Right means an Award in the form of an Option or a Stock Appreciation Right.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2.33 Stockholders' Agreement means any agreement by and among the holders of at least a majority of the outstanding voting securities of the Company and setting forth, among other provisions, restrictions upon the transfer of shares of Stock or on the exercise of rights appurtenant thereto (including, but not limited to, voting rights). 3.Shares Subject to the Plan; Term of the Plan 3.1 Number of Shares. Subject to Section 7.1, the aggregate number of shares of Stock that have been reserved for issuance pursuant to this Plan is Nine Million, One Hundred and Fifty Thousand (9,150,000) shares, and at no time shall the number of shares of Stock issued pursuant to or subject to outstanding Awards granted under the Plan exceed such number. For purposes of applying the foregoing limitation, settlement of any Award shall not count against the foregoing limitations except to the extent settled in the form of Stock and, without limiting the generality of the foregoing: A. if any Option or Stock-settled Stock Appreciation Right expires, terminates, or is cancelled for any reason without having been exercised in full, or if any other Award is forfeited by the recipient or repurchased at less than its Market Value as a means of effecting a forfeiture, the shares of Stock not purchased by the Optionee or which are forfeited by the recipient or repurchased shall again be available for Awards to be granted under the Plan; B. if any Option is exercised by delivering previously owned shares of Stock in payment of the exercise price therefor, only the net number of shares, that is, the number of shares of Stock issued minus the number received by the Company in payment of the exercise price, shall be considered to have been issued pursuant to an Award granted under the Plan; and C. any shares of Stock either tendered or withheld in satisfaction of tax withholding obligations of the Company or an Affiliate shall again be available for issuance under the Plan. Shares of Stock issued pursuant to the Plan may be either authorized but unissued shares or shares held by the Company in its treasury. 3.2 Term. Unless the Plan shall have been earlier terminated by the Board, Awards may be granted under this Plan at any time in the period commencing on the Effective Date and ending immediately prior to the tenth (10th) anniversary thereof. Awards granted pursuant to the Plan within that period shall not expire solely by reason of the termination of the Plan. 4.Administration In all events the Plan shall be administered by the Independent Board or Committee in compliance with Manual Rule 303A.08 (and any successor thereto) of the Listing Rules of the New York Stock Exchange or Rule 5635(c)(4) of the Nasdaq Listing Rules (and any successor thereto), or of any successor national stock exchange on which the Stock shall be listed during the term of the Plan, which are collectively referred to as the Listing Rules. The grant of any Award under the Plan must be approved by a majority of the members of the Board (each of whom is an "independent director" as defined in the Listing Rules) or by the Company's independent compensation committee (as intended under the Listing Rules). The Plan shall be administered by the Committee, provided, however, that at any time and on any one or more occasions the Independent Board may itself exercise any of the powers and responsibilities assigned the Committee under the Plan and when so acting shall have the benefit of all of the provisions of the Plan pertaining to the Committee's exercise of its authorities hereunder. Subject to the provisions of the Plan, the Committee shall have complete authority, in its discretion, to make or to select the manner of making all determinations with respect to each Award to be granted by the Company under the Plan, including the new employee to receive the Award and the form of Award. All Awards of Stock or which otherwise entitle the Award recipient to acquire any shares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of Stock shall be made from the authorized but unissued shares of Stock of the Company. The Committee, or the Independent Board, shall determine in its sole discretion how many shares of Stock to issue under this Plan in the aggregate. In making its determinations, the Committee may take into account the nature of the services to be rendered by the new employees, their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 5.Authorization of Grants 5.1 Eligibility. Persons eligible for Awards shall consist of employees whose potential contribution, in the judgment of the Committee, will benefit the future success of the Company and/or an Affiliate. Offers of Awards may be made prior to the commencement of employment with the Company or an Affiliate, but Awards may be granted only effective on or after the commencement of such employment to persons not previously an employee or director of the Company, or following a bona fide period of non-employment, as an inducement material to the individual's entering into employment with the Company within the meaning of Manual Rule 303A.08 of the New York Stock Exchange Listing Rules or Rule 5635(c)(4) of the Nasdaq Listing Rules (or applicable replacement rules or regulations). In addition, notwithstanding any other provision of the Plan to the contrary, all Awards must be granted either by the Independent Board or the Committee. 5.2 General Terms of Awards. Each grant of an Award shall be subject to all applicable terms and conditions of the Plan (including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has executed an Award Agreement evidencing the Award, delivered a fully executed copy thereof to the Company, and otherwise complied with the applicable terms and conditions of such Award. 5.3 Effect of Termination of Employment, Disability or Death.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Termination of Employment.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 (b)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approved by the Company shall not be deemed a termination of employment or other association, provided that it does not exceed the longer of six (6) months or the period during which the absent Participant's reemployment rights, if any, are either guaranteed by statute or by contract or permitted by Company policy. To the extent consistent with applicable law, the Committee may provide that Awards continue to vest for some or all of the period of any such leave, or that their vesting shall be tolled during any such leave and only recommence upon the Participant's return from leave, if ever. B. Disability of Participant.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 C. Death of Participant. In the event of the death during the Option period, or period during which the Stock Appreciation Right may be exercised, of a Participant who is at the time of his or her death an employee, director or consultant and whose services had not ceased or been terminated (as determined with regard to the second sentence of Section 5.3(a))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Participant's death, but only to the extent of the accrued right to exercise at the time of death, subject to the condition that no Stock Right shall be exercised after its expiration in accordance with its terms. 5.4 Transferability of Awards. Except as otherwise provided in this Section 5.4,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an Option or shares of Restricted Stock, provide that such Award may be transferred by the recipient to a family member; provided, however,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 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than 50 percent of the voting interests. The events of termination of service of Section 5.3 hereof or in the Award Agreement shall continue to be applied with respect to the original Participant, following which the Awards shall be exercisable by the transferee only to the extent, and for the periods specified in the Award Agreement or Section 5.3, as applicable. 6.Specific Terms of Awards 6.1 Options. A. Date of Grant. The granting of an Option shall take place at the time specified in the Award Agreement. Only if expressly so provided in the applicable Award Agreement shall the Grant Date be the date on which the Award Agreement shall have been duly executed and delivered by the Company and the Optionee. B. Exercise Price. The price at which shares of Stock may be acquired under each Option shall be the Market Value of Stock on the Grant Date, except as provided otherwise by the Committee upon the grant of the Option. C. Option Period. No Option may be exercised on or after the tenth anniversary of the Grant Date, except as provided otherwise by the Committee upon the grant of the Option. D. Exercisability.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 E. Method of Exercise. An Option may be exercised by the Optionee giving written notice, in the manner provided in Section 14,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 I. by delivery to the Company of shares of Stock having a Market Value equal to the exercise price of the shares to be purchased, or II. 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 III. unless prohibited by applicable law, by delivery to the Company of the Optionee's executed promissory note in the principal amount equal to the exercise price of the shares of Stock to be purchased and otherwise in such form as the Committee shall have approved, or IV. by delivery of any other lawful means of consideration which the Committee may approve. 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book-entry authorization and instruction to the Company's transfer agent and registrar for the number of shares then being purchased. Such shares of Stock shall be fully paid and nonassessable. In its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reasonable discretion, the Committee may suspend or halt Option exercises for such length of time as the Committee deems reasonably necessary under circumstances in which such suspension or halt is considered to be in the best interests of the Company. 6.2 Stock Appreciation Rights. A. Tandem or Stand-Alone. Stock Appreciation Rights may be granted in tandem with an Option (at or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 B. Exercise Price. Stock Appreciation Rights shall have an exercise price of not less than the Market Value of the Stock on the date of award, or in the case of Stock Appreciation Rights in tandem with Options, the exercise price of the related Option. C. Other Terms. Except as the Committee may deem inappropriate or inapplicable in the circumstances, Stock Appreciation Rights shall be subject to terms and conditions substantially similar to those applicable to an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 6.3 Restricted Stock. A. Purchase Price. Shares of Restricted Stock shall be issued under the Plan for such consideration, in cash, other property or services, or any combination thereof, as is determined by the Committee. B. Issuance of Certificates. Each Participant receiving a Restricted Stock Award, subject to subsection (c) below, shall be issued a stock certificate in respect of such shares of Restricted Stock, or if issued in uncertificated form, shall be registered in the name of the Participant on the books of the Company's transfer agent and registrar. Such certificate or uncertificated shares shall be registered in the name of such Participant, and, if applicable, the certificate or the books of the Company's transfer agent and registrar shall bear an appropriate legend referring to the terms, conditions, and restrictions applicable to such Award substantially in the following form: The shares evidenced by this certificate are subject to the terms and conditions of the 8x8, Inc. Amended and Restated 2017 New Employee Inducement Incentive Plan and an Award Agreement entered into by the registered owner and 8x8, Inc., copies of which will be furnished by the Company to the holder of the shares evidenced by this certificate upon written request and without charge. C. Escrow of Shares.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 D. Restrictions and Restriction Period.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Rights Pending Lapse of Risk of Forfeiture or Forfeiture of Award.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3.1. F. Lapse of Restrictions. If and when the Restriction Period expires without a prior forfeiture of the Restricted Stock, the certificates for such shares shall be delivered to the Participant promptly if not theretofore so delivered. 6.4 Restricted Stock Units. A. Character. Each Restricted Stock Unit shall entitle the recipient to a share of Stock at the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B. Form and Timing of Payment. Payment of earned Restricted Stock Units shall be made in a single lump sum following the close of the applicable Restriction Period unless the applicable Award Agreement provides for a later settlement date in compliance with Section 409A of the Code.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Unless the Committee shall provide otherwise, any such dividend equivalents shall be paid, if at all, without interest or other earnings. 6.5 Performance Units. A. Character.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business objectives, including, but not limited to, Performance Goals, shall have been achieved. B. Earning of Performance Units. The Committee shall set Performance Goals or other business objectives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 C. Form and Timing of Payment. Payment of earned Performance Units shall be made in a single lump sum following the close of the applicable Performance Period. At the discretion of the Committee, Participants may be entitled to receive any dividends declared with respect to Stock which have been earned in connection with grants of Performance Units which have been earned,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but not yet distributed to Participants. Subject to compliance with Section 409A of the Code,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 6.6 Stock Grants. Stock Grants shall be awarded solely in recognition of expected contributions to the success of the Company or its Affiliates, as an inducement to employment, and in such other limited circumstances as the Committee deems appropriate. Stock Grants shall be made without forfeiture conditions of any kind. 6.7 Awards to Participants outside the United States.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administering any such modified Award. No such modification, supplement, amendment, restatement or alternative version may increase the share limit of Section 3.1. 7.Adjustment Provisions 7.1 Adjustment for Corporate Actions. All of the share numbers set forth in the Plan reflect the capital structure of the Company as of the Effective Date. If subsequent to the Effective Date the outstanding shares of Stock (or any other securities covered by the Plan by reason of the prior application of this Section) are increased, decreased, or exchanged for a different number or kind 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3.1,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 (iv) the repurchase price of each share of Restricted Stock then subject to a Risk of Forfeiture in the form of a Company repurchase right. 7.2 Adjustment of Awards upon the Occurrence of Certain Unusual or Nonrecurring Events. In the event of any 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7.3 Related Matters. Any adjustment in Awards made pursuant to Section 7.1 or 7.2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7. The Committee, in its discretion, may determine that no fraction of a share of Stock shall be purchasable or deliverable upon exercise, and in that event if any adjustment hereunder of the number of shares of Stock covered by an Award would cause such number to include a fraction of a share of Stock, such number of shares of Stock shall be adjusted to the nearest smaller whole number of shares. No adjustment of an Option exercise price per share pursuant to Sections 7.1 or 7.2 shall result in an exercise price which is less than the par value of the Stock. 7.4 Corporate Transactions. A. Treatment of Awards in a Corporate Transaction. In a Corporate Transaction, the Committee, in its sole and absolute discretion, may take any one or more of the following actions as to all or any (or any portion of) outstanding Awards. I. Assumption and Substitution. Provide that such Awards shall be assumed, or substantially equivalent rights shall be provided in substitution therefor, by the acquiring or succeeding entity (or an affiliate thereof), and that any repurchase or other rights of the Company under each such Award shall inure to the benefit of such acquiring or succeeding entity (or affiliate thereof). II. Termination, Forfeiture and Reacquisition. Upon written notice to the holders, provide that: A. 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 B. any Restricted Stock Units shall terminate and be forfeited immediately prior to the consummation of the Corporate Transaction to the extent they are then subject to a Risk of Forfeiture; and/or C. any shares of Restricted Stock shall automatically be reacquired by the Company upon consummation of the Corporate Transaction at a price per share equal to the lesser of the Market Value of the Restricted Stock and the purchase price paid by the Participant. III. Acceleration of Vesting. Provide that: A. any and all Stock Rights not already exercisable in full shall Accelerate with respect to all or a portion of the shares for which such Stock Rights are not then exercisable prior to or upon the consummation of the Corporate Transaction; and/or B. 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 IV. Achievement of Performance Goals. Provide that all outstanding Awards of Restricted Stock, Restricted Stock Units, and/or Performance Units conditioned on the achievement of Performance Goals or other business objectives and the target payout opportunities attainable under outstanding Performance Units shall be deemed to have been satisfied as of the effective date of the Corporate Transaction as to (i) none of, (ii) all of or (iii) a pro rata number of shares based on the assumed achievement of all relevant Performance Goals or other business objectives and the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 V. Cash Payments to Holders of Stock Rights. Provide for cash payments, net of applicable tax withholdings, to be made to holders of Stock Rights equal to the excess, if any, of (A) the acquisition price times the number of shares of Stock subject to a Stock Right (to the extent the exercise price does not exceed the 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 prior to or upon the Corporate Transaction. For this purpose, "acquisition price" means the amount of cash, and market value of any other consideration, received in payment for a share of Stock surrendered in a Corporate Transaction. VI. Conversion of Stock Rights upon Liquidation or Dissolution. Provide that, in connection with a liquidation or dissolution of the Company, Stock Rights shall convert into the right to receive liquidation proceeds net of the exercise price thereof and any applicable tax withholdings. VII. Any combination of the foregoing. None of the foregoing shall apply, however, (i) in the case of an Award Agreement, employment agreement or policy or plan adopted by the Board or the Committee that requires other or additional terms upon a Corporate Transaction (or similar event) and, which, by its terms, takes precedence over the provisions of this Section 7, or (ii) if specifically prohibited under applicable laws, or by the rules and regulations of any governing governmental agencies or national securities exchanges on which the Stock is listed. B. Assumption and Substitution of Awards. For purposes of Section 7.4(a)(i) above, an Award shall be considered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 the outstanding shares of Stock); provided, however, that if the consideration received as a result of the Corporate Transaction is not solely common stock (or its equivalent) 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 C. Related Matters. In taking any of the actions permitted under this Section 7.4, the Committee shall not be obligated to treat all Awards, all Awards held by a Participant, or all Awards of the same type, identically. Any determinations required to carry out the foregoing provisions of this Section 7.4,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 by the Committee in respect of Awards and in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connection with a Corporate Transaction, the Committee may require such acknowledgements of satisfaction and releases from Participants as it may determine. 8.Settlement of Awards 8.1 In General. Awards of Restricted Stock shall be settled in accordance with their terms. All other Awards may be settled in cash, Stock, or other Awards,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 8.2 Violation of Law. Notwithstanding any other provision of the Plan or the relevant Award Agreement, if, at any time, in the reasonable opinion of the Company, the issuance of shares of Stock covered by an Award may constitute a violation of law, then the Company may delay such issuance and the delivery of a certificate for such shares until (i) approval shall have been obtained from such governmental agencies, other than the SEC, as may be required under any applicable law, rule, or regulation and (ii) in the case where such issuance would constitute a violation of a law administered by or a regulation of the SEC, one of the following conditions shall have been satisfied: A. the shares are at the time of the issue of such shares effectively registered under the Securities Act; or B. the Company shall have determined, on such basis as it deems appropriate (including an opinion of counsel in form and substance satisfactory to the Company) that the sale, transfer, assignment, pledge, encumbrance or other disposition of such shares or such beneficial interest, as the case may be, does not require registration under the Securities Act or any applicable State securities laws. The Company shall make all reasonable efforts to bring about the occurrence of said events. 8.3 Corporate Restrictions on Rights in Stock. Any Stock to be issued pursuant to Awards granted under the Plan shall be subject to all restrictions upon the transfer thereof which may be now or hereafter imposed by the charter, certificate or articles, or by 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but insofar as possible the provisions of the Plan and such Agreement shall be construed so as to give full force and effect to all such provisions. 8.4 Investment Representations.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8.5 Registration.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period not to exceed 180 days commencing on the effective date of the registration statement relating to the underwritten public offering of securities. Without limiting the generality of the foregoing provisions of this Section 8.5,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 8.6 Placement of Legends; Stop Orders; etc. Each share of Stock to be issued pursuant to Awards granted under the Plan may bear a reference to the investment representations made in accordance with Section 8.4 in addition to any other applicable restrictions under the Plan, the terms of the Award and, if applicable, to the fact that no registration statement has been filed with the SEC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such certificates to make appropriate reference to such restrictions. 8.7 Tax Withholding. Whenever shares of Stock are issued or to be issued pursuant to Awards granted under the Plan, the Company shall have the right to require the recipient to remit to the Company an amount sufficient to satisfy federal, state, local or other withholding tax requirements if, when, and to the extent required by law (whether so required to secure for the Company an otherwise available tax deduction or otherwise)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recipient of an Award. However, in such cases Participants may elect, subject to the approval of the Committee, acting in its sole discretion, to satisfy an applicable withholding requirement, in whole or in part, by having the Company withhold shares to satisfy their tax obligations. Participants may only elect to have shares withheld having a Market Value on the date the tax is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to be determined equal to the minimum statutory total tax which could be imposed on the transaction. All elections shall be irrevocable, made in writing, signed by the Participant, and shall be subject to any restrictions or limitations that the Committee deems appropriate. 8.8 Company Charter and Bylaws; Other Company Policies. This Plan and all Awards granted under the Plan (including the exercise, settlement 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 9.Reservation of Stock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 10.Limitation of Rights in Stock; No Special Service Rights A Participant shall not be deemed for any purpose to be a stockholder of the Company with respect to any of the shares of Stock subject to an Award, unless and until a certificate shall have been issued therefor and delivered to the Participant or his agent, or if uncertificated shares are to be issued, until such shares have been registered in the name of the Participant on the books of the transfer agent and registrar of the Stock.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 11.Unfunded Status of Plan 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 12.Nonexclusivity of the Plan Neither the adoption of the Plan by the Board nor any action taken in connection with the adoption or operation of the Plan shall be construed as creating any limitations on the power of the Board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to adopt such other incentive arrangements as it may deem desirable, including without limitation, the granting of stock options and restricted stock other than under the Plan, and such arrangements may be either applicable generally or only in specific cases. 13.Termination and Amendment of the Plan The Independent Board may at any time terminate the Plan or make such modifications of the Plan as it shall deem advisable. Unless the Independent Board otherwise expressly provides, no amendment of the Plan shall affect the terms of any Award outstanding on the date of such amendment. In any case, no termination or amendment of the Plan may, without the consent of any recipient of an Award granted hereunder, adversely affect the rights of the recipient under such Award. The Committee may amend the terms of any Award theretofore granted, prospectively or retroactively, provided that the Award as amended is consistent with the terms of the Plan, but no such amendment shall impair the rights of the recipient of such Award without his or her consent. 14.Notices and Other Communications Any notice, demand, request or other communication hereunder to any party shall be deemed to be sufficient if contained in a written instrument delivered in person or duly sent by first class registered, certified or overnight mail, postage prepaid, or by electronic mail with a confirmation copy by regular, certified or overnight mail, addressed, as the case may be, (i) if to the recipient of an Award, at his or her residence address last filed with the Company and (ii) if to the Company, at its principal place of business, addressed to the attention of its Chief Financial Officer, or to such other address or electronic mail address, as the case may be, as the addressee may have designated by notice to the addressor. All such notices, requests, demands and other communications shall be deemed to have been received: (i) in the case of personal delivery, on the date of such delivery; and (ii) in all other cases, when received by the addressee in accordance with the foregoing requirements. 15.No Guarantee of Tax Consequences 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the provisions and penalties of Section 409A of the Code, pertaining to non- qualified plans of deferred compensation, will or will not apply. 16.Administrative Provisions 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 17.Governing Law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from the grant or settlement of any Award on a basis contrary to the provisions of Section 409A of the Code or comparable provisions of any applicable state or local income tax laws. The Plan and all Award Agreements and actions taken thereunder otherwise shall be governed, interpreted and enforced in accordance with the laws of the state of California, without regard to the conflict of laws principles thereof. </w:t>
      </w:r>
    </w:p>
    <w:p>
      <w:pPr>
        <w:pStyle w:val="HorizontalLine"/>
        <w:pBdr>
          <w:bottom w:val="single" w:sz="12" w:space="0" w:color="808080"/>
        </w:pBdr>
        <w:bidi w:val="0"/>
        <w:jc w:val="center"/>
      </w:pPr>
      <w:r/>
    </w:p>
    <w:p>
      <w:pPr>
        <w:pStyle w:val="TextBody"/>
        <w:bidi w:val="0"/>
        <w:jc w:val="center"/>
      </w:pPr>
      <w: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31.1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 Samuel Wilson,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2026</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31.2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 Kevin Kraus,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2026</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September 30, 2026,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2026</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September 30, 2026,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2026</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023731/000102373122000124/exhibit31certificateofamen.htm" TargetMode="External"/><Relationship Id="rId4" Type="http://schemas.openxmlformats.org/officeDocument/2006/relationships/hyperlink" Target="https://www.sec.gov/Archives/edgar/data/1023731/000113626115000219/exh3-2.htm" TargetMode="External"/><Relationship Id="rId5" Type="http://schemas.openxmlformats.org/officeDocument/2006/relationships/hyperlink" Target="https://www.sec.gov/Archives/edgar/data/1023731/000102373126000114/ex101_8x82022planforfili.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31465</Words>
  <Characters>170358</Characters>
  <CharactersWithSpaces>200011</CharactersWithSpaces>
  <Paragraphs>2743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a8x8_fy27q2xex102xar2017</dc:title>
</cp:coreProperties>
</file>