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77" w:lineRule="exact"/>
        <w:rPr>
          <w:sz w:val="24"/>
          <w:szCs w:val="24"/>
          <w:color w:val="auto"/>
        </w:rPr>
      </w:pPr>
    </w:p>
    <w:p>
      <w:pPr>
        <w:ind w:left="3700" w:right="2720" w:hanging="3692"/>
        <w:spacing w:after="0" w:line="438" w:lineRule="auto"/>
        <w:tabs>
          <w:tab w:leader="none" w:pos="2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2021</w:t>
      </w:r>
    </w:p>
    <w:p>
      <w:pPr>
        <w:spacing w:after="0" w:line="238"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48895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6"/>
                <w:szCs w:val="16"/>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0" w:lineRule="exact"/>
        <w:rPr>
          <w:sz w:val="24"/>
          <w:szCs w:val="24"/>
          <w:color w:val="auto"/>
        </w:rPr>
      </w:pPr>
    </w:p>
    <w:p>
      <w:pPr>
        <w:ind w:right="200" w:firstLine="283"/>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96" w:lineRule="exact"/>
        <w:rPr>
          <w:sz w:val="24"/>
          <w:szCs w:val="24"/>
          <w:color w:val="auto"/>
        </w:rPr>
      </w:pPr>
    </w:p>
    <w:p>
      <w:pPr>
        <w:ind w:right="400" w:firstLine="283"/>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283"/>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88" w:lineRule="exact"/>
        <w:rPr>
          <w:sz w:val="24"/>
          <w:szCs w:val="24"/>
          <w:color w:val="auto"/>
        </w:rPr>
      </w:pPr>
    </w:p>
    <w:tbl>
      <w:tblPr>
        <w:tblLayout w:type="fixed"/>
        <w:tblInd w:w="80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9" w:lineRule="exact"/>
        <w:rPr>
          <w:sz w:val="24"/>
          <w:szCs w:val="24"/>
          <w:color w:val="auto"/>
        </w:rPr>
      </w:pPr>
    </w:p>
    <w:p>
      <w:pPr>
        <w:ind w:right="20" w:firstLine="283"/>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right="2300"/>
        <w:spacing w:after="0" w:line="22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February 1, 2022 was 118,331,084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jc w:val="center"/>
              <w:ind w:right="3960"/>
              <w:spacing w:after="0"/>
              <w:rPr>
                <w:sz w:val="20"/>
                <w:szCs w:val="20"/>
                <w:color w:val="auto"/>
              </w:rPr>
            </w:pPr>
            <w:r>
              <w:rPr>
                <w:rFonts w:ascii="Arial" w:cs="Arial" w:eastAsia="Arial" w:hAnsi="Arial"/>
                <w:sz w:val="16"/>
                <w:szCs w:val="16"/>
                <w:b w:val="1"/>
                <w:bCs w:val="1"/>
                <w:color w:val="auto"/>
              </w:rPr>
              <w:t>8X8, INC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rPr>
              <w:t>INDEX TO QUARTERLY REPORT ON FORM 10-Q</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rPr>
              <w:t>FOR THE QUARTER ENDED DECEMBER 31, 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Page</w:t>
            </w:r>
          </w:p>
        </w:tc>
      </w:tr>
      <w:tr>
        <w:trPr>
          <w:trHeight w:val="195"/>
        </w:trPr>
        <w:tc>
          <w:tcPr>
            <w:tcW w:w="20" w:type="dxa"/>
            <w:vAlign w:val="bottom"/>
          </w:tcPr>
          <w:p>
            <w:pPr>
              <w:spacing w:after="0"/>
              <w:rPr>
                <w:sz w:val="16"/>
                <w:szCs w:val="16"/>
                <w:color w:val="auto"/>
              </w:rPr>
            </w:pPr>
          </w:p>
        </w:tc>
        <w:tc>
          <w:tcPr>
            <w:tcW w:w="3600" w:type="dxa"/>
            <w:vAlign w:val="bottom"/>
            <w:tcBorders>
              <w:bottom w:val="single" w:sz="8" w:color="0000FF"/>
            </w:tcBorders>
            <w:gridSpan w:val="13"/>
          </w:tcPr>
          <w:p>
            <w:pPr>
              <w:spacing w:after="0" w:line="155" w:lineRule="exact"/>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Forward-Looking Statements and Risk Factors</w:t>
              </w:r>
            </w:hyperlink>
          </w:p>
        </w:tc>
        <w:tc>
          <w:tcPr>
            <w:tcW w:w="656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55" w:lineRule="exact"/>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48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0160" w:type="dxa"/>
            <w:vAlign w:val="bottom"/>
            <w:gridSpan w:val="21"/>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4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 Financial Statements (unaudited)</w:t>
              </w:r>
            </w:hyperlink>
            <w:r>
              <w:rPr>
                <w:rFonts w:ascii="Arial" w:cs="Arial" w:eastAsia="Arial" w:hAnsi="Arial"/>
                <w:sz w:val="16"/>
                <w:szCs w:val="16"/>
                <w:color w:val="000000"/>
              </w:rPr>
              <w:t>:</w:t>
            </w:r>
          </w:p>
        </w:tc>
        <w:tc>
          <w:tcPr>
            <w:tcW w:w="580" w:type="dxa"/>
            <w:vAlign w:val="bottom"/>
            <w:gridSpan w:val="2"/>
          </w:tcPr>
          <w:p>
            <w:pPr>
              <w:jc w:val="center"/>
              <w:ind w:left="39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6920" w:type="dxa"/>
            <w:vAlign w:val="bottom"/>
            <w:gridSpan w:val="9"/>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w:t>
              </w:r>
            </w:hyperlink>
          </w:p>
        </w:tc>
        <w:tc>
          <w:tcPr>
            <w:tcW w:w="6220" w:type="dxa"/>
            <w:vAlign w:val="bottom"/>
            <w:gridSpan w:val="7"/>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Loss</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Stockholders' Equity</w:t>
              </w:r>
            </w:hyperlink>
          </w:p>
        </w:tc>
        <w:tc>
          <w:tcPr>
            <w:tcW w:w="550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Cash Flows</w:t>
              </w:r>
            </w:hyperlink>
          </w:p>
        </w:tc>
        <w:tc>
          <w:tcPr>
            <w:tcW w:w="600" w:type="dxa"/>
            <w:vAlign w:val="bottom"/>
            <w:tcBorders>
              <w:top w:val="single" w:sz="8" w:color="0000FF"/>
            </w:tcBorders>
          </w:tcPr>
          <w:p>
            <w:pPr>
              <w:spacing w:after="0"/>
              <w:rPr>
                <w:sz w:val="19"/>
                <w:szCs w:val="19"/>
                <w:color w:val="auto"/>
              </w:rPr>
            </w:pPr>
          </w:p>
        </w:tc>
        <w:tc>
          <w:tcPr>
            <w:tcW w:w="55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Unaudited Condensed Consolidated Financial Statements</w:t>
              </w:r>
            </w:hyperlink>
          </w:p>
        </w:tc>
        <w:tc>
          <w:tcPr>
            <w:tcW w:w="1060" w:type="dxa"/>
            <w:vAlign w:val="bottom"/>
            <w:gridSpan w:val="3"/>
          </w:tcPr>
          <w:p>
            <w:pPr>
              <w:jc w:val="center"/>
              <w:spacing w:after="0"/>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 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6"/>
                <w:szCs w:val="16"/>
                <w:color w:val="0000FF"/>
              </w:rPr>
            </w:pPr>
            <w:hyperlink w:anchor="page21">
              <w:r>
                <w:rPr>
                  <w:rFonts w:ascii="Arial" w:cs="Arial" w:eastAsia="Arial" w:hAnsi="Arial"/>
                  <w:sz w:val="16"/>
                  <w:szCs w:val="16"/>
                  <w:color w:val="0000FF"/>
                </w:rPr>
                <w:t>21</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3. Quantitative and Qualitative Disclosures About Market Risk</w:t>
              </w:r>
            </w:hyperlink>
          </w:p>
        </w:tc>
        <w:tc>
          <w:tcPr>
            <w:tcW w:w="2120" w:type="dxa"/>
            <w:vAlign w:val="bottom"/>
            <w:gridSpan w:val="2"/>
          </w:tcPr>
          <w:p>
            <w:pPr>
              <w:spacing w:after="0"/>
              <w:rPr>
                <w:sz w:val="19"/>
                <w:szCs w:val="19"/>
                <w:color w:val="auto"/>
              </w:rPr>
            </w:pPr>
          </w:p>
        </w:tc>
        <w:tc>
          <w:tcPr>
            <w:tcW w:w="3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27</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 Controls and Procedures</w:t>
              </w:r>
            </w:hyperlink>
          </w:p>
        </w:tc>
        <w:tc>
          <w:tcPr>
            <w:tcW w:w="5260" w:type="dxa"/>
            <w:vAlign w:val="bottom"/>
            <w:gridSpan w:val="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8"/>
          </w:tcPr>
          <w:p>
            <w:pPr>
              <w:spacing w:after="0"/>
              <w:rPr>
                <w:rFonts w:ascii="Arial" w:cs="Arial" w:eastAsia="Arial" w:hAnsi="Arial"/>
                <w:sz w:val="16"/>
                <w:szCs w:val="16"/>
                <w:b w:val="1"/>
                <w:bCs w:val="1"/>
                <w:color w:val="0000FF"/>
                <w:w w:val="98"/>
              </w:rPr>
            </w:pPr>
            <w:hyperlink w:anchor="page29">
              <w:r>
                <w:rPr>
                  <w:rFonts w:ascii="Arial" w:cs="Arial" w:eastAsia="Arial" w:hAnsi="Arial"/>
                  <w:sz w:val="16"/>
                  <w:szCs w:val="16"/>
                  <w:b w:val="1"/>
                  <w:bCs w:val="1"/>
                  <w:color w:val="0000FF"/>
                  <w:w w:val="98"/>
                </w:rPr>
                <w:t>PART II. OTHER INFORMATION</w:t>
              </w:r>
            </w:hyperlink>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 Legal Proceedings</w:t>
              </w:r>
            </w:hyperlink>
          </w:p>
        </w:tc>
        <w:tc>
          <w:tcPr>
            <w:tcW w:w="400" w:type="dxa"/>
            <w:vAlign w:val="bottom"/>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29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1A. Risk Factors</w:t>
              </w:r>
            </w:hyperlink>
          </w:p>
        </w:tc>
        <w:tc>
          <w:tcPr>
            <w:tcW w:w="8160" w:type="dxa"/>
            <w:vAlign w:val="bottom"/>
            <w:gridSpan w:val="14"/>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29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2. Unregistered Sales of Equity Securities and Use of Proceeds</w:t>
              </w:r>
            </w:hyperlink>
          </w:p>
        </w:tc>
        <w:tc>
          <w:tcPr>
            <w:tcW w:w="1060" w:type="dxa"/>
            <w:vAlign w:val="bottom"/>
            <w:gridSpan w:val="3"/>
          </w:tcPr>
          <w:p>
            <w:pPr>
              <w:jc w:val="center"/>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9"/>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3. Defaults Upon Senior Securities</w:t>
              </w:r>
            </w:hyperlink>
          </w:p>
        </w:tc>
        <w:tc>
          <w:tcPr>
            <w:tcW w:w="2060" w:type="dxa"/>
            <w:vAlign w:val="bottom"/>
            <w:gridSpan w:val="9"/>
          </w:tcPr>
          <w:p>
            <w:pPr>
              <w:spacing w:after="0"/>
              <w:rPr>
                <w:sz w:val="19"/>
                <w:szCs w:val="19"/>
                <w:color w:val="auto"/>
              </w:rPr>
            </w:pPr>
          </w:p>
        </w:tc>
        <w:tc>
          <w:tcPr>
            <w:tcW w:w="51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7"/>
          </w:tcPr>
          <w:p>
            <w:pPr>
              <w:spacing w:after="0"/>
              <w:rPr>
                <w:rFonts w:ascii="Arial" w:cs="Arial" w:eastAsia="Arial" w:hAnsi="Arial"/>
                <w:sz w:val="16"/>
                <w:szCs w:val="16"/>
                <w:color w:val="0000FF"/>
                <w:w w:val="99"/>
              </w:rPr>
            </w:pPr>
            <w:hyperlink w:anchor="page31">
              <w:r>
                <w:rPr>
                  <w:rFonts w:ascii="Arial" w:cs="Arial" w:eastAsia="Arial" w:hAnsi="Arial"/>
                  <w:sz w:val="16"/>
                  <w:szCs w:val="16"/>
                  <w:color w:val="0000FF"/>
                  <w:w w:val="99"/>
                </w:rPr>
                <w:t>Item 4. Mine Safety Disclosures</w:t>
              </w:r>
            </w:hyperlink>
          </w:p>
        </w:tc>
        <w:tc>
          <w:tcPr>
            <w:tcW w:w="560" w:type="dxa"/>
            <w:vAlign w:val="bottom"/>
            <w:gridSpan w:val="2"/>
          </w:tcPr>
          <w:p>
            <w:pPr>
              <w:spacing w:after="0"/>
              <w:rPr>
                <w:sz w:val="19"/>
                <w:szCs w:val="19"/>
                <w:color w:val="auto"/>
              </w:rPr>
            </w:pPr>
          </w:p>
        </w:tc>
        <w:tc>
          <w:tcPr>
            <w:tcW w:w="7200" w:type="dxa"/>
            <w:vAlign w:val="bottom"/>
            <w:gridSpan w:val="11"/>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5. Other Information</w:t>
              </w:r>
            </w:hyperlink>
          </w:p>
        </w:tc>
        <w:tc>
          <w:tcPr>
            <w:tcW w:w="480" w:type="dxa"/>
            <w:vAlign w:val="bottom"/>
            <w:gridSpan w:val="2"/>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6. Exhibits</w:t>
              </w:r>
            </w:hyperlink>
          </w:p>
        </w:tc>
        <w:tc>
          <w:tcPr>
            <w:tcW w:w="8240" w:type="dxa"/>
            <w:vAlign w:val="bottom"/>
            <w:gridSpan w:val="15"/>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31</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940" w:type="dxa"/>
            <w:vAlign w:val="bottom"/>
            <w:gridSpan w:val="1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gridSpan w:val="3"/>
          </w:tcPr>
          <w:p>
            <w:pPr>
              <w:spacing w:after="0"/>
              <w:rPr>
                <w:rFonts w:ascii="Arial" w:cs="Arial" w:eastAsia="Arial" w:hAnsi="Arial"/>
                <w:sz w:val="16"/>
                <w:szCs w:val="16"/>
                <w:color w:val="0000FF"/>
                <w:w w:val="99"/>
              </w:rPr>
            </w:pPr>
            <w:hyperlink w:anchor="page32">
              <w:r>
                <w:rPr>
                  <w:rFonts w:ascii="Arial" w:cs="Arial" w:eastAsia="Arial" w:hAnsi="Arial"/>
                  <w:sz w:val="16"/>
                  <w:szCs w:val="16"/>
                  <w:color w:val="0000FF"/>
                  <w:w w:val="99"/>
                </w:rPr>
                <w:t>Signature</w:t>
              </w:r>
            </w:hyperlink>
          </w:p>
        </w:tc>
        <w:tc>
          <w:tcPr>
            <w:tcW w:w="9460" w:type="dxa"/>
            <w:vAlign w:val="bottom"/>
            <w:gridSpan w:val="18"/>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32</w:t>
              </w:r>
            </w:hyperlink>
          </w:p>
        </w:tc>
      </w:tr>
      <w:tr>
        <w:trPr>
          <w:trHeight w:val="784"/>
        </w:trPr>
        <w:tc>
          <w:tcPr>
            <w:tcW w:w="2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6320" w:type="dxa"/>
            <w:vAlign w:val="bottom"/>
            <w:gridSpan w:val="17"/>
          </w:tcPr>
          <w:p>
            <w:pPr>
              <w:jc w:val="center"/>
              <w:ind w:left="3399"/>
              <w:spacing w:after="0"/>
              <w:rPr>
                <w:sz w:val="20"/>
                <w:szCs w:val="20"/>
                <w:color w:val="auto"/>
              </w:rPr>
            </w:pPr>
            <w:r>
              <w:rPr>
                <w:rFonts w:ascii="Arial" w:cs="Arial" w:eastAsia="Arial" w:hAnsi="Arial"/>
                <w:sz w:val="16"/>
                <w:szCs w:val="16"/>
                <w:color w:val="auto"/>
                <w:w w:val="89"/>
              </w:rPr>
              <w:t>1</w:t>
            </w:r>
          </w:p>
        </w:tc>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20"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in future service and other revenues; cost of service revenue; research and development expenses; hiring of employees; sales and marketing expenses; general and administrative expenses; our acquisition of Fuze, Inc.;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 customer adoption and demand for our products may be lower than we anticipate; the impact of economic downturns on us and our customers, including from the COVID-19 pandemic; competitive dynamics of the cloud communication and collaboration markets, including voice, contact center, video, messaging, and communication application programming interfaces ("APIs"), in which we compete may change in ways we are not anticipating; impact of supply chain disruptions; third parties may assert ownership rights in our IP, which may limit or prevent our continued use of the core technologies behind our solutions; our customer churn rate may be higher than we anticipate; our acquisition and integration of Fuze, Inc. may not lead to the results we expect including greater scale in our research and development team, cost savings from integration of Fuze's operations with our operations; and growth in revenue, among other reasons; our Investments we make in marketing, channel and value-added resellers (VARs), e-commerce, new products, may not result in revenue growth; and we may not achieve our target service revenue growth, or the revenue, earnings, or other amounts we forecast in our guidance, for a particular quarter or for the full fiscal year.</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2021,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2022 refers to the fiscal year ending on March 31, 2022). Unless the context requires otherwise, references to "we," "us," "our," "8x8" and the "Company" refer to 8x8,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December 31,</w:t>
            </w:r>
          </w:p>
        </w:tc>
        <w:tc>
          <w:tcPr>
            <w:tcW w:w="28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2021</w:t>
            </w:r>
          </w:p>
        </w:tc>
      </w:tr>
      <w:tr>
        <w:trPr>
          <w:trHeight w:val="207"/>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rPr>
              <w:t>(unaudited)</w:t>
            </w:r>
          </w:p>
        </w:tc>
        <w:tc>
          <w:tcPr>
            <w:tcW w:w="280" w:type="dxa"/>
            <w:vAlign w:val="bottom"/>
          </w:tcPr>
          <w:p>
            <w:pPr>
              <w:spacing w:after="0"/>
              <w:rPr>
                <w:sz w:val="18"/>
                <w:szCs w:val="18"/>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color w:val="auto"/>
                <w:w w:val="98"/>
              </w:rPr>
              <w:t>(audited)</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51,150</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30,241</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34,095</w:t>
            </w:r>
          </w:p>
        </w:tc>
      </w:tr>
      <w:tr>
        <w:trPr>
          <w:trHeight w:val="213"/>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276,533</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93,076</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13,501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17,130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72,427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20,597</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755,841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31,236</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12,129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09"/>
        </w:trPr>
        <w:tc>
          <w:tcPr>
            <w:tcW w:w="78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121,378</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82,456</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Convertible senior notes,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440,988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308,435</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w:t>
            </w:r>
          </w:p>
        </w:tc>
      </w:tr>
      <w:tr>
        <w:trPr>
          <w:trHeight w:val="209"/>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638,668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517,905</w:t>
            </w:r>
          </w:p>
        </w:tc>
      </w:tr>
      <w:tr>
        <w:trPr>
          <w:trHeight w:val="19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843,192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755,643</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(720,856)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(591,055)</w:t>
            </w:r>
          </w:p>
        </w:tc>
      </w:tr>
      <w:tr>
        <w:trPr>
          <w:trHeight w:val="20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755,841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82"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Pr>
          <w:p>
            <w:pPr>
              <w:spacing w:after="0"/>
              <w:rPr>
                <w:sz w:val="18"/>
                <w:szCs w:val="18"/>
                <w:color w:val="auto"/>
              </w:rPr>
            </w:pPr>
          </w:p>
        </w:tc>
        <w:tc>
          <w:tcPr>
            <w:tcW w:w="296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54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362,232</w:t>
            </w:r>
          </w:p>
        </w:tc>
      </w:tr>
      <w:tr>
        <w:trPr>
          <w:trHeight w:val="21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25,393</w:t>
            </w:r>
          </w:p>
        </w:tc>
      </w:tr>
      <w:tr>
        <w:trPr>
          <w:trHeight w:val="212"/>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387,625</w:t>
            </w:r>
          </w:p>
        </w:tc>
      </w:tr>
      <w:tr>
        <w:trPr>
          <w:trHeight w:val="193"/>
        </w:trPr>
        <w:tc>
          <w:tcPr>
            <w:tcW w:w="5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132,843</w:t>
            </w: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Cost of other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36,194</w:t>
            </w: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66,763</w:t>
            </w: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185,535</w:t>
            </w: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72,403</w:t>
            </w:r>
          </w:p>
        </w:tc>
      </w:tr>
      <w:tr>
        <w:trPr>
          <w:trHeight w:val="210"/>
        </w:trPr>
        <w:tc>
          <w:tcPr>
            <w:tcW w:w="5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493,738</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(106,113)</w:t>
            </w:r>
          </w:p>
        </w:tc>
      </w:tr>
      <w:tr>
        <w:trPr>
          <w:trHeight w:val="213"/>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(13,772)</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(119,885)</w:t>
            </w:r>
          </w:p>
        </w:tc>
      </w:tr>
      <w:tr>
        <w:trPr>
          <w:trHeight w:val="213"/>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(120,551)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113,510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111,960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Pr>
          <w:p>
            <w:pPr>
              <w:spacing w:after="0"/>
              <w:rPr>
                <w:sz w:val="18"/>
                <w:szCs w:val="18"/>
                <w:color w:val="auto"/>
              </w:rPr>
            </w:pPr>
          </w:p>
        </w:tc>
        <w:tc>
          <w:tcPr>
            <w:tcW w:w="296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54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(120,551)</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gain on investments in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1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8,367</w:t>
            </w: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(111,878)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20" w:type="dxa"/>
            <w:vAlign w:val="bottom"/>
            <w:gridSpan w:val="4"/>
            <w:vMerge w:val="restart"/>
          </w:tcPr>
          <w:p>
            <w:pPr>
              <w:jc w:val="right"/>
              <w:ind w:right="3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20" w:type="dxa"/>
            <w:vAlign w:val="bottom"/>
          </w:tcPr>
          <w:p>
            <w:pPr>
              <w:spacing w:after="0"/>
              <w:rPr>
                <w:sz w:val="8"/>
                <w:szCs w:val="8"/>
                <w:color w:val="auto"/>
              </w:rPr>
            </w:pPr>
          </w:p>
        </w:tc>
        <w:tc>
          <w:tcPr>
            <w:tcW w:w="20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9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(591,055)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(43,906)</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0" w:type="dxa"/>
            <w:vAlign w:val="bottom"/>
          </w:tcPr>
          <w:p>
            <w:pPr>
              <w:spacing w:after="0"/>
              <w:rPr>
                <w:sz w:val="1"/>
                <w:szCs w:val="1"/>
                <w:color w:val="auto"/>
              </w:rPr>
            </w:pPr>
          </w:p>
        </w:tc>
      </w:tr>
      <w:tr>
        <w:trPr>
          <w:trHeight w:val="209"/>
        </w:trPr>
        <w:tc>
          <w:tcPr>
            <w:tcW w:w="392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33,483</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113,416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835,830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(677,285)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152,551</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36,611</w:t>
            </w: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 related to acquisition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6"/>
                <w:szCs w:val="16"/>
                <w:color w:val="auto"/>
              </w:rPr>
              <w:t>Share Repurchase</w:t>
            </w:r>
          </w:p>
        </w:tc>
        <w:tc>
          <w:tcPr>
            <w:tcW w:w="104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gain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112,353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843,192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(720,856)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117,173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20" w:type="dxa"/>
            <w:vAlign w:val="bottom"/>
            <w:gridSpan w:val="4"/>
            <w:vMerge w:val="restart"/>
          </w:tcPr>
          <w:p>
            <w:pPr>
              <w:jc w:val="right"/>
              <w:ind w:right="40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20" w:type="dxa"/>
            <w:vAlign w:val="bottom"/>
          </w:tcPr>
          <w:p>
            <w:pPr>
              <w:spacing w:after="0"/>
              <w:rPr>
                <w:sz w:val="8"/>
                <w:szCs w:val="8"/>
                <w:color w:val="auto"/>
              </w:rPr>
            </w:pPr>
          </w:p>
        </w:tc>
        <w:tc>
          <w:tcPr>
            <w:tcW w:w="20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6"/>
        </w:trPr>
        <w:tc>
          <w:tcPr>
            <w:tcW w:w="39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190,731</w:t>
            </w:r>
          </w:p>
        </w:tc>
        <w:tc>
          <w:tcPr>
            <w:tcW w:w="0" w:type="dxa"/>
            <w:vAlign w:val="bottom"/>
          </w:tcPr>
          <w:p>
            <w:pPr>
              <w:spacing w:after="0"/>
              <w:rPr>
                <w:sz w:val="1"/>
                <w:szCs w:val="1"/>
                <w:color w:val="auto"/>
              </w:rPr>
            </w:pPr>
          </w:p>
        </w:tc>
      </w:tr>
      <w:tr>
        <w:trPr>
          <w:trHeight w:val="177"/>
        </w:trPr>
        <w:tc>
          <w:tcPr>
            <w:tcW w:w="3920" w:type="dxa"/>
            <w:vAlign w:val="bottom"/>
          </w:tcPr>
          <w:p>
            <w:pPr>
              <w:ind w:left="220"/>
              <w:spacing w:after="0" w:line="178" w:lineRule="exact"/>
              <w:rPr>
                <w:sz w:val="20"/>
                <w:szCs w:val="20"/>
                <w:color w:val="auto"/>
              </w:rPr>
            </w:pPr>
            <w:r>
              <w:rPr>
                <w:rFonts w:ascii="Arial" w:cs="Arial" w:eastAsia="Arial" w:hAnsi="Arial"/>
                <w:sz w:val="16"/>
                <w:szCs w:val="16"/>
                <w:color w:val="auto"/>
              </w:rPr>
              <w:t>Adjustment to opening balance for change in</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Pr>
          <w:p>
            <w:pPr>
              <w:ind w:left="220"/>
              <w:spacing w:after="0"/>
              <w:rPr>
                <w:sz w:val="20"/>
                <w:szCs w:val="20"/>
                <w:color w:val="auto"/>
              </w:rPr>
            </w:pPr>
            <w:r>
              <w:rPr>
                <w:rFonts w:ascii="Arial" w:cs="Arial" w:eastAsia="Arial" w:hAnsi="Arial"/>
                <w:sz w:val="16"/>
                <w:szCs w:val="16"/>
                <w:color w:val="auto"/>
              </w:rPr>
              <w:t>accounting principle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23,118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8,489</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Unrealized investment gain</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(41,913)</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(467,383)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178,866</w:t>
            </w:r>
          </w:p>
        </w:tc>
        <w:tc>
          <w:tcPr>
            <w:tcW w:w="0" w:type="dxa"/>
            <w:vAlign w:val="bottom"/>
          </w:tcPr>
          <w:p>
            <w:pPr>
              <w:spacing w:after="0"/>
              <w:rPr>
                <w:sz w:val="1"/>
                <w:szCs w:val="1"/>
                <w:color w:val="auto"/>
              </w:rPr>
            </w:pPr>
          </w:p>
        </w:tc>
      </w:tr>
      <w:tr>
        <w:trPr>
          <w:trHeight w:val="210"/>
        </w:trPr>
        <w:tc>
          <w:tcPr>
            <w:tcW w:w="3920" w:type="dxa"/>
            <w:vAlign w:val="bottom"/>
          </w:tcPr>
          <w:p>
            <w:pPr>
              <w:ind w:left="22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26,396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(38,413)</w:t>
            </w:r>
          </w:p>
        </w:tc>
        <w:tc>
          <w:tcPr>
            <w:tcW w:w="0" w:type="dxa"/>
            <w:vAlign w:val="bottom"/>
          </w:tcPr>
          <w:p>
            <w:pPr>
              <w:spacing w:after="0"/>
              <w:rPr>
                <w:sz w:val="1"/>
                <w:szCs w:val="1"/>
                <w:color w:val="auto"/>
              </w:rPr>
            </w:pPr>
          </w:p>
        </w:tc>
      </w:tr>
      <w:tr>
        <w:trPr>
          <w:trHeight w:val="23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174,459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ind w:left="22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27,358</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Arial" w:cs="Arial" w:eastAsia="Arial" w:hAnsi="Arial"/>
                <w:sz w:val="14"/>
                <w:szCs w:val="14"/>
                <w:color w:val="auto"/>
              </w:rPr>
              <w:t>Unrealized investment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(40,225)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(40,225)</w:t>
            </w:r>
          </w:p>
        </w:tc>
        <w:tc>
          <w:tcPr>
            <w:tcW w:w="0" w:type="dxa"/>
            <w:vAlign w:val="bottom"/>
          </w:tcPr>
          <w:p>
            <w:pPr>
              <w:spacing w:after="0"/>
              <w:rPr>
                <w:sz w:val="1"/>
                <w:szCs w:val="1"/>
                <w:color w:val="auto"/>
              </w:rPr>
            </w:pPr>
          </w:p>
        </w:tc>
      </w:tr>
      <w:tr>
        <w:trPr>
          <w:trHeight w:val="207"/>
        </w:trPr>
        <w:tc>
          <w:tcPr>
            <w:tcW w:w="39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716,820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167,403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7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(129,801)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(120,551)</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8,529</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capitalized internal-use software costs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20,021</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deferred sales commission costs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20,040</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Operating lease expense, net of accretion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11,469</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74,940</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(13,277)</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(41,187)</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(8,939)</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accruals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11,797</w:t>
            </w:r>
          </w:p>
        </w:tc>
      </w:tr>
      <w:tr>
        <w:trPr>
          <w:trHeight w:val="210"/>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(14,865)</w:t>
            </w:r>
          </w:p>
        </w:tc>
      </w:tr>
      <w:tr>
        <w:trPr>
          <w:trHeight w:val="145"/>
        </w:trPr>
        <w:tc>
          <w:tcPr>
            <w:tcW w:w="7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(4,975)</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internal-use software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(22,858)</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(65,141)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(36,840)</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of investments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maturities of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41,717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40,771</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r>
      <w:tr>
        <w:trPr>
          <w:trHeight w:val="207"/>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(30,122)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(27,142)</w:t>
            </w:r>
          </w:p>
        </w:tc>
      </w:tr>
      <w:tr>
        <w:trPr>
          <w:trHeight w:val="145"/>
        </w:trPr>
        <w:tc>
          <w:tcPr>
            <w:tcW w:w="7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payments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Tax-related withholding of common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Repurchase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(44,976)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issuance of convertible debt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provided by financing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5,915</w:t>
            </w:r>
          </w:p>
        </w:tc>
      </w:tr>
      <w:tr>
        <w:trPr>
          <w:trHeight w:val="145"/>
        </w:trPr>
        <w:tc>
          <w:tcPr>
            <w:tcW w:w="7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3"/>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Effects of currency exchange rates on cash, cash equivalent, and restricted cash</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(33,976)</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156,411</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162"/>
        </w:trPr>
        <w:tc>
          <w:tcPr>
            <w:tcW w:w="7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at the end of the period:</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200,352</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106,877</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current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non-current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8,562</w:t>
            </w:r>
          </w:p>
        </w:tc>
      </w:tr>
      <w:tr>
        <w:trPr>
          <w:trHeight w:val="22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cash, cash equivalents, and restricted cash</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208,993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122,435</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is a leading Software-as-a-Service ("SaaS") provider of contact center, voice, video, chat, and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our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complement the delivery of our integrated technology platform.</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("GAAP") and regulations of the Securities and Exchange Commission ("SEC") regarding interim financial reporting. Accordingly, certain information and disclosures normally included in our annual consolidated financial statements prepared in accordance with GAAP have been condensed or omitted. These condensed consolidated financial statements should be read in conjunction with the Company's audited consolidated financial statements as of and for the fiscal year ended March 31, 2021, and notes thereto included in the Company's fiscal 2021 Annual Report on Form 10-K ("Form 10-K"). There were no material changes during the three and nine months ended December 31, 2021, to our significant accounting policies as described in the Company's Form 10-K for the fiscal year ended March 31, 2021.</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reporting date. On an ongoing basis, the Company evaluates its estimates, including, but not limited to, those related to allowance for credit losses, reserve for expected customer credits or cancellations, fair value of and/or evaluation for impairment of goodwill and other long-lived assets, capitalization of internally developed software, benefit period for deferred sales commission costs, stock-based compensation expense, discount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which enhanced and simplified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was effective for public companies with fiscal years beginning after December 15, 2020, which is fiscal 2022 for the Company. The adoption of this guidance in the first quarter of the Company's fiscal 2022 did not have a material impact on the Company's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Entity’s Own Equity </w:t>
      </w:r>
      <w:r>
        <w:rPr>
          <w:rFonts w:ascii="Arial" w:cs="Arial" w:eastAsia="Arial" w:hAnsi="Arial"/>
          <w:sz w:val="16"/>
          <w:szCs w:val="16"/>
          <w:color w:val="auto"/>
        </w:rPr>
        <w:t>(Subtopic 815-40), which simplifies accounting for convertible instruments by eliminating two of the three accounting models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The Company is currently assessing the impact of this pronouncement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12. </w:t>
      </w:r>
      <w:r>
        <w:rPr>
          <w:rFonts w:ascii="Arial" w:cs="Arial" w:eastAsia="Arial" w:hAnsi="Arial"/>
          <w:sz w:val="16"/>
          <w:szCs w:val="16"/>
          <w:i w:val="1"/>
          <w:iCs w:val="1"/>
          <w:color w:val="auto"/>
        </w:rPr>
        <w:t>Geographical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revenues from contracts with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10,945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17,987</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23,550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r>
    </w:tbl>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Contract assets, current, contract assets, non-current, and deferred revenue, non-current are recorded on the Condensed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w:t>
      </w:r>
      <w:r>
        <w:rPr>
          <w:rFonts w:ascii="Arial" w:cs="Arial" w:eastAsia="Arial" w:hAnsi="Arial"/>
          <w:sz w:val="16"/>
          <w:szCs w:val="16"/>
          <w:i w:val="1"/>
          <w:iCs w:val="1"/>
          <w:color w:val="auto"/>
        </w:rPr>
        <w:t xml:space="preserve"> Other assets</w:t>
      </w:r>
      <w:r>
        <w:rPr>
          <w:rFonts w:ascii="Arial" w:cs="Arial" w:eastAsia="Arial" w:hAnsi="Arial"/>
          <w:sz w:val="16"/>
          <w:szCs w:val="16"/>
          <w:color w:val="auto"/>
        </w:rPr>
        <w:t>, and</w:t>
      </w:r>
      <w:r>
        <w:rPr>
          <w:rFonts w:ascii="Arial" w:cs="Arial" w:eastAsia="Arial" w:hAnsi="Arial"/>
          <w:sz w:val="16"/>
          <w:szCs w:val="16"/>
          <w:i w:val="1"/>
          <w:iCs w:val="1"/>
          <w:color w:val="auto"/>
        </w:rPr>
        <w:t xml:space="preserve"> Other liabilities, non-current</w:t>
      </w:r>
      <w:r>
        <w:rPr>
          <w:rFonts w:ascii="Arial" w:cs="Arial" w:eastAsia="Arial" w:hAnsi="Arial"/>
          <w:sz w:val="16"/>
          <w:szCs w:val="16"/>
          <w:color w:val="auto"/>
        </w:rPr>
        <w:t>, respectively.</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Contract assets represent recognition of revenue, for fulfillment of performance obligations, that has not yet been billed; the net decrease in contract assets was primarily driven by the billing of revenue previously recognized. The net increase in deferred revenue was due to billings in advance of performance obligations being satisfied. During the nine months ended December 31, 2021, the Company recognized revenues of approximately $14.9 million, which was included in the deferred revenue balance at the beginning of the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subscription terms typically range from one to five years. Contract revenue from remaining performance obligations that had not yet been recognized as of December 31, 2021, was approximately $565.0 million. This amount excludes contracts with an original expected length of less than one year. The Company expects to recognize revenue on approximately 75% of the remaining performance obligations over the next 36 months and approximately 25% thereafter.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nine months ended December 31, 2021 was $8.7 million and $25.6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nine months ended December 31, 2020 was $7.3 million and $20.0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write-offs of deferred sales commission costs during the three and nine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estimated fair values of cash, cash equivalents, restricted cash, and available-for-sale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183,097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196,052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196,052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28,650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21,670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64,477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44,551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83"/>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260,529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260,478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200,352</w:t>
            </w:r>
          </w:p>
        </w:tc>
        <w:tc>
          <w:tcPr>
            <w:tcW w:w="10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Treasury securities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48,490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48,533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Certificates of deposit represent the Company's letters of credit securing leases for office facilities, the balances of which are included in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w:t>
      </w:r>
      <w:r>
        <w:rPr>
          <w:rFonts w:ascii="Arial" w:cs="Arial" w:eastAsia="Arial" w:hAnsi="Arial"/>
          <w:sz w:val="16"/>
          <w:szCs w:val="16"/>
          <w:color w:val="auto"/>
        </w:rPr>
        <w:t>and</w:t>
      </w:r>
      <w:r>
        <w:rPr>
          <w:rFonts w:ascii="Arial" w:cs="Arial" w:eastAsia="Arial" w:hAnsi="Arial"/>
          <w:sz w:val="16"/>
          <w:szCs w:val="16"/>
          <w:i w:val="1"/>
          <w:iCs w:val="1"/>
          <w:color w:val="auto"/>
        </w:rPr>
        <w:t xml:space="preserve"> Restricted cash, non-current </w:t>
      </w:r>
      <w:r>
        <w:rPr>
          <w:rFonts w:ascii="Arial" w:cs="Arial" w:eastAsia="Arial" w:hAnsi="Arial"/>
          <w:sz w:val="16"/>
          <w:szCs w:val="16"/>
          <w:color w:val="auto"/>
        </w:rPr>
        <w:t>on the Company's Condensed Consolidated Balance Sheets.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all investments as available-for-sale securities. The Company does not intend to sell any of its investments that are in unrealized loss positions and, as of December 31, 2021, has determined that it is not more likely than not that it will be required to sell any of these investments before recovery of the entire amortized cost bases.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December 31, 2021, the Company did not have any risk of expected credit losses on its investments.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December 31, 2021 and March 31, 2021, the estimated fair value of the Company's outstanding convertible senior notes ("Notes") was $495.8 million and $502.9 million, respectively, which was determined based on the closing price for the Notes on the last trading day of the reporting period and is categorized within Level 2 of the fair value hierarchy due to limited trading activity of the Notes. See Note 8, </w:t>
      </w:r>
      <w:r>
        <w:rPr>
          <w:rFonts w:ascii="Arial" w:cs="Arial" w:eastAsia="Arial" w:hAnsi="Arial"/>
          <w:sz w:val="16"/>
          <w:szCs w:val="16"/>
          <w:i w:val="1"/>
          <w:iCs w:val="1"/>
          <w:color w:val="auto"/>
        </w:rPr>
        <w:t>Convertible Senior Notes and Capped Call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98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0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domain names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200" w:type="dxa"/>
            <w:vAlign w:val="bottom"/>
          </w:tcPr>
          <w:p>
            <w:pPr>
              <w:ind w:left="240"/>
              <w:spacing w:after="0" w:line="158" w:lineRule="exact"/>
              <w:rPr>
                <w:sz w:val="20"/>
                <w:szCs w:val="20"/>
                <w:color w:val="auto"/>
              </w:rPr>
            </w:pPr>
            <w:r>
              <w:rPr>
                <w:rFonts w:ascii="Arial" w:cs="Arial" w:eastAsia="Arial" w:hAnsi="Arial"/>
                <w:sz w:val="16"/>
                <w:szCs w:val="16"/>
                <w:color w:val="auto"/>
              </w:rPr>
              <w:t>Total acquired identifiable intangible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33,739</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(20,238)</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13,501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46,917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(29,787)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17,130</w:t>
            </w:r>
          </w:p>
        </w:tc>
        <w:tc>
          <w:tcPr>
            <w:tcW w:w="0" w:type="dxa"/>
            <w:vAlign w:val="bottom"/>
          </w:tcPr>
          <w:p>
            <w:pPr>
              <w:spacing w:after="0"/>
              <w:rPr>
                <w:sz w:val="1"/>
                <w:szCs w:val="1"/>
                <w:color w:val="auto"/>
              </w:rPr>
            </w:pPr>
          </w:p>
        </w:tc>
      </w:tr>
      <w:tr>
        <w:trPr>
          <w:trHeight w:val="174"/>
        </w:trPr>
        <w:tc>
          <w:tcPr>
            <w:tcW w:w="3200" w:type="dxa"/>
            <w:vAlign w:val="bottom"/>
          </w:tcPr>
          <w:p>
            <w:pPr>
              <w:ind w:left="240"/>
              <w:spacing w:after="0" w:line="174" w:lineRule="exact"/>
              <w:rPr>
                <w:sz w:val="20"/>
                <w:szCs w:val="20"/>
                <w:color w:val="auto"/>
              </w:rPr>
            </w:pPr>
            <w:r>
              <w:rPr>
                <w:rFonts w:ascii="Arial" w:cs="Arial" w:eastAsia="Arial" w:hAnsi="Arial"/>
                <w:sz w:val="16"/>
                <w:szCs w:val="16"/>
                <w:color w:val="auto"/>
              </w:rPr>
              <w:t>assets</w:t>
            </w: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the nine months ended December 31, 2021, the Company determined certain of its fully amortized intangible assets were no longer in use. As a result, the Company wrote off $6.7 million in gross carrying value of developed technology, $5.5 million of customer relationships, and $0.9 million of trade and domain names. Such intangibles had been fully amortized in prior periods, thus there was no net impact to the Company's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weighted average remaining useful life of developed technology and customer relationships was 4.2 and 4.5,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expected future amortization expense of the intangible assets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Goodwill</w:t>
            </w: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a summary of the change in the carrying amount of goodwill:</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Arial" w:cs="Arial" w:eastAsia="Arial" w:hAnsi="Arial"/>
                <w:sz w:val="16"/>
                <w:szCs w:val="16"/>
                <w:b w:val="1"/>
                <w:bCs w:val="1"/>
                <w:i w:val="1"/>
                <w:iCs w:val="1"/>
                <w:color w:val="auto"/>
              </w:rPr>
              <w:t>Operating Leases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balance sheet information related to the Company's operating leases: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24"/>
                <w:szCs w:val="24"/>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59,702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66,664</w:t>
            </w:r>
          </w:p>
        </w:tc>
        <w:tc>
          <w:tcPr>
            <w:tcW w:w="0" w:type="dxa"/>
            <w:vAlign w:val="bottom"/>
          </w:tcPr>
          <w:p>
            <w:pPr>
              <w:spacing w:after="0"/>
              <w:rPr>
                <w:sz w:val="1"/>
                <w:szCs w:val="1"/>
                <w:color w:val="auto"/>
              </w:rPr>
            </w:pPr>
          </w:p>
        </w:tc>
      </w:tr>
      <w:tr>
        <w:trPr>
          <w:trHeight w:val="273"/>
        </w:trPr>
        <w:tc>
          <w:tcPr>
            <w:tcW w:w="7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82,456</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95,398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gridSpan w:val="5"/>
          </w:tcPr>
          <w:p>
            <w:pPr>
              <w:spacing w:after="0"/>
              <w:rPr>
                <w:sz w:val="20"/>
                <w:szCs w:val="20"/>
                <w:color w:val="auto"/>
              </w:rPr>
            </w:pPr>
            <w:r>
              <w:rPr>
                <w:rFonts w:ascii="Arial" w:cs="Arial" w:eastAsia="Arial" w:hAnsi="Arial"/>
                <w:sz w:val="16"/>
                <w:szCs w:val="16"/>
                <w:color w:val="auto"/>
              </w:rPr>
              <w:t>The following table presents the components of lease expense and cash outflows from operating leases: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40"/>
        </w:trPr>
        <w:tc>
          <w:tcPr>
            <w:tcW w:w="5500" w:type="dxa"/>
            <w:vAlign w:val="bottom"/>
          </w:tcPr>
          <w:p>
            <w:pPr>
              <w:spacing w:after="0"/>
              <w:rPr>
                <w:sz w:val="24"/>
                <w:szCs w:val="24"/>
                <w:color w:val="auto"/>
              </w:rPr>
            </w:pPr>
          </w:p>
        </w:tc>
        <w:tc>
          <w:tcPr>
            <w:tcW w:w="29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28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55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3,367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3,886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11,469</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2,368</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4,218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6"/>
                <w:szCs w:val="16"/>
                <w:color w:val="auto"/>
              </w:rPr>
              <w:t>Short-term lease expense was immaterial for the three and nine months ended December 31, 2021 and 2020.</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97"/>
        </w:trPr>
        <w:tc>
          <w:tcPr>
            <w:tcW w:w="8020" w:type="dxa"/>
            <w:vAlign w:val="bottom"/>
            <w:gridSpan w:val="2"/>
          </w:tcPr>
          <w:p>
            <w:pPr>
              <w:spacing w:after="0"/>
              <w:rPr>
                <w:sz w:val="20"/>
                <w:szCs w:val="20"/>
                <w:color w:val="auto"/>
              </w:rPr>
            </w:pPr>
            <w:r>
              <w:rPr>
                <w:rFonts w:ascii="Arial" w:cs="Arial" w:eastAsia="Arial" w:hAnsi="Arial"/>
                <w:sz w:val="16"/>
                <w:szCs w:val="16"/>
                <w:color w:val="auto"/>
              </w:rPr>
              <w:t>The following table presents supplemental lease information:</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9"/>
        </w:trPr>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December 31,</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7.9 years</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8.4 years</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1480" w:type="dxa"/>
            <w:vAlign w:val="bottom"/>
          </w:tcPr>
          <w:p>
            <w:pPr>
              <w:jc w:val="center"/>
              <w:ind w:right="79"/>
              <w:spacing w:after="0"/>
              <w:rPr>
                <w:sz w:val="20"/>
                <w:szCs w:val="20"/>
                <w:color w:val="auto"/>
              </w:rPr>
            </w:pPr>
            <w:r>
              <w:rPr>
                <w:rFonts w:ascii="Arial" w:cs="Arial" w:eastAsia="Arial" w:hAnsi="Arial"/>
                <w:sz w:val="16"/>
                <w:szCs w:val="16"/>
                <w:color w:val="auto"/>
                <w:w w:val="98"/>
              </w:rPr>
              <w:t>4.0%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4.0%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15,506</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12,176</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11,703</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10,681</w:t>
            </w:r>
          </w:p>
        </w:tc>
      </w:tr>
      <w:tr>
        <w:trPr>
          <w:trHeight w:val="213"/>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47,815</w:t>
            </w:r>
          </w:p>
        </w:tc>
      </w:tr>
      <w:tr>
        <w:trPr>
          <w:trHeight w:val="213"/>
        </w:trPr>
        <w:tc>
          <w:tcPr>
            <w:tcW w:w="9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102,100</w:t>
            </w:r>
          </w:p>
        </w:tc>
      </w:tr>
      <w:tr>
        <w:trPr>
          <w:trHeight w:val="213"/>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r>
      <w:tr>
        <w:trPr>
          <w:trHeight w:val="238"/>
        </w:trPr>
        <w:tc>
          <w:tcPr>
            <w:tcW w:w="9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Present value of lease liabilities</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87,082</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December 31, 2021.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Wage and Hour Litigation</w:t>
      </w:r>
      <w:r>
        <w:rPr>
          <w:rFonts w:ascii="Arial" w:cs="Arial" w:eastAsia="Arial" w:hAnsi="Arial"/>
          <w:sz w:val="16"/>
          <w:szCs w:val="16"/>
          <w:color w:val="auto"/>
        </w:rPr>
        <w:t>. On September 21, 2020, the Company received a copy of a letter filed by a former employee, Plaintiff Denise Rivas,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(“PAGA Complaint”) in Santa Clara County Superior Court against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A joint mediation for both actions was held in September 2021 and the parties reached a preliminary settlement of all claims. Discovery is stayed in both actions pending completion of the settlement.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Commitments, Indemnifications, and Contingencies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State and Local Taxes and Surcharges. </w:t>
      </w:r>
      <w:r>
        <w:rPr>
          <w:rFonts w:ascii="Arial" w:cs="Arial" w:eastAsia="Arial" w:hAnsi="Arial"/>
          <w:sz w:val="16"/>
          <w:szCs w:val="16"/>
          <w:color w:val="auto"/>
        </w:rPr>
        <w:t>From time to time, the Company has received inquiries from a number of state and local taxing agencies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Accordingly, the Company recorded contingent indirect tax liabilities. As of December 31, 2021 and March 31, 2021, the Company had accrued contingent indirect tax liabilities of $1.8 million and $3.1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CAPPED CALLS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"2019 Notes") due 2024 in a registered offering under the same indenture as the Initial Notes. The total net proceeds from the 2019 Notes, after deducting underwriting discounts, debt issuance costs and costs of the capped call transactions described below, were approximately $64.6 million.</w:t>
      </w:r>
    </w:p>
    <w:p>
      <w:pPr>
        <w:spacing w:after="0" w:line="8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In December 2021, the Company issued an additional $137.5 million aggregate principal amount of its currently outstanding 0.50% convertible senior notes (the "Additional Notes" and together with the Initial Notes and 2019 Notes, the "Notes") due 2024 in a private placement under the same indenture as the Initial Notes. The total net proceeds from the Additional Notes, after deducting initial purchase discounts and debt issuance costs, were approximately $134.3 million. The Company did not enter into any capped calls in connection with this transaction. The Additional Notes constitute a further issuance of, and form a single series with, the Initial Notes. Immediately after giving effect to the issuance of the Additional Notes, the Company had $500.0 million aggregate principal amount of convertible senior notes.</w:t>
      </w:r>
    </w:p>
    <w:p>
      <w:pPr>
        <w:spacing w:after="0" w:line="1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2023, the Notes will be convertible only under the following circumstances:</w:t>
      </w:r>
    </w:p>
    <w:p>
      <w:pPr>
        <w:spacing w:after="0" w:line="128" w:lineRule="exact"/>
        <w:rPr>
          <w:sz w:val="20"/>
          <w:szCs w:val="20"/>
          <w:color w:val="auto"/>
        </w:rPr>
      </w:pPr>
    </w:p>
    <w:p>
      <w:pPr>
        <w:jc w:val="both"/>
        <w:ind w:left="660" w:hanging="328"/>
        <w:spacing w:after="0" w:line="25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21" w:lineRule="exact"/>
        <w:rPr>
          <w:rFonts w:ascii="Arial" w:cs="Arial" w:eastAsia="Arial" w:hAnsi="Arial"/>
          <w:sz w:val="16"/>
          <w:szCs w:val="16"/>
          <w:color w:val="auto"/>
        </w:rPr>
      </w:pPr>
    </w:p>
    <w:p>
      <w:pPr>
        <w:jc w:val="both"/>
        <w:ind w:left="660" w:right="20" w:hanging="328"/>
        <w:spacing w:after="0" w:line="25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13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2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Notes).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three months ended December 31, 2021, the conditions allowing holders of the Notes to convert were not met.</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of the liability component of the Notes: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(53,323)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2"/>
        </w:trPr>
        <w:tc>
          <w:tcPr>
            <w:tcW w:w="548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440,988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308,435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The following table presents interest expense related to the Notes:</w:t>
            </w: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480" w:type="dxa"/>
            <w:vAlign w:val="bottom"/>
          </w:tcPr>
          <w:p>
            <w:pPr>
              <w:spacing w:after="0"/>
              <w:rPr>
                <w:sz w:val="24"/>
                <w:szCs w:val="24"/>
                <w:color w:val="auto"/>
              </w:rPr>
            </w:pPr>
          </w:p>
        </w:tc>
        <w:tc>
          <w:tcPr>
            <w:tcW w:w="29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2820" w:type="dxa"/>
            <w:vAlign w:val="bottom"/>
            <w:gridSpan w:val="7"/>
          </w:tcPr>
          <w:p>
            <w:pPr>
              <w:jc w:val="right"/>
              <w:ind w:right="1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13,204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12,399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5480" w:type="dxa"/>
            <w:vAlign w:val="bottom"/>
          </w:tcPr>
          <w:p>
            <w:pPr>
              <w:ind w:left="220"/>
              <w:spacing w:after="0"/>
              <w:rPr>
                <w:sz w:val="20"/>
                <w:szCs w:val="20"/>
                <w:color w:val="auto"/>
              </w:rPr>
            </w:pPr>
            <w:r>
              <w:rPr>
                <w:rFonts w:ascii="Arial" w:cs="Arial" w:eastAsia="Arial" w:hAnsi="Arial"/>
                <w:sz w:val="16"/>
                <w:szCs w:val="16"/>
                <w:color w:val="auto"/>
              </w:rPr>
              <w:t>Total interest expense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5,411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14,748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to the February 2019 and November 2019 sale of the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20"/>
                <w:szCs w:val="20"/>
                <w:color w:val="auto"/>
              </w:rPr>
            </w:pPr>
            <w:r>
              <w:rPr>
                <w:rFonts w:ascii="Arial" w:cs="Arial" w:eastAsia="Arial" w:hAnsi="Arial"/>
                <w:sz w:val="16"/>
                <w:szCs w:val="16"/>
                <w:b w:val="1"/>
                <w:bCs w:val="1"/>
                <w:color w:val="auto"/>
              </w:rPr>
              <w:t>9. STOCK-BASED COMPENSATION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8"/>
        </w:trPr>
        <w:tc>
          <w:tcPr>
            <w:tcW w:w="5500" w:type="dxa"/>
            <w:vAlign w:val="bottom"/>
          </w:tcPr>
          <w:p>
            <w:pPr>
              <w:spacing w:after="0"/>
              <w:rPr>
                <w:sz w:val="20"/>
                <w:szCs w:val="20"/>
                <w:color w:val="auto"/>
              </w:rPr>
            </w:pPr>
            <w:r>
              <w:rPr>
                <w:rFonts w:ascii="Arial" w:cs="Arial" w:eastAsia="Arial" w:hAnsi="Arial"/>
                <w:sz w:val="16"/>
                <w:szCs w:val="16"/>
                <w:color w:val="auto"/>
              </w:rPr>
              <w:t>The following table presents stock-based compensation expense: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5500" w:type="dxa"/>
            <w:vAlign w:val="bottom"/>
          </w:tcPr>
          <w:p>
            <w:pPr>
              <w:spacing w:after="0"/>
              <w:rPr>
                <w:sz w:val="24"/>
                <w:szCs w:val="24"/>
                <w:color w:val="auto"/>
              </w:rPr>
            </w:pPr>
          </w:p>
        </w:tc>
        <w:tc>
          <w:tcPr>
            <w:tcW w:w="29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28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5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3,042</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23,097</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22,156</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19,949</w:t>
            </w:r>
          </w:p>
        </w:tc>
      </w:tr>
      <w:tr>
        <w:trPr>
          <w:trHeight w:val="212"/>
        </w:trPr>
        <w:tc>
          <w:tcPr>
            <w:tcW w:w="550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74,940</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20" w:type="dxa"/>
            <w:vAlign w:val="bottom"/>
            <w:gridSpan w:val="2"/>
          </w:tcPr>
          <w:p>
            <w:pPr>
              <w:spacing w:after="0"/>
              <w:rPr>
                <w:sz w:val="20"/>
                <w:szCs w:val="20"/>
                <w:color w:val="auto"/>
              </w:rPr>
            </w:pPr>
            <w:r>
              <w:rPr>
                <w:rFonts w:ascii="Arial" w:cs="Arial" w:eastAsia="Arial" w:hAnsi="Arial"/>
                <w:sz w:val="16"/>
                <w:szCs w:val="16"/>
                <w:color w:val="auto"/>
              </w:rPr>
              <w:t>The following table presents stock option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Exercise Price Per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2.86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41,673</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21.90</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2.50 years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at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2.49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Exercisable at December 31, 2021</w:t>
            </w:r>
          </w:p>
        </w:tc>
        <w:tc>
          <w:tcPr>
            <w:tcW w:w="1620" w:type="dxa"/>
            <w:vAlign w:val="bottom"/>
          </w:tcPr>
          <w:p>
            <w:pPr>
              <w:jc w:val="right"/>
              <w:spacing w:after="0"/>
              <w:rPr>
                <w:sz w:val="20"/>
                <w:szCs w:val="20"/>
                <w:color w:val="auto"/>
              </w:rPr>
            </w:pPr>
            <w:r>
              <w:rPr>
                <w:rFonts w:ascii="Arial" w:cs="Arial" w:eastAsia="Arial" w:hAnsi="Arial"/>
                <w:sz w:val="16"/>
                <w:szCs w:val="16"/>
                <w:color w:val="auto"/>
              </w:rPr>
              <w:t>1,085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8"/>
                <w:szCs w:val="18"/>
                <w:color w:val="auto"/>
              </w:rPr>
            </w:pPr>
          </w:p>
        </w:tc>
        <w:tc>
          <w:tcPr>
            <w:tcW w:w="1740" w:type="dxa"/>
            <w:vAlign w:val="bottom"/>
            <w:gridSpan w:val="2"/>
          </w:tcPr>
          <w:p>
            <w:pPr>
              <w:ind w:left="860"/>
              <w:spacing w:after="0"/>
              <w:rPr>
                <w:sz w:val="20"/>
                <w:szCs w:val="20"/>
                <w:color w:val="auto"/>
              </w:rPr>
            </w:pPr>
            <w:r>
              <w:rPr>
                <w:rFonts w:ascii="Arial" w:cs="Arial" w:eastAsia="Arial" w:hAnsi="Arial"/>
                <w:sz w:val="16"/>
                <w:szCs w:val="16"/>
                <w:color w:val="auto"/>
              </w:rPr>
              <w:t>2.45 years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during the nine months ended December 31, 2021 and 2020, was $14.0 million and $1.8 million, respectively.</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2021, there was $0.1 million of total unrecognized compensation cost related to stock options, which is expected to be recognized over a weighted average period of approximately 0.59 years.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 (RSUs)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 Fair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9"/>
              </w:rPr>
              <w:t>8,646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1.85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280,467</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center"/>
              <w:ind w:left="1019"/>
              <w:spacing w:after="0"/>
              <w:rPr>
                <w:sz w:val="20"/>
                <w:szCs w:val="20"/>
                <w:color w:val="auto"/>
              </w:rPr>
            </w:pPr>
            <w:r>
              <w:rPr>
                <w:rFonts w:ascii="Arial" w:cs="Arial" w:eastAsia="Arial" w:hAnsi="Arial"/>
                <w:sz w:val="16"/>
                <w:szCs w:val="16"/>
                <w:color w:val="auto"/>
                <w:w w:val="99"/>
              </w:rPr>
              <w:t>5,278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25.23</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6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(4,297)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62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20.77</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62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9"/>
              </w:rPr>
              <w:t>7,980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1.03 years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133,750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there was $128.1 million of total unrecognized compensation cost related to RSUs.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 (PSUs)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 has granted PSUs to certain of its executives with vesting that is contingent on continued service and either Company or market performance. PSUs issued during the three and nine months ended December 31, 2021, consist of three tranches: the first tranche vests on the 1st anniversary and is based on the Non-GAAP Gross Profit of the Company; the remaining two tranches vest on the 2nd and 3rd anniversaries, respectively, and are based on the Total Shareholder Return ("TSR") of the Company, as measured relative to a specified market index during the specified periods. For the first tranche, a range of 90% to 110% attainment of the target Non-GAAP Gross Profit over the vesting period will result in a range from 0% to 200% of the target number of shares being earned. For the awards based on TSR, a 2x multiplier will be applied for each percentage point of positive or negative relative TSR over the specified vesting periods,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The amount of compensation expense related to the first tranche is based on the estimated grant date fair value and probable attainment of the performance target as of the balance sheet date. The amount of compensation expense related to the second and third tranches is determined based on the estimated fair value per the Monte Carlo simulation performed as of the grant date.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 share fair values of the first tranche based on the closing price of the Company's common stock on the grant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fair values</w:t>
            </w:r>
          </w:p>
        </w:tc>
        <w:tc>
          <w:tcPr>
            <w:tcW w:w="6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$24.21  -  $25.78</w:t>
            </w:r>
          </w:p>
        </w:tc>
      </w:tr>
    </w:tbl>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estimated grant date fair values, and valuation assumptions used in the Monte Carlo pricing model, of the second and third tranches: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tranche per share fair values</w:t>
            </w:r>
          </w:p>
        </w:tc>
        <w:tc>
          <w:tcPr>
            <w:tcW w:w="3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$33.32</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Third tranche per share fair values</w:t>
            </w:r>
          </w:p>
        </w:tc>
        <w:tc>
          <w:tcPr>
            <w:tcW w:w="3700" w:type="dxa"/>
            <w:vAlign w:val="bottom"/>
          </w:tcPr>
          <w:p>
            <w:pPr>
              <w:jc w:val="right"/>
              <w:spacing w:after="0"/>
              <w:rPr>
                <w:sz w:val="20"/>
                <w:szCs w:val="20"/>
                <w:color w:val="auto"/>
              </w:rPr>
            </w:pPr>
            <w:r>
              <w:rPr>
                <w:rFonts w:ascii="Arial" w:cs="Arial" w:eastAsia="Arial" w:hAnsi="Arial"/>
                <w:sz w:val="16"/>
                <w:szCs w:val="16"/>
                <w:color w:val="auto"/>
              </w:rPr>
              <w:t>$29.59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auto"/>
              </w:rPr>
              <w:t>$34.48</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assumptions:</w:t>
            </w:r>
          </w:p>
        </w:tc>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5800" w:type="dxa"/>
            <w:vAlign w:val="bottom"/>
          </w:tcPr>
          <w:p>
            <w:pPr>
              <w:ind w:left="240"/>
              <w:spacing w:after="0"/>
              <w:rPr>
                <w:sz w:val="20"/>
                <w:szCs w:val="20"/>
                <w:color w:val="auto"/>
              </w:rPr>
            </w:pPr>
            <w:r>
              <w:rPr>
                <w:rFonts w:ascii="Arial" w:cs="Arial" w:eastAsia="Arial" w:hAnsi="Arial"/>
                <w:sz w:val="16"/>
                <w:szCs w:val="16"/>
                <w:color w:val="auto"/>
              </w:rPr>
              <w:t>Expected volatility</w:t>
            </w:r>
          </w:p>
        </w:tc>
        <w:tc>
          <w:tcPr>
            <w:tcW w:w="3700" w:type="dxa"/>
            <w:vAlign w:val="bottom"/>
          </w:tcPr>
          <w:p>
            <w:pPr>
              <w:jc w:val="right"/>
              <w:spacing w:after="0"/>
              <w:rPr>
                <w:sz w:val="20"/>
                <w:szCs w:val="20"/>
                <w:color w:val="auto"/>
              </w:rPr>
            </w:pPr>
            <w:r>
              <w:rPr>
                <w:rFonts w:ascii="Arial" w:cs="Arial" w:eastAsia="Arial" w:hAnsi="Arial"/>
                <w:sz w:val="16"/>
                <w:szCs w:val="16"/>
                <w:color w:val="auto"/>
              </w:rPr>
              <w:t>58.7 %</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auto"/>
              </w:rPr>
              <w:t>59.7%</w:t>
            </w:r>
          </w:p>
        </w:tc>
      </w:tr>
      <w:tr>
        <w:trPr>
          <w:trHeight w:val="219"/>
        </w:trPr>
        <w:tc>
          <w:tcPr>
            <w:tcW w:w="5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rates</w:t>
            </w:r>
          </w:p>
        </w:tc>
        <w:tc>
          <w:tcPr>
            <w:tcW w:w="5440" w:type="dxa"/>
            <w:vAlign w:val="bottom"/>
            <w:gridSpan w:val="3"/>
            <w:shd w:val="clear" w:color="auto" w:fill="CCEEFF"/>
          </w:tcPr>
          <w:p>
            <w:pPr>
              <w:jc w:val="right"/>
              <w:ind w:right="959"/>
              <w:spacing w:after="0"/>
              <w:rPr>
                <w:sz w:val="20"/>
                <w:szCs w:val="20"/>
                <w:color w:val="auto"/>
              </w:rPr>
            </w:pPr>
            <w:r>
              <w:rPr>
                <w:rFonts w:ascii="Arial" w:cs="Arial" w:eastAsia="Arial" w:hAnsi="Arial"/>
                <w:sz w:val="16"/>
                <w:szCs w:val="16"/>
                <w:color w:val="auto"/>
              </w:rPr>
              <w:t>0.3 %  -  0.4%</w:t>
            </w:r>
          </w:p>
        </w:tc>
      </w:tr>
      <w:tr>
        <w:trPr>
          <w:trHeight w:val="210"/>
        </w:trPr>
        <w:tc>
          <w:tcPr>
            <w:tcW w:w="5800" w:type="dxa"/>
            <w:vAlign w:val="bottom"/>
          </w:tcPr>
          <w:p>
            <w:pPr>
              <w:ind w:left="240"/>
              <w:spacing w:after="0"/>
              <w:rPr>
                <w:sz w:val="20"/>
                <w:szCs w:val="20"/>
                <w:color w:val="auto"/>
              </w:rPr>
            </w:pPr>
            <w:r>
              <w:rPr>
                <w:rFonts w:ascii="Arial" w:cs="Arial" w:eastAsia="Arial" w:hAnsi="Arial"/>
                <w:sz w:val="16"/>
                <w:szCs w:val="16"/>
                <w:color w:val="auto"/>
              </w:rPr>
              <w:t>Dividend rate</w:t>
            </w:r>
          </w:p>
        </w:tc>
        <w:tc>
          <w:tcPr>
            <w:tcW w:w="3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 Fair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1.24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51,116</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30.41</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6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17.15</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Cancelled/Forfeited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Outstanding at December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33.89</w:t>
            </w:r>
          </w:p>
        </w:tc>
        <w:tc>
          <w:tcPr>
            <w:tcW w:w="80" w:type="dxa"/>
            <w:vAlign w:val="bottom"/>
          </w:tcPr>
          <w:p>
            <w:pPr>
              <w:spacing w:after="0"/>
              <w:rPr>
                <w:sz w:val="18"/>
                <w:szCs w:val="18"/>
                <w:color w:val="auto"/>
              </w:rPr>
            </w:pPr>
          </w:p>
        </w:tc>
        <w:tc>
          <w:tcPr>
            <w:tcW w:w="1740" w:type="dxa"/>
            <w:vAlign w:val="bottom"/>
            <w:gridSpan w:val="2"/>
          </w:tcPr>
          <w:p>
            <w:pPr>
              <w:ind w:left="860"/>
              <w:spacing w:after="0"/>
              <w:rPr>
                <w:sz w:val="20"/>
                <w:szCs w:val="20"/>
                <w:color w:val="auto"/>
              </w:rPr>
            </w:pPr>
            <w:r>
              <w:rPr>
                <w:rFonts w:ascii="Arial" w:cs="Arial" w:eastAsia="Arial" w:hAnsi="Arial"/>
                <w:sz w:val="16"/>
                <w:szCs w:val="16"/>
                <w:color w:val="auto"/>
              </w:rPr>
              <w:t>1.13 years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20,305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Represents additional PSUs awarded as a result of the achievement of performance goals above the performance targets established at grant.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there was $19.6 million of total unrecognized compensation cost related to PSUs.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2021, there was approximately $1.9 million of unrecognized cost related to employee stock purchases. This cost is expected to be recognized over a weighted average period of 0.4 years. As of December 31, 2021, a total of 2,522,952 shares were available for issuance under the ESPP.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Salary and Bonus Stock Program</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March 2021, the Company offered its employees an opportunity to receive a portion of their base cash salary and/or cash bonus for fiscal 2022 in shares of the Company's common stock. Participants that choose to receive stock in place of base cash salary will be subject to reduced cash payroll starting July 2021 through March 2022. The number of shares received by the employee is based on the lower of the closing price of the common stock as of one of two specified look-back dates.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estimated fair value of the shares issued has two components: 1) the value of the base cash salary and/or cash bonus opted to be received as shares, and 2) the grant date fair value of the look-back feature. The estimated fair value of the stock awards will be recognized in stock based compensation expense over the requisite service period of the participants, which may differ from the period in which their original cash compensation is earned. The look-back features are valued as options using the Black-Scholes model, applied to the total number of shares would have been granted under the program based on the closing price of our common stock on the grant date.</w:t>
      </w:r>
    </w:p>
    <w:p>
      <w:pPr>
        <w:spacing w:after="0" w:line="1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estimated fair value on the date of grant of each of the look-back features and the assumptions used in the Black-Scholes pricing model: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look-back options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$8.24</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Valuation assumptions:</w:t>
            </w: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420" w:type="dxa"/>
            <w:vAlign w:val="bottom"/>
            <w:shd w:val="clear" w:color="auto" w:fill="CCEEFF"/>
          </w:tcPr>
          <w:p>
            <w:pPr>
              <w:spacing w:after="0"/>
              <w:rPr>
                <w:sz w:val="19"/>
                <w:szCs w:val="19"/>
                <w:color w:val="auto"/>
              </w:rPr>
            </w:pPr>
          </w:p>
        </w:tc>
      </w:tr>
      <w:tr>
        <w:trPr>
          <w:trHeight w:val="213"/>
        </w:trPr>
        <w:tc>
          <w:tcPr>
            <w:tcW w:w="5580" w:type="dxa"/>
            <w:vAlign w:val="bottom"/>
          </w:tcPr>
          <w:p>
            <w:pPr>
              <w:ind w:left="240"/>
              <w:spacing w:after="0"/>
              <w:rPr>
                <w:sz w:val="20"/>
                <w:szCs w:val="20"/>
                <w:color w:val="auto"/>
              </w:rPr>
            </w:pPr>
            <w:r>
              <w:rPr>
                <w:rFonts w:ascii="Arial" w:cs="Arial" w:eastAsia="Arial" w:hAnsi="Arial"/>
                <w:sz w:val="16"/>
                <w:szCs w:val="16"/>
                <w:color w:val="auto"/>
              </w:rPr>
              <w:t>Risk-free interest rates</w:t>
            </w:r>
          </w:p>
        </w:tc>
        <w:tc>
          <w:tcPr>
            <w:tcW w:w="3940" w:type="dxa"/>
            <w:vAlign w:val="bottom"/>
          </w:tcPr>
          <w:p>
            <w:pPr>
              <w:jc w:val="right"/>
              <w:ind w:right="19"/>
              <w:spacing w:after="0"/>
              <w:rPr>
                <w:sz w:val="20"/>
                <w:szCs w:val="20"/>
                <w:color w:val="auto"/>
              </w:rPr>
            </w:pPr>
            <w:r>
              <w:rPr>
                <w:rFonts w:ascii="Arial" w:cs="Arial" w:eastAsia="Arial" w:hAnsi="Arial"/>
                <w:sz w:val="16"/>
                <w:szCs w:val="16"/>
                <w:color w:val="auto"/>
              </w:rPr>
              <w:t>0.05 %</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ind w:left="20"/>
              <w:spacing w:after="0"/>
              <w:rPr>
                <w:sz w:val="20"/>
                <w:szCs w:val="20"/>
                <w:color w:val="auto"/>
              </w:rPr>
            </w:pPr>
            <w:r>
              <w:rPr>
                <w:rFonts w:ascii="Arial" w:cs="Arial" w:eastAsia="Arial" w:hAnsi="Arial"/>
                <w:sz w:val="16"/>
                <w:szCs w:val="16"/>
                <w:color w:val="auto"/>
              </w:rPr>
              <w:t>0.07%</w:t>
            </w: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terms (in years)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w:t>
            </w:r>
          </w:p>
        </w:tc>
      </w:tr>
      <w:tr>
        <w:trPr>
          <w:trHeight w:val="210"/>
        </w:trPr>
        <w:tc>
          <w:tcPr>
            <w:tcW w:w="5580" w:type="dxa"/>
            <w:vAlign w:val="bottom"/>
          </w:tcPr>
          <w:p>
            <w:pPr>
              <w:ind w:left="240"/>
              <w:spacing w:after="0"/>
              <w:rPr>
                <w:sz w:val="20"/>
                <w:szCs w:val="20"/>
                <w:color w:val="auto"/>
              </w:rPr>
            </w:pPr>
            <w:r>
              <w:rPr>
                <w:rFonts w:ascii="Arial" w:cs="Arial" w:eastAsia="Arial" w:hAnsi="Arial"/>
                <w:sz w:val="16"/>
                <w:szCs w:val="16"/>
                <w:color w:val="auto"/>
              </w:rPr>
              <w:t>Dividend rate</w:t>
            </w:r>
          </w:p>
        </w:tc>
        <w:tc>
          <w:tcPr>
            <w:tcW w:w="4240" w:type="dxa"/>
            <w:vAlign w:val="bottom"/>
            <w:gridSpan w:val="2"/>
          </w:tcPr>
          <w:p>
            <w:pPr>
              <w:jc w:val="center"/>
              <w:ind w:left="3659"/>
              <w:spacing w:after="0"/>
              <w:rPr>
                <w:sz w:val="20"/>
                <w:szCs w:val="20"/>
                <w:color w:val="auto"/>
              </w:rPr>
            </w:pPr>
            <w:r>
              <w:rPr>
                <w:rFonts w:ascii="Arial" w:cs="Arial" w:eastAsia="Arial" w:hAnsi="Arial"/>
                <w:sz w:val="16"/>
                <w:szCs w:val="16"/>
                <w:color w:val="auto"/>
                <w:w w:val="99"/>
              </w:rPr>
              <w:t>—%</w:t>
            </w:r>
          </w:p>
        </w:tc>
        <w:tc>
          <w:tcPr>
            <w:tcW w:w="1420" w:type="dxa"/>
            <w:vAlign w:val="bottom"/>
          </w:tcPr>
          <w:p>
            <w:pPr>
              <w:spacing w:after="0"/>
              <w:rPr>
                <w:sz w:val="18"/>
                <w:szCs w:val="18"/>
                <w:color w:val="auto"/>
              </w:rPr>
            </w:pPr>
          </w:p>
        </w:tc>
      </w:tr>
    </w:tbl>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risk-free rates were determined based on published treasury rates over terms consistent with those of the share exchange program. The volatility rate was determined based on historic volatility of the Company's stock and is consistent with the rate used for valuation of the PSU awards granted in June 2021.</w:t>
      </w:r>
    </w:p>
    <w:p>
      <w:pPr>
        <w:spacing w:after="0" w:line="321" w:lineRule="exact"/>
        <w:rPr>
          <w:sz w:val="20"/>
          <w:szCs w:val="20"/>
          <w:color w:val="auto"/>
        </w:rPr>
      </w:pPr>
    </w:p>
    <w:p>
      <w:pPr>
        <w:ind w:right="1400"/>
        <w:spacing w:after="0" w:line="378" w:lineRule="auto"/>
        <w:rPr>
          <w:sz w:val="20"/>
          <w:szCs w:val="20"/>
          <w:color w:val="auto"/>
        </w:rPr>
      </w:pPr>
      <w:r>
        <w:rPr>
          <w:rFonts w:ascii="Arial" w:cs="Arial" w:eastAsia="Arial" w:hAnsi="Arial"/>
          <w:sz w:val="16"/>
          <w:szCs w:val="16"/>
          <w:color w:val="auto"/>
        </w:rPr>
        <w:t xml:space="preserve">As of December 31, 2021, there was $1.8 million of total unrecognized compensation cost related to the salary and bonus stock program. </w:t>
      </w:r>
      <w:r>
        <w:rPr>
          <w:rFonts w:ascii="Arial" w:cs="Arial" w:eastAsia="Arial" w:hAnsi="Arial"/>
          <w:sz w:val="16"/>
          <w:szCs w:val="16"/>
          <w:b w:val="1"/>
          <w:bCs w:val="1"/>
          <w:i w:val="1"/>
          <w:iCs w:val="1"/>
          <w:color w:val="auto"/>
        </w:rPr>
        <w:t>Stock Repurchases</w:t>
      </w:r>
    </w:p>
    <w:p>
      <w:pPr>
        <w:spacing w:after="0" w:line="1" w:lineRule="exact"/>
        <w:rPr>
          <w:sz w:val="20"/>
          <w:szCs w:val="20"/>
          <w:color w:val="auto"/>
        </w:rPr>
      </w:pPr>
    </w:p>
    <w:p>
      <w:pPr>
        <w:ind w:right="200"/>
        <w:spacing w:after="0" w:line="221" w:lineRule="auto"/>
        <w:rPr>
          <w:sz w:val="20"/>
          <w:szCs w:val="20"/>
          <w:color w:val="auto"/>
        </w:rPr>
      </w:pPr>
      <w:r>
        <w:rPr>
          <w:rFonts w:ascii="Arial" w:cs="Arial" w:eastAsia="Arial" w:hAnsi="Arial"/>
          <w:sz w:val="16"/>
          <w:szCs w:val="16"/>
          <w:color w:val="auto"/>
        </w:rPr>
        <w:t>In December 2021, the Company completed a repurchase of 2.3 million shares of its outstanding common stock at a price of $19.20 per share, for $45.0 million. The repurchased common stock was retired at the time of repurchase but remains authorized and unallocated as of the balance sheet date. The Company recorded the repurchase price as reductions from common stock and additional paid-in capital.There were no stock repurchases during the nine months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effective tax rate was (0.2)% and (0.8)% for the three months ended December 31, 2021 and 2020, respectively, and (0.4)% and (0.6)% for the nine months ended December 31, 2021 and 2020, respectively. The difference in the effective tax rate and the U.S. federal statutory rate was primarily due to the full valuation allowance the Company maintains against its deferred tax assets. The effective tax rate is calculated by dividing the </w:t>
      </w:r>
      <w:r>
        <w:rPr>
          <w:rFonts w:ascii="Arial" w:cs="Arial" w:eastAsia="Arial" w:hAnsi="Arial"/>
          <w:sz w:val="16"/>
          <w:szCs w:val="16"/>
          <w:i w:val="1"/>
          <w:iCs w:val="1"/>
          <w:color w:val="auto"/>
        </w:rPr>
        <w:t>Provision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by the</w:t>
      </w:r>
      <w:r>
        <w:rPr>
          <w:rFonts w:ascii="Arial" w:cs="Arial" w:eastAsia="Arial" w:hAnsi="Arial"/>
          <w:sz w:val="16"/>
          <w:szCs w:val="16"/>
          <w:i w:val="1"/>
          <w:iCs w:val="1"/>
          <w:color w:val="auto"/>
        </w:rPr>
        <w:t xml:space="preserve"> Loss before provision for income taxes</w:t>
      </w:r>
      <w:r>
        <w:rPr>
          <w:rFonts w:ascii="Arial" w:cs="Arial" w:eastAsia="Arial" w:hAnsi="Arial"/>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 presents the weighted average number of common shares outstanding used in calculating basic and diluted net loss per share (</w:t>
      </w:r>
      <w:r>
        <w:rPr>
          <w:rFonts w:ascii="Arial" w:cs="Arial" w:eastAsia="Arial" w:hAnsi="Arial"/>
          <w:sz w:val="16"/>
          <w:szCs w:val="16"/>
          <w:i w:val="1"/>
          <w:iCs w:val="1"/>
          <w:color w:val="auto"/>
        </w:rPr>
        <w:t>dollars 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 except per share data</w:t>
      </w:r>
      <w:r>
        <w:rPr>
          <w:rFonts w:ascii="Arial" w:cs="Arial" w:eastAsia="Arial" w:hAnsi="Arial"/>
          <w:sz w:val="16"/>
          <w:szCs w:val="16"/>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29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7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5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(120,551)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113,510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106,641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111,960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104,961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0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and Nine Months Ended</w:t>
      </w:r>
    </w:p>
    <w:p>
      <w:pPr>
        <w:jc w:val="center"/>
        <w:ind w:left="8380"/>
        <w:spacing w:after="0"/>
        <w:rPr>
          <w:sz w:val="20"/>
          <w:szCs w:val="20"/>
          <w:color w:val="auto"/>
        </w:rPr>
      </w:pPr>
      <w:r>
        <w:rPr>
          <w:rFonts w:ascii="Arial" w:cs="Arial" w:eastAsia="Arial" w:hAnsi="Arial"/>
          <w:sz w:val="16"/>
          <w:szCs w:val="16"/>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9,192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11,434</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Total potential anti-dilutive shares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14,034</w:t>
            </w:r>
          </w:p>
        </w:tc>
      </w:tr>
      <w:tr>
        <w:trPr>
          <w:trHeight w:val="21"/>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GEOGRAPHICAL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by geographic area: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28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December 31,</w:t>
            </w:r>
          </w:p>
        </w:tc>
      </w:tr>
      <w:tr>
        <w:trPr>
          <w:trHeight w:val="21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geographic area:</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288,268</w:t>
            </w:r>
          </w:p>
        </w:tc>
      </w:tr>
      <w:tr>
        <w:trPr>
          <w:trHeight w:val="213"/>
        </w:trPr>
        <w:tc>
          <w:tcPr>
            <w:tcW w:w="5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99,357</w:t>
            </w:r>
          </w:p>
        </w:tc>
      </w:tr>
      <w:tr>
        <w:trPr>
          <w:trHeight w:val="238"/>
        </w:trPr>
        <w:tc>
          <w:tcPr>
            <w:tcW w:w="5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387,625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 and equipment by geographic area:</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93,076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January 18, 2022 (the "Closing Date"), the Company completed the previously announced acquisition of Fuze Inc. pursuant to the Agreement and Plan of Merger agreement (the "Merger Agreement"), filed with the SEC on December 1, 2021. The Company expects the acquisition to further accelerate product innovation through increased research and development resources as well as expand the Company's enterprise customer base and global presence. Under the terms of the Merger Agreement, the Company acquired 100% of the equity of Fuze, Inc. on a cash-free, debt-free basis for approximately $250.0 million in cash and stock valued at the time of announcement, which at the Closing Date, the estimated merger consideration was approximately $211.9 million comprised of $79.0 million in stock consideration and $132.9 million in cash consideration, subject to certain adjustments. The consideration is subject to change based on (i) purchase price adjustment provisions and (ii) certain indemnifications related to representations and warranties, and the resolution of outstanding tax obligations. A portion of the consideration will be placed in escrow to satisfy these indemnifications as described in the Merger Agreement. The Company issued a total of 5,623,429 shares of Common Stock in connection with the acquisition, of which the Company estimates 5,104,308 shares are expected to be included in consideration, after adjusting for indemnifications and post-combination compensation.</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estimates that the total consideration will be primarily allocated to purchase price consideration. For accounting purposes, the equity consideration will be valued based on the price of the Company's common stock on the acquisition Closing Date, which was $15.48. The acquisition will be accounted for as a business combination and, accordingly, the total purchase price will be allocated to the tangible and intangible assets acquired and liabilities assumed based on their respective fair values on the acquisition close date. Due to the timing of the close, acquisition accounting is incomplete and the Company is in the process of estimating the initial purchase price allocation, which will be reported in its fiscal 2022 annual report on Form 10-K. The Company incurred transaction costs of approximately $5.5 million included within the general and administrative expenses for the three and nine months ended December 31, 2021 in connection with the business combination for legal, accounting and other professional and service fees.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Pursuant to the terms of the Merger Agreement, the Company registered the shares for resale on a registration statement, which was filed with the SEC on January 25, 2022, and has agreed to maintain the effectiveness until all Indemnity Holdback Shares have been issued to the extent required under the Merger Agreement, or such earlier time as all of the Acquisition Shares (including the Indemnity Holdback Shares) have been sold or are no longer outstanding.</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("Form 10-K") for the fiscal year ended March 31, 2021.</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OVERVIEW</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leading software-as-a-service ("SaaS") provider of voice, video, chat, contact center, and application programming interface ("API") solutions powered by one global cloud communications platform. From our proprietary cloud technology platform, organizations across all their locations and employees globally have access to unified communications, team collaboration, video conferencing, contact center, data and analytics, communication APIs, and other services, enabling them to be more productive and responsive to their customers.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customers represent companies ranging from small businesses to large multinational enterprises, and their users are spread across more than 150 countries. In recent years, we have increased our focus on the mid-market (which we define as customers that generate $25,000 to $100,000 Annualized Recurring Subscriptions and Usage (“ARR”)) and enterprise (which we define as customers that generate more than $100,000 ARR) customer categories. See “Key Business Metric” section below for our definition and discussion of ARR.</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portfolio of SaaS offerings made available at different rates varying by the specific functionalities, services, and number of users. We generate service revenue from subscriptions to our communication services as well as from our customer's usage of certain of our platform services.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flagship service is our 8x8 X Series, a next generation suite of unified communications as a service ("UCaaS") and contact center as a service ("CCaaS") solutions, which consist of service plans of increasing functionality designated X1, X2, etc., through X8. With 8x8 X Series, we provide enterprise-grade voice, unified communications, video meetings, team collaboration, and contact center functionalities from a single platform. The continued increase in demand for an integrated UCaaS and CCaaS solution led us to introduce eXperience Communications as a Service ("XCaaS"), a deployment model that erases boundaries between UCaaS and CCaaS, delivered through our differentiated single platform.</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offer standalone SaaS services for contact center and video meetings as well as APIs for SMS, messaging, voice, fax, and video through our global communications platform as a service ("CPaaS"). We expect to continue developing and enhancing these services on our platform, as we believe in the value of the collective solutions.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January 18, 2022, we completed our previously announced acquisition of Fuze, Inc. ("Fuze") pursuant to the Merger Agreement. Under the terms of the Merger Agreement, we acquired 100% of the equity of Fuze on a cash-free, debt-free basis for approximately $211.9 million of aggregate consideration comprised of stock and cash, subject to certain adjustments. The operations of Fuze will be included in our consolidated financial statements commencing with the 4th quarter of the fiscal year ending March 31, 2022. Our management will assess the optimal manner of operation of the combined businesses going forward, which is expected to involve integration of Fuze operations with our existing operations.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acquisition is expected to extend the Company’s XCaaS platform advantage through increased resources for research and development, engineering, and support, expand our customer base of enterprise customers globally, and provide new customer cross-sell opportunities for contact center and CPaaS capabilities.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third quarter of fiscal 2022, our service revenue grew approximately 18% year-over-year to $149 million. We continued to show an increase in our total ARR, which grew to $572 million in the third quarter of fiscal 2022, from $494 million in the same period in fiscal 2021, driven by the growth in sales to mid-market and enterprise customers. ARR from mid-market and enterprise customers represented 72% of total ARR in the third quarter of fiscal 2022, and grew 24% compared to the same period in fiscal 2021.</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continued business focus is on achieving improved operating efficiencies while delivering revenue growth. We focus on key areas of spend in our go-to-market strategy and improving gross margin and operating margin through increased spend discipline. Additionally, we look to drive improved efficiencies in our customer acquisition and operations, and are focused on expanding our business upmarket with mid-market and enterprise customers. We believe that this approach will enable the Company to grow and capture market share during this phase of industry disruption, in a cost-effective way, and support the Company in pursuit of its path to profitability and operating cashflow improvement.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plan to continue making investments in activities to acquire more customers, including investing in our marketing efforts, internal and field sales capacity, and research and development. We also intend to continue investing in our indirect channel programs to acquire more third-party selling agents to help sell our solutions, including investments in our value added resellers ("VARs") and master agent programs.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IMPACTS OF COVID-19</w:t>
      </w:r>
    </w:p>
    <w:p>
      <w:pPr>
        <w:spacing w:after="0" w:line="120"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full extent of the impact of the COVID-19 pandemic on our business, operations and financial results continues to depend on numerous evolving factors that we may not be able to accurately predict, including those set forth under the section entitled "Risk Factors" in our Form 10-K for the fiscal year ended March 31, 2021. In an effort to contain the spread of COVID-19 and its variants, governments around the world have enacted various measures, including orders to close at times non-essential businesses, isolate residents to their homes, and practice social distancing. To protect the health and safety of our employees, our workforce has spent significant time working from home and travel has been curtailed for our employees as well as our customers. While we anticipate that the global health crisis caused by COVID-19 and the measures enacted to slow its spread will negatively impact business activity across the globe, it is not clear what its potential effects, including the availability and effectiveness of vaccines, now and in the future, and current and future variants of the virus, will be on our business, including the effects on our customers, suppliers or vendors, or on our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periodically reviews certain key business metrics in order to evaluate our operations, allocate resources, and drive financial performance in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(“ARR”)</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reviews Annualized Recurring Subscriptions and Usage (“ARR”) and believes it may be useful to investors in order to evaluate trends in future revenues of the Company. Our management believes revenues are an important indicator for measuring the overall performance of the business. Our management uses trends in ARR to assess our on-going operations, allocate resources, and drive the financial performance of the business. We define Annualized Recurring Subscriptions and Usage, or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XCaaS, and CPaaS offerings. We plan to continue driving our business to increase service revenue through a combination of increased sales and marketing efforts, geographic expansion of our customer base outside the United States, innovation in product and technology, and through strategic acquisitions of technologies and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and other equipment in conjunction with our cloud telephony service.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platform related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convertible notes, offset by income earned on our cash, cash equivalents, investments, and foreign exchange gains/losses.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 for income taxes consists primarily of foreign income taxes and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("NOLs"). We expect to maintain this valuation allowance until it becomes more likely than not that the benefit of our federal and state deferred tax assets will be realized by way of expected future taxable income in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Revenue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Service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1260" w:type="dxa"/>
            <w:vAlign w:val="bottom"/>
            <w:tcBorders>
              <w:top w:val="single" w:sz="8" w:color="auto"/>
              <w:bottom w:val="single" w:sz="8" w:color="CCEEFF"/>
            </w:tcBorders>
          </w:tcPr>
          <w:p>
            <w:pPr>
              <w:spacing w:after="0"/>
              <w:rPr>
                <w:sz w:val="21"/>
                <w:szCs w:val="21"/>
                <w:color w:val="auto"/>
              </w:rPr>
            </w:pPr>
          </w:p>
        </w:tc>
        <w:tc>
          <w:tcPr>
            <w:tcW w:w="29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21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149,396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127,107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22,289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93.0 %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3"/>
        </w:trPr>
        <w:tc>
          <w:tcPr>
            <w:tcW w:w="4200" w:type="dxa"/>
            <w:vAlign w:val="bottom"/>
            <w:gridSpan w:val="2"/>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429,568</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362,232</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819"/>
              <w:spacing w:after="0"/>
              <w:rPr>
                <w:sz w:val="20"/>
                <w:szCs w:val="20"/>
                <w:color w:val="auto"/>
              </w:rPr>
            </w:pPr>
            <w:r>
              <w:rPr>
                <w:rFonts w:ascii="Arial" w:cs="Arial" w:eastAsia="Arial" w:hAnsi="Arial"/>
                <w:sz w:val="16"/>
                <w:szCs w:val="16"/>
                <w:color w:val="auto"/>
              </w:rPr>
              <w:t>67,336</w:t>
            </w:r>
          </w:p>
        </w:tc>
        <w:tc>
          <w:tcPr>
            <w:tcW w:w="960" w:type="dxa"/>
            <w:vAlign w:val="bottom"/>
          </w:tcPr>
          <w:p>
            <w:pPr>
              <w:jc w:val="right"/>
              <w:spacing w:after="0"/>
              <w:rPr>
                <w:sz w:val="20"/>
                <w:szCs w:val="20"/>
                <w:color w:val="auto"/>
              </w:rPr>
            </w:pPr>
            <w:r>
              <w:rPr>
                <w:rFonts w:ascii="Arial" w:cs="Arial" w:eastAsia="Arial" w:hAnsi="Arial"/>
                <w:sz w:val="16"/>
                <w:szCs w:val="16"/>
                <w:color w:val="auto"/>
              </w:rPr>
              <w:t>18.6 %</w:t>
            </w:r>
          </w:p>
        </w:tc>
      </w:tr>
      <w:tr>
        <w:trPr>
          <w:trHeight w:val="21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increased for the three and nine months ended December 31, 2021, as compared to the three and nine months ended December 31, 2020, primarily due to a net increase in our customer base, expanded offerings to existing customers, and growth in related usage; service revenue from new customers was primarily driven by global sales of XCaaS, and our standalone UCaaS and CCaaS offerings to our mid-market and enterprise customers. The increase in service revenue was also attributable to growth in usage revenue generated by our CPaaS products.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total service revenue to grow over time with our diverse platform offering as our business continues to expand globally and deeper into our customer categories.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7"/>
        </w:trPr>
        <w:tc>
          <w:tcPr>
            <w:tcW w:w="1100" w:type="dxa"/>
            <w:vAlign w:val="bottom"/>
            <w:tcBorders>
              <w:top w:val="single" w:sz="8" w:color="auto"/>
              <w:bottom w:val="single" w:sz="8" w:color="CCEEFF"/>
            </w:tcBorders>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1"/>
                <w:szCs w:val="2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9,578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(2,100)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3"/>
        </w:trPr>
        <w:tc>
          <w:tcPr>
            <w:tcW w:w="4160" w:type="dxa"/>
            <w:vAlign w:val="bottom"/>
            <w:gridSpan w:val="2"/>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1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27,190</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25,393</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799"/>
              <w:spacing w:after="0"/>
              <w:rPr>
                <w:sz w:val="20"/>
                <w:szCs w:val="20"/>
                <w:color w:val="auto"/>
              </w:rPr>
            </w:pPr>
            <w:r>
              <w:rPr>
                <w:rFonts w:ascii="Arial" w:cs="Arial" w:eastAsia="Arial" w:hAnsi="Arial"/>
                <w:sz w:val="16"/>
                <w:szCs w:val="16"/>
                <w:color w:val="auto"/>
              </w:rPr>
              <w:t>1,797</w:t>
            </w:r>
          </w:p>
        </w:tc>
        <w:tc>
          <w:tcPr>
            <w:tcW w:w="100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21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decreased for the three months ended December 31, 2021 as compared to three months ended December 31, 2020 primarily due to a decrease in product revenue as a result of a shift toward our hardware rental program, soft phone usage, and global supply chain shortages.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increased for the nine months ended December 31, 2021, as compared to the nine months ended December 31, 2020, primarily due to increased professional services revenue resulting from the overall growth in our business and customer base.</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other revenue to grow over time as our customer base grows, particularly in mid-market and enterprise, as we focus on delivering enhanced platform offerings to existing and new customers.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No customer represented greater than 10% of the Company's total revenue for the nine months ended December 31, 2021 or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Cost of service revenue</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7"/>
        </w:trPr>
        <w:tc>
          <w:tcPr>
            <w:tcW w:w="1280" w:type="dxa"/>
            <w:vAlign w:val="bottom"/>
            <w:tcBorders>
              <w:top w:val="single" w:sz="8" w:color="auto"/>
              <w:bottom w:val="single" w:sz="8" w:color="CCEEFF"/>
            </w:tcBorders>
          </w:tcPr>
          <w:p>
            <w:pPr>
              <w:spacing w:after="0"/>
              <w:rPr>
                <w:sz w:val="21"/>
                <w:szCs w:val="21"/>
                <w:color w:val="auto"/>
              </w:rPr>
            </w:pPr>
          </w:p>
        </w:tc>
        <w:tc>
          <w:tcPr>
            <w:tcW w:w="560" w:type="dxa"/>
            <w:vAlign w:val="bottom"/>
            <w:tcBorders>
              <w:top w:val="single" w:sz="8" w:color="auto"/>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48,763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47,044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1,719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service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37.0 %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3"/>
        </w:trPr>
        <w:tc>
          <w:tcPr>
            <w:tcW w:w="4000" w:type="dxa"/>
            <w:vAlign w:val="bottom"/>
            <w:gridSpan w:val="3"/>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Nine Months Ended December 31,</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141,971</w:t>
            </w:r>
          </w:p>
        </w:tc>
        <w:tc>
          <w:tcPr>
            <w:tcW w:w="10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132,843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59"/>
              <w:spacing w:after="0"/>
              <w:rPr>
                <w:sz w:val="20"/>
                <w:szCs w:val="20"/>
                <w:color w:val="auto"/>
              </w:rPr>
            </w:pPr>
            <w:r>
              <w:rPr>
                <w:rFonts w:ascii="Arial" w:cs="Arial" w:eastAsia="Arial" w:hAnsi="Arial"/>
                <w:sz w:val="16"/>
                <w:szCs w:val="16"/>
                <w:color w:val="auto"/>
              </w:rPr>
              <w:t>9,128</w:t>
            </w:r>
          </w:p>
        </w:tc>
        <w:tc>
          <w:tcPr>
            <w:tcW w:w="80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1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service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Cost of service revenue increased for the three months ended December 31, 2021, as compared to the three months ended December 31, 2020, yet decreased as a percentage of service revenue, primarily due to increase of $3.8 million in communication infrastructure costs incurred to deliver our services resulting from growth in usage across our platform including those in connection with CPaaS. The increase was partially offset by decreases of $1.5 million in employee and consulting related expenses, depreciation and amortization of intangibles, and stock based compensation.</w:t>
      </w:r>
    </w:p>
    <w:p>
      <w:pPr>
        <w:spacing w:after="0" w:line="9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Cost of service revenue increased for the nine months ended December 31, 2021, as compared to the nine months ended December 31, 2020, yet decreased as a percentage of service revenue, primarily due to increase of $13.4 million in communication infrastructure costs incurred to deliver our services resulting from growth in usage across our platform including those in connection with CPaaS. The increase was partially offset by decreases of $4.5 million in employee and consulting related expenditures, depreciation and amortization of intangibles, and stock 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in future periods as revenue continues to grow.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7"/>
        </w:trPr>
        <w:tc>
          <w:tcPr>
            <w:tcW w:w="1680" w:type="dxa"/>
            <w:vAlign w:val="bottom"/>
            <w:tcBorders>
              <w:top w:val="single" w:sz="8" w:color="auto"/>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11,071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13,364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(2,293)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1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148.0 %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37,086</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36,194</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699"/>
              <w:spacing w:after="0"/>
              <w:rPr>
                <w:sz w:val="20"/>
                <w:szCs w:val="20"/>
                <w:color w:val="auto"/>
              </w:rPr>
            </w:pPr>
            <w:r>
              <w:rPr>
                <w:rFonts w:ascii="Arial" w:cs="Arial" w:eastAsia="Arial" w:hAnsi="Arial"/>
                <w:sz w:val="16"/>
                <w:szCs w:val="16"/>
                <w:color w:val="auto"/>
              </w:rPr>
              <w:t>892</w:t>
            </w:r>
          </w:p>
        </w:tc>
        <w:tc>
          <w:tcPr>
            <w:tcW w:w="8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other revenue</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other revenue decreased for the three months ended December 31, 2021, as compared to the three months ended December 31, 2020, primarily due to decrease of $2.1 million in Product costs.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other revenue increased for the nine months ended December 31, 2021, as compared to the nine months ended December 31, 2020, primarily due to an increase of $1.2 million in employee and consulting related expenditures.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as a percentage of other revenue increased for the three months ended December 31, 2021, as compared to the three months ended December 31, 2020, was driven by lower professional services revenue spread over a similar fixed cost base.</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other revenue as a percentage of other revenue decreased for the nine months ended December 31, 2021, as compared to the nine months ended December 31,2021, driven by lower product revenue due to lower hardware endpoint shipments.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Other revenue margin will vary period over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4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5"/>
        </w:trPr>
        <w:tc>
          <w:tcPr>
            <w:tcW w:w="15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4"/>
                <w:szCs w:val="24"/>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27,911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4,209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3"/>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Nine Months Ended December 31,</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81,801</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66,763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19"/>
              <w:spacing w:after="0"/>
              <w:rPr>
                <w:sz w:val="20"/>
                <w:szCs w:val="20"/>
                <w:color w:val="auto"/>
              </w:rPr>
            </w:pPr>
            <w:r>
              <w:rPr>
                <w:rFonts w:ascii="Arial" w:cs="Arial" w:eastAsia="Arial" w:hAnsi="Arial"/>
                <w:sz w:val="16"/>
                <w:szCs w:val="16"/>
                <w:color w:val="auto"/>
              </w:rPr>
              <w:t>15,038</w:t>
            </w:r>
          </w:p>
        </w:tc>
        <w:tc>
          <w:tcPr>
            <w:tcW w:w="840" w:type="dxa"/>
            <w:vAlign w:val="bottom"/>
          </w:tcPr>
          <w:p>
            <w:pPr>
              <w:jc w:val="right"/>
              <w:spacing w:after="0"/>
              <w:rPr>
                <w:sz w:val="20"/>
                <w:szCs w:val="20"/>
                <w:color w:val="auto"/>
              </w:rPr>
            </w:pPr>
            <w:r>
              <w:rPr>
                <w:rFonts w:ascii="Arial" w:cs="Arial" w:eastAsia="Arial" w:hAnsi="Arial"/>
                <w:sz w:val="16"/>
                <w:szCs w:val="16"/>
                <w:color w:val="auto"/>
              </w:rPr>
              <w:t>22.5 %</w:t>
            </w:r>
          </w:p>
        </w:tc>
      </w:tr>
      <w:tr>
        <w:trPr>
          <w:trHeight w:val="21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expenses increased for the three months ended December 31, 2021, as compared to the three months ended December 31, 2020, primarily due to increase of $4.0 million in employee and consulting related expenditures,$2.7 million in software and software licenses, and $2.4 million in facility related costs, partially offset by a decrease of $3.6 million in internal-use software costs capitalized and amortization of capitalized internal-use software.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expenses increased for the nine months ended December 31, 2021, as compared to the nine months ended December 31, 2020, primarily due to increases of $12.2 million in employee and consulting related expenditures, $10.5 million in facility related costs, and $7.3 million in software and software licenses, partially offset by a decrease of $14.3 million in internal-use software costs capitalized and amortization of capitalized internal-use software.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While we expect to improve our cost structure and achieve operational efficiencies over time with expected revenue growth, we expect that research and development expenses will initially increase as a percentage of revenue as we integrate the Fuze research and development organization.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7"/>
        </w:trPr>
        <w:tc>
          <w:tcPr>
            <w:tcW w:w="1580" w:type="dxa"/>
            <w:vAlign w:val="bottom"/>
            <w:tcBorders>
              <w:top w:val="single" w:sz="8" w:color="auto"/>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76,797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63,986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12,811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49.0 %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229,438</w:t>
            </w:r>
          </w:p>
        </w:tc>
        <w:tc>
          <w:tcPr>
            <w:tcW w:w="10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185,535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19"/>
              <w:spacing w:after="0"/>
              <w:rPr>
                <w:sz w:val="20"/>
                <w:szCs w:val="20"/>
                <w:color w:val="auto"/>
              </w:rPr>
            </w:pPr>
            <w:r>
              <w:rPr>
                <w:rFonts w:ascii="Arial" w:cs="Arial" w:eastAsia="Arial" w:hAnsi="Arial"/>
                <w:sz w:val="16"/>
                <w:szCs w:val="16"/>
                <w:color w:val="auto"/>
              </w:rPr>
              <w:t>43,903</w:t>
            </w:r>
          </w:p>
        </w:tc>
        <w:tc>
          <w:tcPr>
            <w:tcW w:w="840" w:type="dxa"/>
            <w:vAlign w:val="bottom"/>
          </w:tcPr>
          <w:p>
            <w:pPr>
              <w:jc w:val="right"/>
              <w:spacing w:after="0"/>
              <w:rPr>
                <w:sz w:val="20"/>
                <w:szCs w:val="20"/>
                <w:color w:val="auto"/>
              </w:rPr>
            </w:pPr>
            <w:r>
              <w:rPr>
                <w:rFonts w:ascii="Arial" w:cs="Arial" w:eastAsia="Arial" w:hAnsi="Arial"/>
                <w:sz w:val="16"/>
                <w:szCs w:val="16"/>
                <w:color w:val="auto"/>
              </w:rPr>
              <w:t>23.7 %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Sales and marketing expenses increased for the three months ended December 31, 2021, as compared to the three months ended December 31, 2020, primarily due to increases of $6.7 million in internal and external sales commissions, $2.8 million in marketing program and public cloud expenses due to gained efficiencies in lead generation and brand awareness, travel related costs, employee and consulting related expenditures, $2.3 million in stock-based compensation expense, and $1.3 million in software and software licenses.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Sales and marketing expenses increased for the nine months ended December 31, 2021, as compared to the nine months ended December 31, 2020, primarily due to increases of $20.4 million in internal and external sales commissions, $16.5 million in stock-based compensation expense, $4.6 million in marketing program and public cloud expenses due to gained efficiencies in lead generation and brand awareness, travel related costs, employee and consulting related expenditures, and $2.7 million in software and software licenses.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General and administrative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29,950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6,106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000" w:type="dxa"/>
            <w:vAlign w:val="bottom"/>
            <w:gridSpan w:val="2"/>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80,064</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72,403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19"/>
              <w:spacing w:after="0"/>
              <w:rPr>
                <w:sz w:val="20"/>
                <w:szCs w:val="20"/>
                <w:color w:val="auto"/>
              </w:rPr>
            </w:pPr>
            <w:r>
              <w:rPr>
                <w:rFonts w:ascii="Arial" w:cs="Arial" w:eastAsia="Arial" w:hAnsi="Arial"/>
                <w:sz w:val="16"/>
                <w:szCs w:val="16"/>
                <w:color w:val="auto"/>
              </w:rPr>
              <w:t>7,661</w:t>
            </w:r>
          </w:p>
        </w:tc>
        <w:tc>
          <w:tcPr>
            <w:tcW w:w="84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General and administrative expenses increased for the three months ended December 31, 2021, as compared to the three months ended December 31, 2020, primarily due to an increase of $5.5 million in acquisition and integration costs related to the Fuze acquisition, $4.5 million in stock-based compensation expense, partially offset by $2.9 million in employee and consulting related expenditures, $0.9 million of allowances for credit losses, and $0.8 million in legal, regulatory and contract termination costs.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General and administrative expenses increased for the nine months ended December 31, 2021, as compared to the nine months ended December 31, 2020, primarily due to increases of $10.8 million in stock-based compensation expense, $5.3 million in acquisition and integration costs related to the Fuze acquisition, partially offset by decreases of $3.8 million in employee and consulting related expenditures, $3.2 million of lower allowances for credit losses, and $3.1 million in legal, regulatory and contract termination costs;.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Other expense, net</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460" w:type="dxa"/>
            <w:vAlign w:val="bottom"/>
            <w:tcBorders>
              <w:top w:val="single" w:sz="8" w:color="auto"/>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5,866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4,669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1,197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15,623</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13,772</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19"/>
              <w:spacing w:after="0"/>
              <w:rPr>
                <w:sz w:val="20"/>
                <w:szCs w:val="20"/>
                <w:color w:val="auto"/>
              </w:rPr>
            </w:pPr>
            <w:r>
              <w:rPr>
                <w:rFonts w:ascii="Arial" w:cs="Arial" w:eastAsia="Arial" w:hAnsi="Arial"/>
                <w:sz w:val="16"/>
                <w:szCs w:val="16"/>
                <w:color w:val="auto"/>
              </w:rPr>
              <w:t>1,851</w:t>
            </w:r>
          </w:p>
        </w:tc>
        <w:tc>
          <w:tcPr>
            <w:tcW w:w="84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change in Other expense, net for the three and nine months ended December 31, 2021, as compared to the three and nine months ended December 31, 2020, was primarily due to fluctuations in foreign exchange rates.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Due to the recognition of interest expense and amortization of debt discount and issuance costs in connection with our convertible senior notes, we expect Other expense, net to remain in a net expense position until fiscal 2024, when our convertible senior notes mature.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1"/>
                <w:szCs w:val="21"/>
                <w:color w:val="auto"/>
              </w:rPr>
            </w:pPr>
          </w:p>
        </w:tc>
      </w:tr>
      <w:tr>
        <w:trPr>
          <w:trHeight w:val="21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(214)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3"/>
        </w:trPr>
        <w:tc>
          <w:tcPr>
            <w:tcW w:w="4020" w:type="dxa"/>
            <w:vAlign w:val="bottom"/>
            <w:gridSpan w:val="2"/>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639"/>
              <w:spacing w:after="0"/>
              <w:rPr>
                <w:sz w:val="20"/>
                <w:szCs w:val="20"/>
                <w:color w:val="auto"/>
              </w:rPr>
            </w:pPr>
            <w:r>
              <w:rPr>
                <w:rFonts w:ascii="Arial" w:cs="Arial" w:eastAsia="Arial" w:hAnsi="Arial"/>
                <w:sz w:val="16"/>
                <w:szCs w:val="16"/>
                <w:color w:val="auto"/>
              </w:rPr>
              <w:t>(90)</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not a material change to our Provision for income taxes for the three and nine months ended December 31, 2021 and no material changes are anticipated for the foreseeable future.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2021, we had $251.8 million of cash, cash equivalents, and investments. In addition, as of December 31, 2021, we had $8.6 million in restricted cash in support of letters of credit securing leases for office facilities. As of March 31, 2021, we had $152.9 million of cash, cash equivalents, and investments and $8.6 million of restricted cash.</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approximately $5.0 million through March 31, 2021, of which approximately $2.5 million has been remitted to tax authorities during the third quarter of fiscal 2022 and the remaining amount will be remitted in the third quarter of fiscal 2023.</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March 2021, the Company offered its employees a limited opportunity to receive a portion of their fiscal 2022 cash salary and/or cash bonus in shares of the Company's common stock. Based on employee elected participation, we expect lower cash usage from payroll compensation of approximately $1 million for the remainder of fiscal 2022 and approximately $4 million during the first quarter of fiscal 2023.</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and expenditure requirements for the next 12 months.</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cash provided by operating activities for the nine months ended December 31, 2021, was $18.2 million, as compared with net cash used of $14.9 million in the nine months ended December 31, 2020. Cash provided by/used in operating activities is affected by:</w:t>
      </w:r>
    </w:p>
    <w:p>
      <w:pPr>
        <w:spacing w:after="0" w:line="8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net loss;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depreciation and amortization;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amortization associated with deferred sales commissions, debt discount and issuance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 associated with stock-based compensation;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working capital accounts, particularly in the timing of collections from receivable and payments of obligations</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the nine months ended December 31, 2021, net cash provided by operating activities was primarily related to non-cash operating expenses, including:</w:t>
      </w:r>
    </w:p>
    <w:p>
      <w:pPr>
        <w:spacing w:after="0" w:line="29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stock-based compensation expense of $106.2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depreciation and amortization of $34.1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amortization of the debt discount of $13.8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lease expenses of $10.2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amounts were partially offset by:</w:t>
      </w:r>
    </w:p>
    <w:p>
      <w:pPr>
        <w:spacing w:after="0" w:line="11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net loss of $129.8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cash outflows from sales commissions of $25.6 million.</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cash used in investing activities was $30.1 million in the nine months ended December 31, 2021, as compared with $27.1 million in the nine months ended December 31, 2020. The cash used in investing activities during the nine months ended December 31, 2021, was primarily related to:</w:t>
      </w:r>
    </w:p>
    <w:p>
      <w:pPr>
        <w:spacing w:after="0" w:line="8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capitalized internal-use software development costs of $15.6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purchases of investments of $65.1 million, partially offset by $53.5 million of proceeds from maturities and sales of investments.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financing activities was $100.0 million in the nine months ended December 31, 2021, as compared with $5.9 million in the nine months ended December 31, 2020. Cash provided by financing activities for the nine months ended December 31, 2021 was primarily related to the net proceeds from the issuance of convertible debt and common stock under employee stock plans of $$134.6 million and $10.6 million, respectively, partially offset by common stock repurchase of $45.0 million.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&amp; ESTIMATES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There have been no significant changes during the three months ended December 31, 2021, to our critical accounting policies and estimates previously disclosed in our Form 10-K for the fiscal year ended March 31,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For a discussion of recently adopted accounting pronouncements and recent accounting pronouncements not yet adopted, refer to Note 2,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Unaudited Condensed Consolidated Financial Statements included in this Quarterly Report.</w:t>
      </w:r>
    </w:p>
    <w:p>
      <w:pPr>
        <w:spacing w:after="0" w:line="51" w:lineRule="exact"/>
        <w:rPr>
          <w:sz w:val="20"/>
          <w:szCs w:val="20"/>
          <w:color w:val="auto"/>
        </w:rPr>
      </w:pPr>
    </w:p>
    <w:p>
      <w:pPr>
        <w:ind w:right="4940"/>
        <w:spacing w:after="0" w:line="40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had cash, cash equivalents, restricted cash, and investments totaling $260.5 million as of December 31, 2021.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utilize external investment managers who adhere to the guidelines of our investment policy. A hypothetical 10% change in interest rates would not have a material impact on the value of our cash, cash equivalents, or available-for-sale investments.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2021, the Company had $500.0 million or aggregate principal amount of convertible senior notes outstanding, which had an estimated fair value was $495.8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for the three and nine months ended December 31, 2021. As our foreign operations expand, our results may be more impacted by fluctuations in the exchange rates of the currencies in which we do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Effectiveness of Disclosure Controls and Procedures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December 31,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third quarter of fiscal year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information set forth in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under the heading “Legal Proceedings” in the Notes to Unaudited Condensed Consolidated Financial Statements included in this Quarterly Report is incorporated by reference in response to this item.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our most recent Annual Report on Form 10-K under the heading “Risk Factors” and updated in Part II, Item 1A of our Quarterly Report on Form 10-Q for the fiscal quarter ended September 30, 2021, under the heading “Risk Factors,” which are incorporated by reference in this quarterly report. Additional risks and uncertainties not presently known to us or that we currently deem immaterial may also affect our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all of the anticipated benefits of the acquisition of Fuze.</w:t>
      </w:r>
    </w:p>
    <w:p>
      <w:pPr>
        <w:spacing w:after="0" w:line="133"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 success of our acquisition of Fuze will depend, in part, on our ability to realize the anticipated growth opportunities and synergies from combining the businesses of our company and Fuze. Our ability to realize these anticipated benefits, and the timing of this realization, depend upon a number of factors and future events, many of which we and Fuze, individually or collectively, cannot control. These factors and events include:</w:t>
      </w:r>
    </w:p>
    <w:p>
      <w:pPr>
        <w:spacing w:after="0" w:line="80" w:lineRule="exact"/>
        <w:rPr>
          <w:sz w:val="20"/>
          <w:szCs w:val="20"/>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successfully and timely integrate Fuze’s business and operations with ours;</w:t>
      </w:r>
    </w:p>
    <w:p>
      <w:pPr>
        <w:spacing w:after="0" w:line="234" w:lineRule="exact"/>
        <w:rPr>
          <w:rFonts w:ascii="Arial" w:cs="Arial" w:eastAsia="Arial" w:hAnsi="Arial"/>
          <w:sz w:val="16"/>
          <w:szCs w:val="16"/>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obtaining and maintaining intellectual property rights relating to Fuze technology;</w:t>
      </w:r>
    </w:p>
    <w:p>
      <w:pPr>
        <w:spacing w:after="0" w:line="234" w:lineRule="exact"/>
        <w:rPr>
          <w:rFonts w:ascii="Arial" w:cs="Arial" w:eastAsia="Arial" w:hAnsi="Arial"/>
          <w:sz w:val="16"/>
          <w:szCs w:val="16"/>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retaining and attracting key employees;</w:t>
      </w:r>
    </w:p>
    <w:p>
      <w:pPr>
        <w:spacing w:after="0" w:line="234" w:lineRule="exact"/>
        <w:rPr>
          <w:rFonts w:ascii="Arial" w:cs="Arial" w:eastAsia="Arial" w:hAnsi="Arial"/>
          <w:sz w:val="16"/>
          <w:szCs w:val="16"/>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reaction of Fuze’s customers, business partners and competitors to the acquisition;</w:t>
      </w:r>
    </w:p>
    <w:p>
      <w:pPr>
        <w:spacing w:after="0" w:line="234" w:lineRule="exact"/>
        <w:rPr>
          <w:rFonts w:ascii="Arial" w:cs="Arial" w:eastAsia="Arial" w:hAnsi="Arial"/>
          <w:sz w:val="16"/>
          <w:szCs w:val="16"/>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consolidating corporate and administrative functions; and</w:t>
      </w:r>
    </w:p>
    <w:p>
      <w:pPr>
        <w:spacing w:after="0" w:line="234" w:lineRule="exact"/>
        <w:rPr>
          <w:rFonts w:ascii="Arial" w:cs="Arial" w:eastAsia="Arial" w:hAnsi="Arial"/>
          <w:sz w:val="16"/>
          <w:szCs w:val="16"/>
          <w:color w:val="auto"/>
        </w:rPr>
      </w:pPr>
    </w:p>
    <w:p>
      <w:pPr>
        <w:ind w:left="700" w:hanging="9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minimizing the diversion of management’s attention from ongoing business concerns.</w:t>
      </w:r>
    </w:p>
    <w:p>
      <w:pPr>
        <w:spacing w:after="0" w:line="11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cannot assure you that any of the foregoing factors will not have an adverse effect on our business, financial condition and prospects. Acquisitions involve risks, including inaccurate assessment of undisclosed, contingent or other liabilities or problems. Following the completion of the acquisition, the surviving corporation possesses not only all of the assets, but also all of the liabilities of Fuze. It is possible that undisclosed, contingent or other liabilities or problems may arise in the future of which we were previously unaware. These undisclosed liabilities could have an adverse effect on our business, financial condition and prospects.</w:t>
      </w:r>
    </w:p>
    <w:p>
      <w:pPr>
        <w:spacing w:after="0" w:line="7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If the selling stockholders immediately sell their shares of our common stock received in the acquisition, they could cause our common stock price to decline.</w:t>
      </w:r>
    </w:p>
    <w:p>
      <w:pPr>
        <w:spacing w:after="0" w:line="6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sale and issuance of our common stock in connection with the Fuze acquisition could have the effect of depressing the market price for our common stock, through dilution of earnings per share or otherwise. Once the registration statement, of which this prospectus is a part, is declared effective, all of the shares of common stock (aside from the “holdback” shares and shares pursuant to the payment of certain management carveout bonuses) sold and issued to the former security holders of Fuze in connection with the closing of the acquisition will be available for resale in the public market, subject to potential forfeiture or a right of repurchase under certain conditions.</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many of the former security holders of Fuze may decide not to hold the shares of our common stock they will receive in the acquisition. Other former security holders of Fuze, such as funds with limitations on their permitted holdings of stock in individual issuers, may be required to sell the shares of our common stock that they receive in the acquisition. Such sales of our common stock could have the effect of depressing the market price for our common stock and may take place promptly following the sale and issuance of the common stock to the former security holders of Fuze. 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acquisition. Any dilution of, or delay of any accretion to, our earnings per share could cause the price of shares of our common stock to decline or grow at a reduced rate. These sales may also make it more difficult for us to sell equity securities in the future at a time and at a price that we deem appropriate to raise funds through future offerings of our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provides information relating to our purchases of equity securities for the third quarter of fiscal year 2022:</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240" w:type="dxa"/>
            <w:vAlign w:val="bottom"/>
            <w:tcBorders>
              <w:top w:val="single" w:sz="8" w:color="auto"/>
              <w:left w:val="single" w:sz="8" w:color="auto"/>
              <w:right w:val="single" w:sz="8" w:color="auto"/>
            </w:tcBorders>
          </w:tcPr>
          <w:p>
            <w:pPr>
              <w:ind w:left="860"/>
              <w:spacing w:after="0" w:line="175" w:lineRule="exact"/>
              <w:rPr>
                <w:sz w:val="20"/>
                <w:szCs w:val="20"/>
                <w:color w:val="auto"/>
              </w:rPr>
            </w:pPr>
            <w:r>
              <w:rPr>
                <w:rFonts w:ascii="Arial" w:cs="Arial" w:eastAsia="Arial" w:hAnsi="Arial"/>
                <w:sz w:val="16"/>
                <w:szCs w:val="16"/>
                <w:b w:val="1"/>
                <w:bCs w:val="1"/>
                <w:color w:val="auto"/>
              </w:rPr>
              <w:t>Period</w:t>
            </w:r>
          </w:p>
        </w:tc>
        <w:tc>
          <w:tcPr>
            <w:tcW w:w="22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w:t>
            </w:r>
          </w:p>
        </w:tc>
        <w:tc>
          <w:tcPr>
            <w:tcW w:w="12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7"/>
              </w:rPr>
              <w:t>(b)</w:t>
            </w:r>
          </w:p>
        </w:tc>
        <w:tc>
          <w:tcPr>
            <w:tcW w:w="224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(c)</w:t>
            </w:r>
          </w:p>
        </w:tc>
        <w:tc>
          <w:tcPr>
            <w:tcW w:w="31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(d)</w:t>
            </w: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Total Number of Shares (or</w:t>
            </w:r>
          </w:p>
        </w:tc>
        <w:tc>
          <w:tcPr>
            <w:tcW w:w="12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Average Price</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Total Number of Shares (or</w:t>
            </w:r>
          </w:p>
        </w:tc>
        <w:tc>
          <w:tcPr>
            <w:tcW w:w="3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Maximum Number (or Approximate</w:t>
            </w: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Units) Purchased</w:t>
            </w:r>
          </w:p>
        </w:tc>
        <w:tc>
          <w:tcPr>
            <w:tcW w:w="12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9"/>
              </w:rPr>
              <w:t>Paid per Share</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Units) Purchased as Part of</w:t>
            </w:r>
          </w:p>
        </w:tc>
        <w:tc>
          <w:tcPr>
            <w:tcW w:w="3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Dollar Value) of Shares (or Units) that</w:t>
            </w: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(or Unit)</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310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b w:val="1"/>
                <w:bCs w:val="1"/>
                <w:color w:val="auto"/>
              </w:rPr>
              <w:t>May Yet Be Purchased Under the Plans</w:t>
            </w:r>
          </w:p>
        </w:tc>
      </w:tr>
      <w:tr>
        <w:trPr>
          <w:trHeight w:val="215"/>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r>
      <w:tr>
        <w:trPr>
          <w:trHeight w:val="172"/>
        </w:trPr>
        <w:tc>
          <w:tcPr>
            <w:tcW w:w="224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6"/>
                <w:szCs w:val="16"/>
                <w:color w:val="auto"/>
              </w:rPr>
              <w:t>October 1, 2021-October 31,</w:t>
            </w:r>
          </w:p>
        </w:tc>
        <w:tc>
          <w:tcPr>
            <w:tcW w:w="22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100" w:type="dxa"/>
            <w:vAlign w:val="bottom"/>
            <w:tcBorders>
              <w:right w:val="single" w:sz="8" w:color="auto"/>
            </w:tcBorders>
          </w:tcPr>
          <w:p>
            <w:pPr>
              <w:spacing w:after="0"/>
              <w:rPr>
                <w:sz w:val="14"/>
                <w:szCs w:val="14"/>
                <w:color w:val="auto"/>
              </w:rPr>
            </w:pPr>
          </w:p>
        </w:tc>
      </w:tr>
      <w:tr>
        <w:trPr>
          <w:trHeight w:val="198"/>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2021</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174"/>
        </w:trPr>
        <w:tc>
          <w:tcPr>
            <w:tcW w:w="22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November 1, 2021-November</w:t>
            </w:r>
          </w:p>
        </w:tc>
        <w:tc>
          <w:tcPr>
            <w:tcW w:w="22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spacing w:after="0"/>
              <w:rPr>
                <w:sz w:val="15"/>
                <w:szCs w:val="15"/>
                <w:color w:val="auto"/>
              </w:rPr>
            </w:pPr>
          </w:p>
        </w:tc>
      </w:tr>
      <w:tr>
        <w:trPr>
          <w:trHeight w:val="198"/>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31, 2021</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174"/>
        </w:trPr>
        <w:tc>
          <w:tcPr>
            <w:tcW w:w="22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December 1, 2021-December</w:t>
            </w:r>
          </w:p>
        </w:tc>
        <w:tc>
          <w:tcPr>
            <w:tcW w:w="22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spacing w:after="0"/>
              <w:rPr>
                <w:sz w:val="15"/>
                <w:szCs w:val="15"/>
                <w:color w:val="auto"/>
              </w:rPr>
            </w:pPr>
          </w:p>
        </w:tc>
      </w:tr>
      <w:tr>
        <w:trPr>
          <w:trHeight w:val="198"/>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31, 2021</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2,340,000</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$19.20</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2,340,000</w:t>
            </w: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209"/>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2,340,000</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$19.20</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2,340,000</w:t>
            </w: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bl>
    <w:p>
      <w:pPr>
        <w:spacing w:after="0" w:line="33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On December 8, 2021, the Company announced its commitment to repurchasing approximately $45 million of its common stock from certain qualified investors in connection with its issuance of $137.5 million in additional aggregate principal amount of its currently outstanding 0.50% Convertible Senior Notes due 2024 in a private placement to such investors. No shares remain to be purchased under this program.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82" w:right="5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20" w:type="dxa"/>
            <w:vAlign w:val="bottom"/>
            <w:gridSpan w:val="9"/>
            <w:vMerge w:val="restart"/>
          </w:tcPr>
          <w:p>
            <w:pPr>
              <w:ind w:left="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w w:val="98"/>
              </w:rPr>
              <w:t>2.1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15"/>
          </w:tcPr>
          <w:p>
            <w:pPr>
              <w:spacing w:after="0" w:line="170" w:lineRule="exact"/>
              <w:rPr>
                <w:rFonts w:ascii="Arial" w:cs="Arial" w:eastAsia="Arial" w:hAnsi="Arial"/>
                <w:sz w:val="16"/>
                <w:szCs w:val="16"/>
                <w:color w:val="0000FF"/>
              </w:rPr>
            </w:pPr>
            <w:hyperlink r:id="rId43">
              <w:r>
                <w:rPr>
                  <w:rFonts w:ascii="Arial" w:cs="Arial" w:eastAsia="Arial" w:hAnsi="Arial"/>
                  <w:sz w:val="16"/>
                  <w:szCs w:val="16"/>
                  <w:color w:val="0000FF"/>
                </w:rPr>
                <w:t>Agreement and Plan of Merger, dated as of November 30, 2021, by and among 8x8, Inc., Eagle Merger Sub, LLC, Fuze, Inc. and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43">
              <w:r>
                <w:rPr>
                  <w:rFonts w:ascii="Arial" w:cs="Arial" w:eastAsia="Arial" w:hAnsi="Arial"/>
                  <w:sz w:val="16"/>
                  <w:szCs w:val="16"/>
                  <w:color w:val="0000FF"/>
                </w:rPr>
                <w:t>Shareholder Representative Services LLC, as the Seller Agent (incorporated by reference to Exhibit 2.1 to the Current Report on</w:t>
              </w:r>
            </w:hyperlink>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43">
              <w:r>
                <w:rPr>
                  <w:rFonts w:ascii="Arial" w:cs="Arial" w:eastAsia="Arial" w:hAnsi="Arial"/>
                  <w:sz w:val="16"/>
                  <w:szCs w:val="16"/>
                  <w:color w:val="0000FF"/>
                </w:rPr>
                <w:t>Form 8-K filed December 1, 2021).</w:t>
              </w:r>
            </w:hyperlink>
          </w:p>
        </w:tc>
        <w:tc>
          <w:tcPr>
            <w:tcW w:w="3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r:id="rId44">
              <w:r>
                <w:rPr>
                  <w:rFonts w:ascii="Arial" w:cs="Arial" w:eastAsia="Arial" w:hAnsi="Arial"/>
                  <w:sz w:val="16"/>
                  <w:szCs w:val="16"/>
                  <w:color w:val="0000FF"/>
                </w:rPr>
                <w:t>Restated Certificate of Incorporation of Registrant, dated August 22, 2012 (incorporated by reference to Exhibit 3.1 to the Annual</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44">
              <w:r>
                <w:rPr>
                  <w:rFonts w:ascii="Arial" w:cs="Arial" w:eastAsia="Arial" w:hAnsi="Arial"/>
                  <w:sz w:val="16"/>
                  <w:szCs w:val="16"/>
                  <w:color w:val="0000FF"/>
                </w:rPr>
                <w:t>Report on Form 10-K filed May 27,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5"/>
          </w:tcPr>
          <w:p>
            <w:pPr>
              <w:spacing w:after="0"/>
              <w:rPr>
                <w:rFonts w:ascii="Arial" w:cs="Arial" w:eastAsia="Arial" w:hAnsi="Arial"/>
                <w:sz w:val="16"/>
                <w:szCs w:val="16"/>
                <w:color w:val="0000FF"/>
              </w:rPr>
            </w:pPr>
            <w:hyperlink r:id="rId45">
              <w:r>
                <w:rPr>
                  <w:rFonts w:ascii="Arial" w:cs="Arial" w:eastAsia="Arial" w:hAnsi="Arial"/>
                  <w:sz w:val="16"/>
                  <w:szCs w:val="16"/>
                  <w:color w:val="0000FF"/>
                </w:rPr>
                <w:t>Amended and Restated By-Laws of 8x8, Inc. (incorporated by reference to Exhibit 3.2 to the Current Report on Form 8-K filed July 28,</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45">
              <w:r>
                <w:rPr>
                  <w:rFonts w:ascii="Arial" w:cs="Arial" w:eastAsia="Arial" w:hAnsi="Arial"/>
                  <w:sz w:val="16"/>
                  <w:szCs w:val="16"/>
                  <w:color w:val="0000FF"/>
                  <w:w w:val="96"/>
                </w:rPr>
                <w:t>2015).</w:t>
              </w:r>
            </w:hyperlink>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r:id="rId46">
              <w:r>
                <w:rPr>
                  <w:rFonts w:ascii="Arial" w:cs="Arial" w:eastAsia="Arial" w:hAnsi="Arial"/>
                  <w:sz w:val="16"/>
                  <w:szCs w:val="16"/>
                  <w:color w:val="0000FF"/>
                </w:rPr>
                <w:t>Indenture, dated as of February 19, 2019, between 8x8, Inc. and Wilmington Trust, National Association, as trustee (including form of</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46">
              <w:r>
                <w:rPr>
                  <w:rFonts w:ascii="Arial" w:cs="Arial" w:eastAsia="Arial" w:hAnsi="Arial"/>
                  <w:sz w:val="16"/>
                  <w:szCs w:val="16"/>
                  <w:color w:val="0000FF"/>
                </w:rPr>
                <w:t>Note) (incorporated by reference to Exhibit 4.1 to the Current Report on Form 8-K filed February 19, 2019).</w:t>
              </w:r>
            </w:hyperlink>
          </w:p>
        </w:tc>
        <w:tc>
          <w:tcPr>
            <w:tcW w:w="20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Chief Executive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34">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Chief Financial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35">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w:anchor="page36">
              <w:r>
                <w:rPr>
                  <w:rFonts w:ascii="Arial" w:cs="Arial" w:eastAsia="Arial" w:hAnsi="Arial"/>
                  <w:sz w:val="16"/>
                  <w:szCs w:val="16"/>
                  <w:color w:val="0000FF"/>
                  <w:w w:val="99"/>
                </w:rPr>
                <w:t>Oxley Act of 2002.</w:t>
              </w:r>
            </w:hyperlink>
          </w:p>
        </w:tc>
        <w:tc>
          <w:tcPr>
            <w:tcW w:w="832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5"/>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w:anchor="page37">
              <w:r>
                <w:rPr>
                  <w:rFonts w:ascii="Arial" w:cs="Arial" w:eastAsia="Arial" w:hAnsi="Arial"/>
                  <w:sz w:val="16"/>
                  <w:szCs w:val="16"/>
                  <w:color w:val="0000FF"/>
                  <w:w w:val="98"/>
                </w:rPr>
                <w:t>Act of 2002.</w:t>
              </w:r>
            </w:hyperlink>
          </w:p>
        </w:tc>
        <w:tc>
          <w:tcPr>
            <w:tcW w:w="8740" w:type="dxa"/>
            <w:vAlign w:val="bottom"/>
            <w:tcBorders>
              <w:top w:val="single" w:sz="8" w:color="0000FF"/>
            </w:tcBorders>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0" w:right="20" w:hanging="998"/>
        <w:spacing w:after="0" w:line="211" w:lineRule="auto"/>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the 8x8, Inc. Quarterly Report on Form 10-Q for the quarter ended June 30, 2021, formatted in iXBRL (Inline eXtensible Business Reporting Language):</w:t>
      </w:r>
    </w:p>
    <w:p>
      <w:pPr>
        <w:jc w:val="both"/>
        <w:ind w:left="1600" w:right="20"/>
        <w:spacing w:after="0" w:line="218" w:lineRule="auto"/>
        <w:rPr>
          <w:rFonts w:ascii="Arial" w:cs="Arial" w:eastAsia="Arial" w:hAnsi="Arial"/>
          <w:sz w:val="16"/>
          <w:szCs w:val="16"/>
          <w:color w:val="auto"/>
        </w:rPr>
      </w:pPr>
      <w:r>
        <w:rPr>
          <w:rFonts w:ascii="Arial" w:cs="Arial" w:eastAsia="Arial" w:hAnsi="Arial"/>
          <w:sz w:val="16"/>
          <w:szCs w:val="16"/>
          <w:color w:val="auto"/>
        </w:rPr>
        <w:t>(i) Condensed Consolidated Balance Sheets as of September 30, 2021 and March 31, 2021; (ii) Condensed Consolidated Statements of Operations for the three and six months ended September 30, 2021 and 2020; (iii) Condensed Consolidated Statements of Comprehensive Loss for the three and six months ended September 30, 2021 and 2020; (iv) Condensed Consolidated Statements of Stockholders' Equity for the three and six months ended September 30, 2021 and 2020; (v) Condensed Consolidated Statements of Cash Flows for the six months ended June 30, 2021 and 2020; and (vi) notes to unaudited condensed consolidated financial statements.</w:t>
      </w:r>
    </w:p>
    <w:p>
      <w:pPr>
        <w:spacing w:after="0" w:line="23" w:lineRule="exact"/>
        <w:rPr>
          <w:sz w:val="20"/>
          <w:szCs w:val="20"/>
          <w:color w:val="auto"/>
        </w:rPr>
      </w:pPr>
    </w:p>
    <w:p>
      <w:pPr>
        <w:ind w:left="20" w:right="3700" w:firstLine="582"/>
        <w:spacing w:after="0" w:line="493" w:lineRule="auto"/>
        <w:tabs>
          <w:tab w:leader="none" w:pos="1586"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0346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360" w:hanging="33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3, 2022</w:t>
      </w:r>
    </w:p>
    <w:p>
      <w:pPr>
        <w:spacing w:after="0" w:line="1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8X8, INC.</w:t>
      </w:r>
    </w:p>
    <w:p>
      <w:pPr>
        <w:spacing w:after="0" w:line="30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10795</wp:posOffset>
            </wp:positionV>
            <wp:extent cx="3865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Samuel Wilson</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Chief Financial Officer</w:t>
      </w:r>
    </w:p>
    <w:p>
      <w:pPr>
        <w:ind w:left="51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82"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David Sipes, certify that:</w:t>
      </w:r>
    </w:p>
    <w:p>
      <w:pPr>
        <w:spacing w:after="0" w:line="117" w:lineRule="exact"/>
        <w:rPr>
          <w:sz w:val="20"/>
          <w:szCs w:val="20"/>
          <w:color w:val="auto"/>
        </w:rPr>
      </w:pPr>
    </w:p>
    <w:p>
      <w:pPr>
        <w:ind w:left="360" w:hanging="19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900" w:hanging="328"/>
        <w:spacing w:after="0" w:line="342" w:lineRule="auto"/>
        <w:tabs>
          <w:tab w:leader="none" w:pos="65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2022</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1834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Samuel Wilson, certify that:</w:t>
      </w:r>
    </w:p>
    <w:p>
      <w:pPr>
        <w:spacing w:after="0" w:line="117" w:lineRule="exact"/>
        <w:rPr>
          <w:sz w:val="20"/>
          <w:szCs w:val="20"/>
          <w:color w:val="auto"/>
        </w:rPr>
      </w:pPr>
    </w:p>
    <w:p>
      <w:pPr>
        <w:ind w:left="360" w:hanging="19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00" w:right="40" w:hanging="168"/>
        <w:spacing w:after="0" w:line="263" w:lineRule="auto"/>
        <w:tabs>
          <w:tab w:leader="none" w:pos="4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00" w:right="20" w:hanging="168"/>
        <w:spacing w:after="0" w:line="263" w:lineRule="auto"/>
        <w:tabs>
          <w:tab w:leader="none" w:pos="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00" w:right="100" w:hanging="168"/>
        <w:spacing w:after="0" w:line="308" w:lineRule="auto"/>
        <w:tabs>
          <w:tab w:leader="none" w:pos="4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500" w:right="140" w:hanging="168"/>
        <w:spacing w:after="0" w:line="263" w:lineRule="auto"/>
        <w:tabs>
          <w:tab w:leader="none" w:pos="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59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ectPr>
          <w:pgSz w:w="11900" w:h="16838" w:orient="portrait"/>
          <w:cols w:equalWidth="0" w:num="1">
            <w:col w:w="11240"/>
          </w:cols>
          <w:pgMar w:left="320" w:top="113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December 31, 2021,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2022</w:t>
      </w:r>
    </w:p>
    <w:p>
      <w:pPr>
        <w:spacing w:after="0" w:line="33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December 31, 2021,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2022</w:t>
      </w:r>
    </w:p>
    <w:p>
      <w:pPr>
        <w:spacing w:after="0" w:line="34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3" Type="http://schemas.openxmlformats.org/officeDocument/2006/relationships/hyperlink" Target="https://www.sec.gov/ix?doc=/Archives/edgar/data/1023731/000102373121000260/eght-20211130.htm" TargetMode="External"/><Relationship Id="rId44" Type="http://schemas.openxmlformats.org/officeDocument/2006/relationships/hyperlink" Target="https://www.sec.gov/Archives/edgar/data/1023731/000113626113000259/exhibit3-1.pdf" TargetMode="External"/><Relationship Id="rId45" Type="http://schemas.openxmlformats.org/officeDocument/2006/relationships/hyperlink" Target="https://www.sec.gov/Archives/edgar/data/1023731/000113626115000219/exh3-2.htm" TargetMode="External"/><Relationship Id="rId46" Type="http://schemas.openxmlformats.org/officeDocument/2006/relationships/hyperlink" Target="https://www.sec.gov/Archives/edgar/data/1023731/000102373119000021/executedindenture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2022-02-03T15:14:47Z</dcterms:created>
  <dcterms:modified xsi:type="dcterms:W3CDTF">2022-02-03T15:14:47Z</dcterms:modified>
</cp:coreProperties>
</file>