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3327.xml.htm"/>
      <w:bookmarkStart w:id="1" w:name="kswkform4_17859633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Gleeson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65,533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296,130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The entire award shall vest in full on the earlier of (a) the one-year anniversary of the date of grant, or (b) the date of the next annual meeting of the Issuers stockholders, in each case, subject to the Reporting Persons continued service to the Issuer through the applicable vesting date. The award is also subject to a deferral election by the Reporting Person and shares will not be issued until the designated deferred settlement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Attorney-in-Fact for Alison Gleeson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554"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3473</Characters>
  <CharactersWithSpaces>4052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