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As filed with the Securities and Exchange Commission on August 11, 2026</w:t>
      </w:r>
    </w:p>
    <w:p>
      <w:pPr>
        <w:pStyle w:val="TextBody"/>
        <w:bidi w:val="0"/>
        <w:spacing w:lineRule="auto" w:line="288" w:before="0" w:after="240"/>
        <w:jc w:val="right"/>
        <w:rPr>
          <w:rFonts w:ascii="Archivo;sans-serif" w:hAnsi="Archivo;sans-serif"/>
          <w:b/>
          <w:color w:val="000000"/>
          <w:sz w:val="20"/>
        </w:rPr>
      </w:pPr>
      <w:r>
        <w:rPr>
          <w:rFonts w:ascii="Archivo;sans-serif" w:hAnsi="Archivo;sans-serif"/>
          <w:b/>
          <w:color w:val="000000"/>
          <w:sz w:val="20"/>
        </w:rPr>
        <w:t>Registration No. 333- _____</w:t>
      </w:r>
    </w:p>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UNITED STATES</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SECURITIES AND EXCHANGE COMMISSION</w:t>
      </w:r>
    </w:p>
    <w:p>
      <w:pPr>
        <w:pStyle w:val="TextBody"/>
        <w:bidi w:val="0"/>
        <w:spacing w:lineRule="auto" w:line="288" w:before="0" w:after="60"/>
        <w:jc w:val="center"/>
        <w:rPr>
          <w:rFonts w:ascii="Archivo;sans-serif" w:hAnsi="Archivo;sans-serif"/>
          <w:b/>
          <w:color w:val="000000"/>
          <w:sz w:val="20"/>
        </w:rPr>
      </w:pPr>
      <w:r>
        <w:rPr>
          <w:rFonts w:ascii="Archivo;sans-serif" w:hAnsi="Archivo;sans-serif"/>
          <w:b/>
          <w:color w:val="000000"/>
          <w:sz w:val="20"/>
        </w:rPr>
        <w:t>Washington, D.C. 20549</w:t>
      </w:r>
    </w:p>
    <w:tbl>
      <w:tblPr>
        <w:tblW w:w="2544" w:type="dxa"/>
        <w:jc w:val="center"/>
        <w:tblInd w:w="0" w:type="dxa"/>
        <w:tblLayout w:type="fixed"/>
        <w:tblCellMar>
          <w:top w:w="28" w:type="dxa"/>
          <w:left w:w="28" w:type="dxa"/>
          <w:bottom w:w="28" w:type="dxa"/>
          <w:right w:w="28" w:type="dxa"/>
        </w:tblCellMar>
      </w:tblPr>
      <w:tblGrid>
        <w:gridCol w:w="124"/>
        <w:gridCol w:w="109"/>
        <w:gridCol w:w="109"/>
        <w:gridCol w:w="380"/>
        <w:gridCol w:w="380"/>
        <w:gridCol w:w="381"/>
        <w:gridCol w:w="229"/>
        <w:gridCol w:w="229"/>
        <w:gridCol w:w="2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160"/>
              <w:jc w:val="right"/>
              <w:rPr>
                <w:rFonts w:ascii="Archivo;sans-serif" w:hAnsi="Archivo;sans-serif"/>
                <w:b/>
                <w:color w:val="000000"/>
                <w:sz w:val="32"/>
              </w:rPr>
            </w:pPr>
            <w:r>
              <w:rPr>
                <w:rFonts w:ascii="Archivo;sans-serif" w:hAnsi="Archivo;sans-serif"/>
                <w:b/>
                <w:color w:val="000000"/>
                <w:sz w:val="32"/>
              </w:rPr>
              <w:t>FORM</w:t>
            </w:r>
          </w:p>
        </w:tc>
        <w:tc>
          <w:tcPr>
            <w:tcW w:w="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60" w:after="160"/>
              <w:jc w:val="left"/>
              <w:rPr>
                <w:rFonts w:ascii="Archivo;sans-serif" w:hAnsi="Archivo;sans-serif"/>
                <w:b/>
                <w:color w:val="000000"/>
                <w:sz w:val="32"/>
              </w:rPr>
            </w:pPr>
            <w:r>
              <w:rPr>
                <w:rFonts w:ascii="Archivo;sans-serif" w:hAnsi="Archivo;sans-serif"/>
                <w:b/>
                <w:color w:val="000000"/>
                <w:sz w:val="32"/>
              </w:rPr>
              <w:t>S-8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chivo;sans-serif" w:hAnsi="Archivo;sans-serif"/>
          <w:b/>
          <w:color w:val="000000"/>
          <w:sz w:val="28"/>
        </w:rPr>
        <w:br/>
        <w:t>REGISTRATION STATEMENT</w:t>
      </w:r>
      <w:r>
        <w:rPr>
          <w:rFonts w:ascii="Archivo;sans-serif" w:hAnsi="Archivo;sans-serif"/>
          <w:b w:val="false"/>
          <w:color w:val="000000"/>
          <w:sz w:val="20"/>
        </w:rPr>
        <w:br/>
      </w:r>
      <w:r>
        <w:rPr>
          <w:rFonts w:ascii="Archivo;sans-serif" w:hAnsi="Archivo;sans-serif"/>
          <w:b w:val="false"/>
          <w:i/>
          <w:color w:val="000000"/>
          <w:sz w:val="20"/>
        </w:rPr>
        <w:t>UNDER</w:t>
        <w:br/>
        <w:t>THE SECURITIES ACT OF 1933</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center"/>
        <w:rPr/>
      </w:pPr>
      <w:r>
        <w:rPr/>
        <w:drawing>
          <wp:inline distT="0" distB="0" distL="0" distR="0">
            <wp:extent cx="174307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800100"/>
                    </a:xfrm>
                    <a:prstGeom prst="rect">
                      <a:avLst/>
                    </a:prstGeom>
                  </pic:spPr>
                </pic:pic>
              </a:graphicData>
            </a:graphic>
          </wp:inline>
        </w:drawing>
      </w:r>
    </w:p>
    <w:p>
      <w:pPr>
        <w:pStyle w:val="TextBody"/>
        <w:bidi w:val="0"/>
        <w:spacing w:lineRule="auto" w:line="288" w:before="0" w:after="0"/>
        <w:jc w:val="center"/>
        <w:rPr/>
      </w:pPr>
      <w:r>
        <w:rPr>
          <w:rFonts w:ascii="Archivo;sans-serif" w:hAnsi="Archivo;sans-serif"/>
          <w:b/>
          <w:color w:val="000000"/>
          <w:sz w:val="28"/>
        </w:rPr>
        <w:t>8x8, INC.</w:t>
      </w:r>
      <w:r>
        <w:rPr>
          <w:rFonts w:ascii="Archivo;sans-serif" w:hAnsi="Archivo;sans-serif"/>
          <w:b w:val="false"/>
          <w:color w:val="000000"/>
          <w:sz w:val="20"/>
        </w:rPr>
        <w:br/>
      </w:r>
      <w:r>
        <w:rPr>
          <w:rFonts w:ascii="Archivo;sans-serif" w:hAnsi="Archivo;sans-serif"/>
          <w:b w:val="false"/>
          <w:color w:val="000000"/>
          <w:sz w:val="16"/>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862" w:type="dxa"/>
        <w:jc w:val="center"/>
        <w:tblInd w:w="0" w:type="dxa"/>
        <w:tblLayout w:type="fixed"/>
        <w:tblCellMar>
          <w:top w:w="28" w:type="dxa"/>
          <w:left w:w="28" w:type="dxa"/>
          <w:bottom w:w="28" w:type="dxa"/>
          <w:right w:w="28" w:type="dxa"/>
        </w:tblCellMar>
      </w:tblPr>
      <w:tblGrid>
        <w:gridCol w:w="1868"/>
        <w:gridCol w:w="1640"/>
        <w:gridCol w:w="1652"/>
        <w:gridCol w:w="109"/>
        <w:gridCol w:w="109"/>
        <w:gridCol w:w="109"/>
        <w:gridCol w:w="988"/>
        <w:gridCol w:w="988"/>
        <w:gridCol w:w="1399"/>
      </w:tblGrid>
      <w:tr>
        <w:trPr/>
        <w:tc>
          <w:tcPr>
            <w:tcW w:w="186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77-0142404</w:t>
            </w:r>
          </w:p>
        </w:tc>
      </w:tr>
      <w:tr>
        <w:trPr/>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(State or Other Jurisdiction of Incorporation or Organization)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6"/>
              </w:rPr>
            </w:pPr>
            <w:r>
              <w:rPr>
                <w:rFonts w:ascii="Archivo;sans-serif" w:hAnsi="Archivo;sans-serif"/>
                <w:b w:val="false"/>
                <w:color w:val="000000"/>
                <w:sz w:val="16"/>
              </w:rPr>
              <w:t>(I.R.S. Employer Identification Number)</w:t>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 xml:space="preserve">675 Creekside Way </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Campbell, CA 95008</w:t>
      </w:r>
    </w:p>
    <w:tbl>
      <w:tblPr>
        <w:tblW w:w="3420" w:type="dxa"/>
        <w:jc w:val="center"/>
        <w:tblInd w:w="0" w:type="dxa"/>
        <w:tblLayout w:type="fixed"/>
        <w:tblCellMar>
          <w:top w:w="28" w:type="dxa"/>
          <w:left w:w="28" w:type="dxa"/>
          <w:bottom w:w="28" w:type="dxa"/>
          <w:right w:w="28" w:type="dxa"/>
        </w:tblCellMar>
      </w:tblPr>
      <w:tblGrid>
        <w:gridCol w:w="1094"/>
        <w:gridCol w:w="963"/>
        <w:gridCol w:w="1363"/>
      </w:tblGrid>
      <w:tr>
        <w:trP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(Address of principal executive offices)</w:t>
            </w:r>
          </w:p>
        </w:tc>
      </w:tr>
    </w:tbl>
    <w:p>
      <w:pPr>
        <w:pStyle w:val="TextBody"/>
        <w:bidi w:val="0"/>
        <w:spacing w:lineRule="auto" w:line="288" w:before="60" w:after="283"/>
        <w:jc w:val="center"/>
        <w:rPr>
          <w:rFonts w:ascii="Archivo;sans-serif" w:hAnsi="Archivo;sans-serif"/>
          <w:b/>
          <w:color w:val="000000"/>
          <w:sz w:val="20"/>
        </w:rPr>
      </w:pPr>
      <w:r>
        <w:rPr>
          <w:rFonts w:ascii="Archivo;sans-serif" w:hAnsi="Archivo;sans-serif"/>
          <w:b/>
          <w:color w:val="000000"/>
          <w:sz w:val="20"/>
        </w:rPr>
        <w:t xml:space="preserve">(408) 727-1885 </w:t>
      </w:r>
    </w:p>
    <w:tbl>
      <w:tblPr>
        <w:tblW w:w="4605" w:type="dxa"/>
        <w:jc w:val="center"/>
        <w:tblInd w:w="0" w:type="dxa"/>
        <w:tblLayout w:type="fixed"/>
        <w:tblCellMar>
          <w:top w:w="28" w:type="dxa"/>
          <w:left w:w="28" w:type="dxa"/>
          <w:bottom w:w="28" w:type="dxa"/>
          <w:right w:w="28" w:type="dxa"/>
        </w:tblCellMar>
      </w:tblPr>
      <w:tblGrid>
        <w:gridCol w:w="1474"/>
        <w:gridCol w:w="1294"/>
        <w:gridCol w:w="1837"/>
      </w:tblGrid>
      <w:tr>
        <w:trPr/>
        <w:tc>
          <w:tcPr>
            <w:tcW w:w="147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60" w:after="60"/>
              <w:jc w:val="center"/>
              <w:rPr>
                <w:rFonts w:ascii="Archivo;sans-serif" w:hAnsi="Archivo;sans-serif"/>
                <w:b w:val="false"/>
                <w:color w:val="000000"/>
                <w:sz w:val="16"/>
              </w:rPr>
            </w:pPr>
            <w:r>
              <w:rPr>
                <w:rFonts w:ascii="Archivo;sans-serif" w:hAnsi="Archivo;sans-serif"/>
                <w:b w:val="false"/>
                <w:color w:val="000000"/>
                <w:sz w:val="16"/>
              </w:rPr>
              <w:t>(Registrant's telephone number, including area code)</w:t>
            </w:r>
          </w:p>
        </w:tc>
      </w:tr>
    </w:tbl>
    <w:p>
      <w:pPr>
        <w:pStyle w:val="TextBody"/>
        <w:bidi w:val="0"/>
        <w:spacing w:lineRule="auto" w:line="288" w:before="120" w:after="160"/>
        <w:jc w:val="center"/>
        <w:rPr>
          <w:rFonts w:ascii="Archivo;sans-serif" w:hAnsi="Archivo;sans-serif"/>
          <w:b/>
          <w:color w:val="000000"/>
          <w:sz w:val="20"/>
        </w:rPr>
      </w:pPr>
      <w:r>
        <w:rPr>
          <w:rFonts w:ascii="Archivo;sans-serif" w:hAnsi="Archivo;sans-serif"/>
          <w:b/>
          <w:color w:val="000000"/>
          <w:sz w:val="20"/>
        </w:rPr>
        <w:t>8x8, Inc. Amended and Restated 2022 Equity Incentive Plan</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8x8, Inc. Amended and Restated 2017 New Employee Inducement Incentive Plan</w:t>
      </w:r>
    </w:p>
    <w:p>
      <w:pPr>
        <w:pStyle w:val="TextBody"/>
        <w:bidi w:val="0"/>
        <w:spacing w:before="0" w:after="0"/>
        <w:jc w:val="center"/>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(Full Title of the Plans)</w:t>
      </w:r>
    </w:p>
    <w:p>
      <w:pPr>
        <w:pStyle w:val="TextBody"/>
        <w:bidi w:val="0"/>
        <w:spacing w:before="0" w:after="0"/>
        <w:jc w:val="center"/>
        <w:rPr/>
      </w:pPr>
      <w:r>
        <w:rPr/>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Laurence Denny</w:t>
        <w:br/>
        <w:t>Secretary and Chief Legal Officer</w:t>
        <w:br/>
        <w:t>8x8, Inc.</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675 Creekside Way</w:t>
      </w:r>
    </w:p>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Campbell, CA 95008</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(Name and Address of Agent For Service)</w:t>
      </w:r>
    </w:p>
    <w:p>
      <w:pPr>
        <w:pStyle w:val="TextBody"/>
        <w:bidi w:val="0"/>
        <w:spacing w:lineRule="auto" w:line="288" w:before="120" w:after="283"/>
        <w:jc w:val="center"/>
        <w:rPr>
          <w:rFonts w:ascii="Archivo;sans-serif" w:hAnsi="Archivo;sans-serif"/>
          <w:b/>
          <w:color w:val="000000"/>
          <w:sz w:val="20"/>
        </w:rPr>
      </w:pPr>
      <w:r>
        <w:rPr>
          <w:rFonts w:ascii="Archivo;sans-serif" w:hAnsi="Archivo;sans-serif"/>
          <w:b/>
          <w:color w:val="000000"/>
          <w:sz w:val="20"/>
        </w:rPr>
        <w:t xml:space="preserve">(408) 727-1885 </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chivo;sans-serif" w:hAnsi="Archivo;sans-serif"/>
          <w:b/>
          <w:color w:val="000000"/>
          <w:sz w:val="20"/>
        </w:rPr>
      </w:pPr>
      <w:r>
        <w:rPr>
          <w:rFonts w:ascii="Archivo;sans-serif" w:hAnsi="Archivo;sans-serif"/>
          <w:b/>
          <w:color w:val="000000"/>
          <w:sz w:val="20"/>
        </w:rPr>
        <w:t>(Telephone Number, Including Area Code, of Agent For Service)</w:t>
      </w:r>
    </w:p>
    <w:p>
      <w:pPr>
        <w:pStyle w:val="TextBody"/>
        <w:bidi w:val="0"/>
        <w:spacing w:before="0" w:after="0"/>
        <w:jc w:val="center"/>
        <w:rPr/>
      </w:pPr>
      <w:r>
        <w:rPr/>
      </w:r>
    </w:p>
    <w:p>
      <w:pPr>
        <w:pStyle w:val="TextBody"/>
        <w:bidi w:val="0"/>
        <w:spacing w:lineRule="auto" w:line="288" w:before="0" w:after="60"/>
        <w:ind w:left="0" w:right="0" w:firstLine="720"/>
        <w:jc w:val="left"/>
        <w:rPr>
          <w:rFonts w:ascii="Archivo;sans-serif" w:hAnsi="Archivo;sans-serif"/>
          <w:b w:val="false"/>
          <w:color w:val="000000"/>
          <w:sz w:val="18"/>
        </w:rPr>
      </w:pPr>
      <w:r>
        <w:rPr>
          <w:rFonts w:ascii="Archivo;sans-serif" w:hAnsi="Archivo;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6419" w:type="dxa"/>
        <w:jc w:val="left"/>
        <w:tblInd w:w="0" w:type="dxa"/>
        <w:tblLayout w:type="fixed"/>
        <w:tblCellMar>
          <w:top w:w="28" w:type="dxa"/>
          <w:left w:w="28" w:type="dxa"/>
          <w:bottom w:w="28" w:type="dxa"/>
          <w:right w:w="28" w:type="dxa"/>
        </w:tblCellMar>
      </w:tblPr>
      <w:tblGrid>
        <w:gridCol w:w="124"/>
        <w:gridCol w:w="109"/>
        <w:gridCol w:w="109"/>
        <w:gridCol w:w="709"/>
        <w:gridCol w:w="709"/>
        <w:gridCol w:w="711"/>
        <w:gridCol w:w="109"/>
        <w:gridCol w:w="109"/>
        <w:gridCol w:w="109"/>
        <w:gridCol w:w="109"/>
        <w:gridCol w:w="109"/>
        <w:gridCol w:w="109"/>
        <w:gridCol w:w="864"/>
        <w:gridCol w:w="864"/>
        <w:gridCol w:w="86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18"/>
              </w:rPr>
            </w:pPr>
            <w:r>
              <w:rPr>
                <w:rFonts w:ascii="Archivo;sans-serif" w:hAnsi="Archivo;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Archivo;sans-serif" w:hAnsi="Archivo;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chivo;sans-serif" w:hAnsi="Archivo;sans-serif"/>
          <w:b/>
          <w:color w:val="000000"/>
          <w:sz w:val="20"/>
        </w:rPr>
      </w:pPr>
      <w:r>
        <w:rPr>
          <w:rFonts w:ascii="Archivo;sans-serif" w:hAnsi="Archivo;sans-serif"/>
          <w:b/>
          <w:color w:val="000000"/>
          <w:sz w:val="20"/>
        </w:rPr>
        <w:t xml:space="preserve">INFORMATION REQUIRED PURSUANT </w:t>
      </w:r>
    </w:p>
    <w:p>
      <w:pPr>
        <w:pStyle w:val="TextBody"/>
        <w:bidi w:val="0"/>
        <w:spacing w:lineRule="auto" w:line="288" w:before="0" w:after="160"/>
        <w:jc w:val="center"/>
        <w:rPr>
          <w:rFonts w:ascii="Archivo;sans-serif" w:hAnsi="Archivo;sans-serif"/>
          <w:b/>
          <w:color w:val="000000"/>
          <w:sz w:val="20"/>
        </w:rPr>
      </w:pPr>
      <w:r>
        <w:rPr>
          <w:rFonts w:ascii="Archivo;sans-serif" w:hAnsi="Archivo;sans-serif"/>
          <w:b/>
          <w:color w:val="000000"/>
          <w:sz w:val="20"/>
        </w:rPr>
        <w:t xml:space="preserve">TO GENERAL INSTRUCTION E TO FORM S-8 </w:t>
      </w:r>
    </w:p>
    <w:p>
      <w:pPr>
        <w:pStyle w:val="TextBody"/>
        <w:bidi w:val="0"/>
        <w:spacing w:lineRule="auto" w:line="288" w:before="0" w:after="160"/>
        <w:jc w:val="both"/>
        <w:rPr>
          <w:rFonts w:ascii="Archivo;sans-serif" w:hAnsi="Archivo;sans-serif"/>
          <w:b/>
          <w:color w:val="000000"/>
          <w:sz w:val="20"/>
        </w:rPr>
      </w:pPr>
      <w:r>
        <w:rPr>
          <w:rFonts w:ascii="Archivo;sans-serif" w:hAnsi="Archivo;sans-serif"/>
          <w:b/>
          <w:color w:val="000000"/>
          <w:sz w:val="20"/>
        </w:rPr>
        <w:t xml:space="preserve">Explanatory Note </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This Registration Statement on Form S-8 (this "Registration Statement") is being filed by 8x8, Inc. (the “Registrant”) to register (i) an additional 8,338,000 shares of its common stock, $0.001 par value per share (the “Common Stock”), under the Registrant’s Amended and Restated 2022 Equity Incentive Plan (the “2022 Plan”), pursuant to an amendment to the 2022 Plan authorized and approved by the stockholders of the Registrant on August 3, 2026 and (ii) up to an additional 1,200,000 shares of Common Stock under the Registrant's Amended and Restated 2017 New Employee Inducement Incentive Plan.</w:t>
      </w:r>
    </w:p>
    <w:p>
      <w:pPr>
        <w:pStyle w:val="TextBody"/>
        <w:bidi w:val="0"/>
        <w:spacing w:lineRule="auto" w:line="288" w:before="0" w:after="160"/>
        <w:jc w:val="both"/>
        <w:rPr/>
      </w:pPr>
      <w:r>
        <w:rPr>
          <w:rFonts w:ascii="Archivo;sans-serif" w:hAnsi="Archivo;sans-serif"/>
          <w:b w:val="false"/>
          <w:color w:val="000000"/>
          <w:sz w:val="20"/>
        </w:rPr>
        <w:t xml:space="preserve">This Registration Statement hereby incorporates by reference the contents of the Registrant’s applicable previous registration statements on Form S-8 filed with the Securities and Exchange Commission (the "SEC") (File Nos. </w:t>
      </w:r>
      <w:hyperlink r:id="rId3">
        <w:r>
          <w:rPr>
            <w:rStyle w:val="InternetLink"/>
            <w:rFonts w:ascii="Archivo;sans-serif" w:hAnsi="Archivo;sans-serif"/>
            <w:b w:val="false"/>
            <w:color w:val="0000FF"/>
            <w:sz w:val="20"/>
            <w:u w:val="single"/>
          </w:rPr>
          <w:t>333-221290</w:t>
        </w:r>
      </w:hyperlink>
      <w:r>
        <w:rPr>
          <w:rFonts w:ascii="Archivo;sans-serif" w:hAnsi="Archivo;sans-serif"/>
          <w:b w:val="false"/>
          <w:color w:val="000000"/>
          <w:sz w:val="20"/>
        </w:rPr>
        <w:t xml:space="preserve">, </w:t>
      </w:r>
      <w:hyperlink r:id="rId4">
        <w:r>
          <w:rPr>
            <w:rStyle w:val="InternetLink"/>
            <w:rFonts w:ascii="Archivo;sans-serif" w:hAnsi="Archivo;sans-serif"/>
            <w:b w:val="false"/>
            <w:color w:val="0000FF"/>
            <w:sz w:val="20"/>
            <w:u w:val="single"/>
          </w:rPr>
          <w:t>333-225388</w:t>
        </w:r>
      </w:hyperlink>
      <w:r>
        <w:rPr>
          <w:rFonts w:ascii="Archivo;sans-serif" w:hAnsi="Archivo;sans-serif"/>
          <w:b w:val="false"/>
          <w:color w:val="000000"/>
          <w:sz w:val="20"/>
        </w:rPr>
        <w:t xml:space="preserve">, </w:t>
      </w:r>
      <w:hyperlink r:id="rId5">
        <w:r>
          <w:rPr>
            <w:rStyle w:val="InternetLink"/>
            <w:rFonts w:ascii="Archivo;sans-serif" w:hAnsi="Archivo;sans-serif"/>
            <w:b w:val="false"/>
            <w:color w:val="0000FF"/>
            <w:sz w:val="20"/>
            <w:u w:val="single"/>
          </w:rPr>
          <w:t>333-251489</w:t>
        </w:r>
      </w:hyperlink>
      <w:r>
        <w:rPr>
          <w:rFonts w:ascii="Archivo;sans-serif" w:hAnsi="Archivo;sans-serif"/>
          <w:b w:val="false"/>
          <w:color w:val="000000"/>
          <w:sz w:val="20"/>
        </w:rPr>
        <w:t xml:space="preserve">, </w:t>
      </w:r>
      <w:hyperlink r:id="rId6">
        <w:r>
          <w:rPr>
            <w:rStyle w:val="InternetLink"/>
            <w:rFonts w:ascii="Archivo;sans-serif" w:hAnsi="Archivo;sans-serif"/>
            <w:b w:val="false"/>
            <w:color w:val="0000FF"/>
            <w:sz w:val="20"/>
            <w:u w:val="single"/>
          </w:rPr>
          <w:t>333-262510</w:t>
        </w:r>
      </w:hyperlink>
      <w:r>
        <w:rPr>
          <w:rFonts w:ascii="Archivo;sans-serif" w:hAnsi="Archivo;sans-serif"/>
          <w:b w:val="false"/>
          <w:color w:val="000000"/>
          <w:sz w:val="20"/>
        </w:rPr>
        <w:t xml:space="preserve">, </w:t>
      </w:r>
      <w:hyperlink r:id="rId7">
        <w:r>
          <w:rPr>
            <w:rStyle w:val="InternetLink"/>
            <w:rFonts w:ascii="Archivo;sans-serif" w:hAnsi="Archivo;sans-serif"/>
            <w:b w:val="false"/>
            <w:color w:val="0000FF"/>
            <w:sz w:val="20"/>
            <w:u w:val="single"/>
          </w:rPr>
          <w:t>333-266171</w:t>
        </w:r>
      </w:hyperlink>
      <w:r>
        <w:rPr>
          <w:rFonts w:ascii="Archivo;sans-serif" w:hAnsi="Archivo;sans-serif"/>
          <w:b w:val="false"/>
          <w:color w:val="000000"/>
          <w:sz w:val="20"/>
        </w:rPr>
        <w:t xml:space="preserve">, </w:t>
      </w:r>
      <w:hyperlink r:id="rId8">
        <w:r>
          <w:rPr>
            <w:rStyle w:val="InternetLink"/>
            <w:rFonts w:ascii="Archivo;sans-serif" w:hAnsi="Archivo;sans-serif"/>
            <w:b w:val="false"/>
            <w:color w:val="0000FF"/>
            <w:sz w:val="20"/>
            <w:u w:val="single"/>
          </w:rPr>
          <w:t>333-272218</w:t>
        </w:r>
      </w:hyperlink>
      <w:r>
        <w:rPr>
          <w:rFonts w:ascii="Archivo;sans-serif" w:hAnsi="Archivo;sans-serif"/>
          <w:b w:val="false"/>
          <w:color w:val="000000"/>
          <w:sz w:val="20"/>
        </w:rPr>
        <w:t xml:space="preserve">, </w:t>
      </w:r>
      <w:hyperlink r:id="rId9">
        <w:r>
          <w:rPr>
            <w:rStyle w:val="InternetLink"/>
            <w:rFonts w:ascii="Archivo;sans-serif" w:hAnsi="Archivo;sans-serif"/>
            <w:b w:val="false"/>
            <w:color w:val="0000FF"/>
            <w:sz w:val="20"/>
            <w:u w:val="single"/>
          </w:rPr>
          <w:t>333-276829</w:t>
        </w:r>
      </w:hyperlink>
      <w:r>
        <w:rPr>
          <w:rFonts w:ascii="Archivo;sans-serif" w:hAnsi="Archivo;sans-serif"/>
          <w:b w:val="false"/>
          <w:color w:val="000000"/>
          <w:sz w:val="20"/>
        </w:rPr>
        <w:t xml:space="preserve">, </w:t>
      </w:r>
      <w:hyperlink r:id="rId10">
        <w:r>
          <w:rPr>
            <w:rStyle w:val="InternetLink"/>
            <w:rFonts w:ascii="Archivo;sans-serif" w:hAnsi="Archivo;sans-serif"/>
            <w:b w:val="false"/>
            <w:color w:val="0000FF"/>
            <w:sz w:val="20"/>
            <w:u w:val="single"/>
          </w:rPr>
          <w:t>333-281756</w:t>
        </w:r>
      </w:hyperlink>
      <w:r>
        <w:rPr>
          <w:rFonts w:ascii="Archivo;sans-serif" w:hAnsi="Archivo;sans-serif"/>
          <w:b w:val="false"/>
          <w:color w:val="000000"/>
          <w:sz w:val="20"/>
        </w:rPr>
        <w:t xml:space="preserve">, </w:t>
      </w:r>
      <w:hyperlink r:id="rId11">
        <w:r>
          <w:rPr>
            <w:rStyle w:val="InternetLink"/>
            <w:rFonts w:ascii="Archivo;sans-serif" w:hAnsi="Archivo;sans-serif"/>
            <w:b w:val="false"/>
            <w:color w:val="0000FF"/>
            <w:sz w:val="20"/>
            <w:u w:val="single"/>
          </w:rPr>
          <w:t>333-284709</w:t>
        </w:r>
      </w:hyperlink>
      <w:r>
        <w:rPr>
          <w:rFonts w:ascii="Archivo;sans-serif" w:hAnsi="Archivo;sans-serif"/>
          <w:b w:val="false"/>
          <w:color w:val="000000"/>
          <w:sz w:val="20"/>
        </w:rPr>
        <w:t xml:space="preserve">, and </w:t>
      </w:r>
      <w:hyperlink r:id="rId12">
        <w:r>
          <w:rPr>
            <w:rStyle w:val="InternetLink"/>
            <w:rFonts w:ascii="Archivo;sans-serif" w:hAnsi="Archivo;sans-serif"/>
            <w:b w:val="false"/>
            <w:color w:val="0000FF"/>
            <w:sz w:val="20"/>
            <w:u w:val="single"/>
          </w:rPr>
          <w:t>333-289224</w:t>
        </w:r>
      </w:hyperlink>
      <w:r>
        <w:rPr>
          <w:rFonts w:ascii="Archivo;sans-serif" w:hAnsi="Archivo;sans-serif"/>
          <w:b w:val="false"/>
          <w:color w:val="000000"/>
          <w:sz w:val="20"/>
        </w:rPr>
        <w:t>). Collectively, all prior registration statements referenced above are referred to herein as the “Prior Registration Statements.”</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This Registration Statement relates to securities of the same class as that to which the Prior Registration Statements relate and is submitted in accordance with Instruction E to Form S-8 regarding the registration of additional securities. Accordingly, the contents of the Prior Registration Statements are incorporated herein by reference and made part of this Registration Statement, except as amended hereby.</w:t>
      </w:r>
    </w:p>
    <w:p>
      <w:pPr>
        <w:pStyle w:val="TextBody"/>
        <w:bidi w:val="0"/>
        <w:spacing w:lineRule="auto" w:line="288" w:before="0" w:after="160"/>
        <w:jc w:val="center"/>
        <w:rPr>
          <w:rFonts w:ascii="Archivo;sans-serif" w:hAnsi="Archivo;sans-serif"/>
          <w:b/>
          <w:color w:val="000000"/>
          <w:sz w:val="20"/>
        </w:rPr>
      </w:pPr>
      <w:r>
        <w:rPr>
          <w:rFonts w:ascii="Archivo;sans-serif" w:hAnsi="Archivo;sans-serif"/>
          <w:b/>
          <w:color w:val="000000"/>
          <w:sz w:val="20"/>
        </w:rPr>
        <w:t>PART II</w:t>
      </w:r>
    </w:p>
    <w:p>
      <w:pPr>
        <w:pStyle w:val="TextBody"/>
        <w:bidi w:val="0"/>
        <w:spacing w:lineRule="auto" w:line="288" w:before="0" w:after="160"/>
        <w:jc w:val="both"/>
        <w:rPr>
          <w:rFonts w:ascii="Archivo;sans-serif" w:hAnsi="Archivo;sans-serif"/>
          <w:b/>
          <w:color w:val="000000"/>
          <w:sz w:val="20"/>
        </w:rPr>
      </w:pPr>
      <w:r>
        <w:rPr>
          <w:rFonts w:ascii="Archivo;sans-serif" w:hAnsi="Archivo;sans-serif"/>
          <w:b/>
          <w:color w:val="000000"/>
          <w:sz w:val="20"/>
        </w:rPr>
        <w:t>INFORMATION REQUIRED IN THE REGISTRATION STATEMENT</w:t>
      </w:r>
    </w:p>
    <w:p>
      <w:pPr>
        <w:pStyle w:val="TextBody"/>
        <w:bidi w:val="0"/>
        <w:spacing w:lineRule="auto" w:line="288" w:before="0" w:after="160"/>
        <w:jc w:val="both"/>
        <w:rPr>
          <w:rFonts w:ascii="Archivo;sans-serif" w:hAnsi="Archivo;sans-serif"/>
          <w:b/>
          <w:color w:val="000000"/>
          <w:sz w:val="20"/>
        </w:rPr>
      </w:pPr>
      <w:r>
        <w:rPr>
          <w:rFonts w:ascii="Archivo;sans-serif" w:hAnsi="Archivo;sans-serif"/>
          <w:b/>
          <w:color w:val="000000"/>
          <w:sz w:val="20"/>
        </w:rPr>
        <w:t>Item 3.    Incorporation of Documents by Reference.</w:t>
      </w:r>
    </w:p>
    <w:p>
      <w:pPr>
        <w:pStyle w:val="TextBody"/>
        <w:bidi w:val="0"/>
        <w:spacing w:lineRule="auto" w:line="288" w:before="0" w:after="160"/>
        <w:jc w:val="both"/>
        <w:rPr>
          <w:color w:val="000000"/>
        </w:rPr>
      </w:pPr>
      <w:r>
        <w:rPr>
          <w:color w:val="000000"/>
        </w:rPr>
        <w:t>    </w:t>
      </w:r>
      <w:r>
        <w:rPr>
          <w:rFonts w:ascii="Archivo;sans-serif" w:hAnsi="Archivo;sans-serif"/>
          <w:b w:val="false"/>
          <w:color w:val="000000"/>
          <w:sz w:val="20"/>
        </w:rPr>
        <w:t>The following documents filed by the Registrant with the SEC are hereby incorporated by reference in this Registration Statement:</w:t>
      </w:r>
    </w:p>
    <w:p>
      <w:pPr>
        <w:pStyle w:val="TextBody"/>
        <w:bidi w:val="0"/>
        <w:spacing w:lineRule="auto" w:line="288" w:before="0" w:after="160"/>
        <w:ind w:left="0" w:right="0" w:hanging="360"/>
        <w:jc w:val="both"/>
        <w:rPr/>
      </w:pPr>
      <w:r>
        <w:rPr>
          <w:rFonts w:ascii="Archivo;sans-serif" w:hAnsi="Archivo;sans-serif"/>
          <w:b w:val="false"/>
          <w:color w:val="000000"/>
          <w:sz w:val="20"/>
        </w:rPr>
        <w:t xml:space="preserve">1.The Registrant’s Annual Report on </w:t>
      </w:r>
      <w:hyperlink r:id="rId13">
        <w:r>
          <w:rPr>
            <w:rStyle w:val="InternetLink"/>
            <w:rFonts w:ascii="Archivo;sans-serif" w:hAnsi="Archivo;sans-serif"/>
            <w:b w:val="false"/>
            <w:color w:val="0000FF"/>
            <w:sz w:val="20"/>
            <w:u w:val="single"/>
          </w:rPr>
          <w:t>Form 10-K</w:t>
        </w:r>
      </w:hyperlink>
      <w:r>
        <w:rPr>
          <w:color w:val="000000"/>
        </w:rPr>
        <w:t xml:space="preserve"> </w:t>
      </w:r>
      <w:r>
        <w:rPr>
          <w:rFonts w:ascii="Archivo;sans-serif" w:hAnsi="Archivo;sans-serif"/>
          <w:b w:val="false"/>
          <w:color w:val="000000"/>
          <w:sz w:val="20"/>
        </w:rPr>
        <w:t>for the fiscal year ended March 31, 2026, filed with the SEC on May 22, 2026, including the portions of the Registrant’s proxy statement for the 2026 annual meeting of stockholders, filed with the SEC on June 24, 2026, incorporated by reference in Part III of the 2026 Annual Report on Form 10-K;</w:t>
      </w:r>
    </w:p>
    <w:p>
      <w:pPr>
        <w:pStyle w:val="TextBody"/>
        <w:bidi w:val="0"/>
        <w:spacing w:lineRule="auto" w:line="288" w:before="0" w:after="160"/>
        <w:ind w:left="0" w:right="0" w:hanging="360"/>
        <w:jc w:val="both"/>
        <w:rPr/>
      </w:pPr>
      <w:r>
        <w:rPr>
          <w:rFonts w:ascii="Archivo;sans-serif" w:hAnsi="Archivo;sans-serif"/>
          <w:b w:val="false"/>
          <w:color w:val="000000"/>
          <w:sz w:val="20"/>
        </w:rPr>
        <w:t xml:space="preserve">2.The Registrant’s Current Reports on Form 8-K filed with the SEC on </w:t>
      </w:r>
      <w:hyperlink r:id="rId14">
        <w:r>
          <w:rPr>
            <w:rStyle w:val="InternetLink"/>
            <w:rFonts w:ascii="Archivo;sans-serif" w:hAnsi="Archivo;sans-serif"/>
            <w:b w:val="false"/>
            <w:color w:val="0000FF"/>
            <w:sz w:val="20"/>
            <w:u w:val="single"/>
          </w:rPr>
          <w:t>May 19, 2026</w:t>
        </w:r>
      </w:hyperlink>
      <w:r>
        <w:rPr>
          <w:rFonts w:ascii="Archivo;sans-serif" w:hAnsi="Archivo;sans-serif"/>
          <w:b w:val="false"/>
          <w:color w:val="000000"/>
          <w:sz w:val="20"/>
        </w:rPr>
        <w:t xml:space="preserve">, </w:t>
      </w:r>
      <w:hyperlink r:id="rId15">
        <w:r>
          <w:rPr>
            <w:rStyle w:val="InternetLink"/>
            <w:rFonts w:ascii="Archivo;sans-serif" w:hAnsi="Archivo;sans-serif"/>
            <w:b w:val="false"/>
            <w:color w:val="0000FF"/>
            <w:sz w:val="20"/>
            <w:u w:val="single"/>
          </w:rPr>
          <w:t>June 23, 2026</w:t>
        </w:r>
      </w:hyperlink>
      <w:r>
        <w:rPr>
          <w:rFonts w:ascii="Archivo;sans-serif" w:hAnsi="Archivo;sans-serif"/>
          <w:b w:val="false"/>
          <w:color w:val="000000"/>
          <w:sz w:val="20"/>
        </w:rPr>
        <w:t xml:space="preserve">, </w:t>
      </w:r>
      <w:hyperlink r:id="rId16">
        <w:r>
          <w:rPr>
            <w:rStyle w:val="InternetLink"/>
            <w:rFonts w:ascii="Archivo;sans-serif" w:hAnsi="Archivo;sans-serif"/>
            <w:b w:val="false"/>
            <w:color w:val="0000FF"/>
            <w:sz w:val="20"/>
            <w:u w:val="single"/>
          </w:rPr>
          <w:t>July 30, 2026</w:t>
        </w:r>
      </w:hyperlink>
      <w:r>
        <w:rPr>
          <w:rFonts w:ascii="Archivo;sans-serif" w:hAnsi="Archivo;sans-serif"/>
          <w:b w:val="false"/>
          <w:color w:val="000000"/>
          <w:sz w:val="20"/>
        </w:rPr>
        <w:t xml:space="preserve">, </w:t>
      </w:r>
      <w:hyperlink r:id="rId17">
        <w:r>
          <w:rPr>
            <w:rStyle w:val="InternetLink"/>
            <w:rFonts w:ascii="Archivo;sans-serif" w:hAnsi="Archivo;sans-serif"/>
            <w:b w:val="false"/>
            <w:color w:val="0000FF"/>
            <w:sz w:val="20"/>
            <w:u w:val="single"/>
          </w:rPr>
          <w:t>August 3, 2026</w:t>
        </w:r>
      </w:hyperlink>
      <w:r>
        <w:rPr>
          <w:rFonts w:ascii="Archivo;sans-serif" w:hAnsi="Archivo;sans-serif"/>
          <w:b w:val="false"/>
          <w:color w:val="000000"/>
          <w:sz w:val="20"/>
        </w:rPr>
        <w:t xml:space="preserve">, </w:t>
      </w:r>
      <w:hyperlink r:id="rId18">
        <w:r>
          <w:rPr>
            <w:rStyle w:val="InternetLink"/>
            <w:rFonts w:ascii="Archivo;sans-serif" w:hAnsi="Archivo;sans-serif"/>
            <w:b w:val="false"/>
            <w:color w:val="0000FF"/>
            <w:sz w:val="20"/>
            <w:u w:val="single"/>
          </w:rPr>
          <w:t>August 4, 2026</w:t>
        </w:r>
      </w:hyperlink>
      <w:r>
        <w:rPr>
          <w:color w:val="000000"/>
        </w:rPr>
        <w:t xml:space="preserve"> </w:t>
      </w:r>
      <w:r>
        <w:rPr>
          <w:rFonts w:ascii="Archivo;sans-serif" w:hAnsi="Archivo;sans-serif"/>
          <w:b w:val="false"/>
          <w:color w:val="000000"/>
          <w:sz w:val="20"/>
        </w:rPr>
        <w:t xml:space="preserve">and </w:t>
      </w:r>
      <w:hyperlink r:id="rId19">
        <w:r>
          <w:rPr>
            <w:rStyle w:val="InternetLink"/>
            <w:rFonts w:ascii="Archivo;sans-serif" w:hAnsi="Archivo;sans-serif"/>
            <w:b w:val="false"/>
            <w:color w:val="0000FF"/>
            <w:sz w:val="20"/>
            <w:u w:val="single"/>
          </w:rPr>
          <w:t>August 6, 2026</w:t>
        </w:r>
      </w:hyperlink>
      <w:r>
        <w:rPr>
          <w:color w:val="000000"/>
        </w:rPr>
        <w:t xml:space="preserve"> </w:t>
      </w:r>
      <w:r>
        <w:rPr>
          <w:rFonts w:ascii="Archivo;sans-serif" w:hAnsi="Archivo;sans-serif"/>
          <w:b w:val="false"/>
          <w:color w:val="000000"/>
          <w:sz w:val="20"/>
        </w:rPr>
        <w:t xml:space="preserve">(on Form 8-K/A) </w:t>
      </w:r>
      <w:r>
        <w:rPr>
          <w:rFonts w:ascii="Archivo;sans-serif" w:hAnsi="Archivo;sans-serif"/>
          <w:b w:val="false"/>
          <w:color w:val="000000"/>
          <w:sz w:val="20"/>
          <w:shd w:fill="FFFFFF" w:val="clear"/>
        </w:rPr>
        <w:t>(but not any Item 2.02 or Exhibit 99.1 of such filings, which were furnished under applicable SEC rules rather than filed)</w:t>
      </w:r>
      <w:r>
        <w:rPr>
          <w:rFonts w:ascii="Archivo;sans-serif" w:hAnsi="Archivo;sans-serif"/>
          <w:b w:val="false"/>
          <w:color w:val="000000"/>
          <w:sz w:val="20"/>
        </w:rPr>
        <w:t>;</w:t>
      </w:r>
    </w:p>
    <w:p>
      <w:pPr>
        <w:pStyle w:val="TextBody"/>
        <w:bidi w:val="0"/>
        <w:spacing w:lineRule="auto" w:line="288" w:before="0" w:after="160"/>
        <w:ind w:left="0" w:right="0" w:hanging="360"/>
        <w:jc w:val="both"/>
        <w:rPr/>
      </w:pPr>
      <w:r>
        <w:rPr>
          <w:rFonts w:ascii="Archivo;sans-serif" w:hAnsi="Archivo;sans-serif"/>
          <w:b w:val="false"/>
          <w:color w:val="000000"/>
          <w:sz w:val="20"/>
        </w:rPr>
        <w:t xml:space="preserve">3.The Registrant's Quarterly Report on </w:t>
      </w:r>
      <w:hyperlink r:id="rId20">
        <w:r>
          <w:rPr>
            <w:rStyle w:val="InternetLink"/>
            <w:rFonts w:ascii="Archivo;sans-serif" w:hAnsi="Archivo;sans-serif"/>
            <w:b w:val="false"/>
            <w:color w:val="0000FF"/>
            <w:sz w:val="20"/>
            <w:u w:val="single"/>
          </w:rPr>
          <w:t>Form 10-Q</w:t>
        </w:r>
      </w:hyperlink>
      <w:r>
        <w:rPr>
          <w:color w:val="000000"/>
        </w:rPr>
        <w:t xml:space="preserve"> </w:t>
      </w:r>
      <w:r>
        <w:rPr>
          <w:rFonts w:ascii="Archivo;sans-serif" w:hAnsi="Archivo;sans-serif"/>
          <w:b w:val="false"/>
          <w:color w:val="000000"/>
          <w:sz w:val="20"/>
        </w:rPr>
        <w:t>for the quarter ended June 30, 2026, filed with the SEC on August 5, 2026; and</w:t>
      </w:r>
    </w:p>
    <w:p>
      <w:pPr>
        <w:pStyle w:val="TextBody"/>
        <w:bidi w:val="0"/>
        <w:spacing w:lineRule="auto" w:line="288" w:before="0" w:after="160"/>
        <w:ind w:left="0" w:right="0" w:hanging="360"/>
        <w:jc w:val="both"/>
        <w:rPr/>
      </w:pPr>
      <w:r>
        <w:rPr>
          <w:rFonts w:ascii="Archivo;sans-serif" w:hAnsi="Archivo;sans-serif"/>
          <w:b w:val="false"/>
          <w:color w:val="000000"/>
          <w:sz w:val="20"/>
        </w:rPr>
        <w:t xml:space="preserve">4.The description of the Registrant’s capital stock filed as </w:t>
      </w:r>
      <w:hyperlink r:id="rId21">
        <w:r>
          <w:rPr>
            <w:rStyle w:val="InternetLink"/>
            <w:rFonts w:ascii="Archivo;sans-serif" w:hAnsi="Archivo;sans-serif"/>
            <w:b w:val="false"/>
            <w:color w:val="0000FF"/>
            <w:sz w:val="20"/>
            <w:u w:val="single"/>
          </w:rPr>
          <w:t>Exhibit 4.1</w:t>
        </w:r>
      </w:hyperlink>
      <w:r>
        <w:rPr>
          <w:color w:val="000000"/>
        </w:rPr>
        <w:t xml:space="preserve"> </w:t>
      </w:r>
      <w:r>
        <w:rPr>
          <w:rFonts w:ascii="Archivo;sans-serif" w:hAnsi="Archivo;sans-serif"/>
          <w:b w:val="false"/>
          <w:color w:val="000000"/>
          <w:sz w:val="20"/>
        </w:rPr>
        <w:t xml:space="preserve">to its Annual Report on </w:t>
      </w:r>
      <w:hyperlink r:id="rId22">
        <w:r>
          <w:rPr>
            <w:rStyle w:val="InternetLink"/>
            <w:rFonts w:ascii="Archivo;sans-serif" w:hAnsi="Archivo;sans-serif"/>
            <w:b w:val="false"/>
            <w:color w:val="0000FF"/>
            <w:sz w:val="20"/>
            <w:u w:val="single"/>
          </w:rPr>
          <w:t>Form 10-K</w:t>
        </w:r>
      </w:hyperlink>
      <w:r>
        <w:rPr>
          <w:color w:val="000000"/>
        </w:rPr>
        <w:t xml:space="preserve"> </w:t>
      </w:r>
      <w:r>
        <w:rPr>
          <w:rFonts w:ascii="Archivo;sans-serif" w:hAnsi="Archivo;sans-serif"/>
          <w:b w:val="false"/>
          <w:color w:val="000000"/>
          <w:sz w:val="20"/>
        </w:rPr>
        <w:t>for the fiscal year ended March 31, 2026, filed with the SEC on May 22, 2026.</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In addition, all documents filed by the Registrant with the SEC pursuant to Sections 13(a), 13(c), 14 and 15(d) of the Securities Exchange Act of 1934, as amended, subsequent to the date of this Registration Statement and prior to the filing of a post-effective amendment, which indicates that all securities offered have been sold or which deregisters all of such securities then remaining unsold, are deemed to be incorporated by reference in this Registration Statement and to be a part hereof from the respective dates of filing of such documents. Any statement contained in this Registration Statement or in a document incorporated by reference shall be deemed modified or superseded to the extent that a statement contained in any subsequently filed document which also is or is deemed to be incorporated by reference herein or therein modifies or supersedes such statement. Any statement so modified or superseded shall not be deemed to constitute a part hereof, except as so modified or superseded.</w:t>
      </w:r>
    </w:p>
    <w:p>
      <w:pPr>
        <w:pStyle w:val="TextBody"/>
        <w:bidi w:val="0"/>
        <w:spacing w:lineRule="auto" w:line="288" w:before="0" w:after="160"/>
        <w:jc w:val="left"/>
        <w:rPr>
          <w:rFonts w:ascii="Archivo;sans-serif" w:hAnsi="Archivo;sans-serif"/>
          <w:b/>
          <w:color w:val="000000"/>
          <w:sz w:val="20"/>
        </w:rPr>
      </w:pPr>
      <w:r>
        <w:rPr>
          <w:rFonts w:ascii="Archivo;sans-serif" w:hAnsi="Archivo;sans-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467"/>
        <w:gridCol w:w="411"/>
        <w:gridCol w:w="413"/>
        <w:gridCol w:w="1353"/>
        <w:gridCol w:w="1353"/>
        <w:gridCol w:w="1358"/>
        <w:gridCol w:w="441"/>
        <w:gridCol w:w="441"/>
        <w:gridCol w:w="442"/>
        <w:gridCol w:w="353"/>
        <w:gridCol w:w="294"/>
        <w:gridCol w:w="267"/>
        <w:gridCol w:w="424"/>
        <w:gridCol w:w="424"/>
        <w:gridCol w:w="428"/>
        <w:gridCol w:w="388"/>
        <w:gridCol w:w="388"/>
        <w:gridCol w:w="560"/>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4" w:type="dxa"/>
            <w:gridSpan w:val="9"/>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Incorporated by Reference</w:t>
            </w:r>
          </w:p>
        </w:tc>
        <w:tc>
          <w:tcPr>
            <w:tcW w:w="133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40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Description</w:t>
            </w:r>
          </w:p>
        </w:tc>
        <w:tc>
          <w:tcPr>
            <w:tcW w:w="1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Company Form</w:t>
            </w:r>
          </w:p>
        </w:tc>
        <w:tc>
          <w:tcPr>
            <w:tcW w:w="9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Filing Date</w:t>
            </w:r>
          </w:p>
        </w:tc>
        <w:tc>
          <w:tcPr>
            <w:tcW w:w="12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Exhibit Number</w:t>
            </w:r>
          </w:p>
        </w:tc>
        <w:tc>
          <w:tcPr>
            <w:tcW w:w="133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chivo;sans-serif" w:hAnsi="Archivo;sans-serif"/>
                <w:b/>
                <w:color w:val="000000"/>
                <w:sz w:val="18"/>
              </w:rPr>
            </w:pPr>
            <w:r>
              <w:rPr>
                <w:rFonts w:ascii="Archivo;sans-serif" w:hAnsi="Archivo;sans-serif"/>
                <w:b/>
                <w:color w:val="000000"/>
                <w:sz w:val="18"/>
              </w:rPr>
              <w:t>Filed Herewith</w:t>
            </w:r>
          </w:p>
        </w:tc>
      </w:tr>
      <w:tr>
        <w:trPr/>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5.1</w:t>
            </w:r>
          </w:p>
        </w:tc>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ex51-sx8opinion.htm">
              <w:r>
                <w:rPr>
                  <w:rStyle w:val="InternetLink"/>
                  <w:rFonts w:ascii="Archivo;sans-serif" w:hAnsi="Archivo;sans-serif"/>
                  <w:b w:val="false"/>
                  <w:color w:val="0000FF"/>
                  <w:sz w:val="18"/>
                  <w:u w:val="single"/>
                </w:rPr>
                <w:t>Opinion of Skadden, Arps, Slate, Meagher &amp; Flom LLP</w:t>
              </w:r>
            </w:hyperlink>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Archivo;sans-serif" w:hAnsi="Archivo;sans-serif"/>
                  <w:b w:val="false"/>
                  <w:color w:val="0000FF"/>
                  <w:sz w:val="18"/>
                  <w:u w:val="single"/>
                </w:rPr>
                <w:t>8x8, Inc. Amended and Restated 2022 Equity Incentive Plan</w:t>
              </w:r>
            </w:hyperlink>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10-Q</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8/5/2026</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10.1</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10.2</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Archivo;sans-serif" w:hAnsi="Archivo;sans-serif"/>
                  <w:b w:val="false"/>
                  <w:color w:val="0000FF"/>
                  <w:sz w:val="18"/>
                  <w:u w:val="single"/>
                </w:rPr>
                <w:t>8x8, Inc. Amended and Restated 2017 New Employee Inducement Incentive Plan</w:t>
              </w:r>
            </w:hyperlink>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10-Q</w:t>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8/5/2026</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10.2</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23.1</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Consent of Skadden, Arps, Slate, Meagher and Flom (included in Exhibit 5.1)</w:t>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23.2</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232-consentofindependen.htm">
              <w:r>
                <w:rPr>
                  <w:rStyle w:val="InternetLink"/>
                  <w:rFonts w:ascii="Archivo;sans-serif" w:hAnsi="Archivo;sans-serif"/>
                  <w:b w:val="false"/>
                  <w:color w:val="0000FF"/>
                  <w:sz w:val="18"/>
                  <w:u w:val="single"/>
                </w:rPr>
                <w:t>Consent of Independent Registered Public Accounting Firm</w:t>
              </w:r>
            </w:hyperlink>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23.3</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233-consentofindependen.htm">
              <w:r>
                <w:rPr>
                  <w:rStyle w:val="InternetLink"/>
                  <w:rFonts w:ascii="Archivo;sans-serif" w:hAnsi="Archivo;sans-serif"/>
                  <w:b w:val="false"/>
                  <w:color w:val="0000FF"/>
                  <w:sz w:val="18"/>
                  <w:u w:val="single"/>
                </w:rPr>
                <w:t>Consent of Independent Registered Public Accounting Firm</w:t>
              </w:r>
            </w:hyperlink>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24.1</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chivo;sans-serif" w:hAnsi="Archivo;sans-serif"/>
                <w:b w:val="false"/>
                <w:color w:val="000000"/>
                <w:sz w:val="18"/>
              </w:rPr>
            </w:pPr>
            <w:r>
              <w:rPr>
                <w:rFonts w:ascii="Archivo;sans-serif" w:hAnsi="Archivo;sans-serif"/>
                <w:b w:val="false"/>
                <w:color w:val="000000"/>
                <w:sz w:val="18"/>
              </w:rPr>
              <w:t xml:space="preserve">Power of Attorney (included in signature page to this Registration Statement) </w:t>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107</w:t>
            </w:r>
          </w:p>
        </w:tc>
        <w:tc>
          <w:tcPr>
            <w:tcW w:w="40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filingfees.htm">
              <w:r>
                <w:rPr>
                  <w:rStyle w:val="InternetLink"/>
                  <w:rFonts w:ascii="Archivo;sans-serif" w:hAnsi="Archivo;sans-serif"/>
                  <w:b w:val="false"/>
                  <w:color w:val="0000FF"/>
                  <w:sz w:val="18"/>
                  <w:u w:val="single"/>
                </w:rPr>
                <w:t>Calculation of Filing Fee Table</w:t>
              </w:r>
            </w:hyperlink>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chivo;sans-serif" w:hAnsi="Archivo;sans-serif"/>
                <w:b w:val="false"/>
                <w:color w:val="000000"/>
                <w:sz w:val="18"/>
              </w:rPr>
            </w:pPr>
            <w:r>
              <w:rPr>
                <w:rFonts w:ascii="Archivo;sans-serif" w:hAnsi="Archivo;sans-serif"/>
                <w:b w:val="false"/>
                <w:color w:val="000000"/>
                <w:sz w:val="18"/>
              </w:rPr>
              <w:t>X</w:t>
            </w:r>
          </w:p>
        </w:tc>
      </w:tr>
    </w:tbl>
    <w:p>
      <w:pPr>
        <w:pStyle w:val="TextBody"/>
        <w:bidi w:val="0"/>
        <w:spacing w:before="0" w:after="0"/>
        <w:jc w:val="left"/>
        <w:rPr/>
      </w:pPr>
      <w:r>
        <w:rPr/>
      </w:r>
    </w:p>
    <w:p>
      <w:pPr>
        <w:pStyle w:val="TextBody"/>
        <w:bidi w:val="0"/>
        <w:spacing w:before="0" w:after="160"/>
        <w:ind w:left="0" w:right="0" w:hanging="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3215"/>
                <wp:effectExtent l="0" t="0" r="0" b="0"/>
                <wp:wrapNone/>
                <wp:docPr id="4" name="Frame3"/>
                <a:graphic xmlns:a="http://schemas.openxmlformats.org/drawingml/2006/main">
                  <a:graphicData uri="http://schemas.microsoft.com/office/word/2010/wordprocessingShape">
                    <wps:wsp>
                      <wps:cNvSpPr txBox="1"/>
                      <wps:spPr>
                        <a:xfrm>
                          <a:off x="0" y="0"/>
                          <a:ext cx="6480175" cy="323215"/>
                        </a:xfrm>
                        <a:prstGeom prst="rect"/>
                        <a:solidFill>
                          <a:srgbClr val="FFFFFF"/>
                        </a:solidFill>
                      </wps:spPr>
                      <wps:txbx>
                        <w:txbxContent>
                          <w:p>
                            <w:pPr>
                              <w:pStyle w:val="TextBody"/>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- 2 -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center"/>
        <w:rPr>
          <w:rFonts w:ascii="Archivo;sans-serif" w:hAnsi="Archivo;sans-serif"/>
          <w:b/>
          <w:color w:val="000000"/>
          <w:sz w:val="20"/>
        </w:rPr>
      </w:pPr>
      <w:r>
        <w:rPr>
          <w:rFonts w:ascii="Archivo;sans-serif" w:hAnsi="Archivo;sans-serif"/>
          <w:b/>
          <w:color w:val="000000"/>
          <w:sz w:val="20"/>
        </w:rPr>
        <w:t>SIGNATURES</w:t>
      </w:r>
    </w:p>
    <w:p>
      <w:pPr>
        <w:pStyle w:val="TextBody"/>
        <w:bidi w:val="0"/>
        <w:spacing w:lineRule="auto" w:line="288" w:before="0" w:after="240"/>
        <w:jc w:val="both"/>
        <w:rPr>
          <w:rFonts w:ascii="Archivo;sans-serif" w:hAnsi="Archivo;sans-serif"/>
          <w:b w:val="false"/>
          <w:color w:val="000000"/>
          <w:sz w:val="20"/>
        </w:rPr>
      </w:pPr>
      <w:r>
        <w:rPr>
          <w:rFonts w:ascii="Archivo;sans-serif" w:hAnsi="Archivo;sans-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Campbell, State of California, on the 11th day of August 2026.</w:t>
      </w:r>
    </w:p>
    <w:p>
      <w:pPr>
        <w:pStyle w:val="TextBody"/>
        <w:bidi w:val="0"/>
        <w:spacing w:lineRule="auto" w:line="288" w:before="0" w:after="240"/>
        <w:jc w:val="both"/>
        <w:rPr>
          <w:rFonts w:ascii="Archivo;sans-serif" w:hAnsi="Archivo;sans-serif"/>
          <w:b w:val="false"/>
          <w:color w:val="000000"/>
          <w:sz w:val="20"/>
        </w:rPr>
      </w:pPr>
      <w:r>
        <w:rPr>
          <w:rFonts w:ascii="Archivo;sans-serif" w:hAnsi="Archivo;sans-serif"/>
          <w:b w:val="false"/>
          <w:color w:val="000000"/>
          <w:sz w:val="20"/>
        </w:rPr>
        <w:t>8x8, Inc.</w:t>
      </w:r>
    </w:p>
    <w:p>
      <w:pPr>
        <w:pStyle w:val="TextBody"/>
        <w:bidi w:val="0"/>
        <w:spacing w:lineRule="auto" w:line="288" w:before="0" w:after="0"/>
        <w:jc w:val="both"/>
        <w:rPr/>
      </w:pPr>
      <w:r>
        <w:rPr>
          <w:rFonts w:ascii="Archivo;sans-serif" w:hAnsi="Archivo;sans-serif"/>
          <w:b w:val="false"/>
          <w:color w:val="000000"/>
          <w:sz w:val="20"/>
        </w:rPr>
        <w:t xml:space="preserve">By: </w:t>
      </w:r>
      <w:r>
        <w:rPr>
          <w:rFonts w:ascii="Archivo;sans-serif" w:hAnsi="Archivo;sans-serif"/>
          <w:b w:val="false"/>
          <w:color w:val="000000"/>
          <w:sz w:val="20"/>
          <w:u w:val="single"/>
        </w:rPr>
        <w:t>/s/ Samuel Wilson            </w:t>
      </w:r>
    </w:p>
    <w:p>
      <w:pPr>
        <w:pStyle w:val="TextBody"/>
        <w:bidi w:val="0"/>
        <w:spacing w:lineRule="auto" w:line="288" w:before="0" w:after="0"/>
        <w:jc w:val="both"/>
        <w:rPr>
          <w:rFonts w:ascii="Archivo;sans-serif" w:hAnsi="Archivo;sans-serif"/>
          <w:b w:val="false"/>
          <w:color w:val="000000"/>
          <w:sz w:val="20"/>
        </w:rPr>
      </w:pPr>
      <w:r>
        <w:rPr>
          <w:rFonts w:ascii="Archivo;sans-serif" w:hAnsi="Archivo;sans-serif"/>
          <w:b w:val="false"/>
          <w:color w:val="000000"/>
          <w:sz w:val="20"/>
        </w:rPr>
        <w:t>Samuel Wilson</w:t>
      </w:r>
    </w:p>
    <w:p>
      <w:pPr>
        <w:pStyle w:val="TextBody"/>
        <w:bidi w:val="0"/>
        <w:spacing w:lineRule="auto" w:line="288" w:before="0" w:after="0"/>
        <w:jc w:val="left"/>
        <w:rPr>
          <w:rFonts w:ascii="Archivo;sans-serif" w:hAnsi="Archivo;sans-serif"/>
          <w:b w:val="false"/>
          <w:color w:val="000000"/>
          <w:sz w:val="20"/>
        </w:rPr>
      </w:pPr>
      <w:r>
        <w:rPr>
          <w:rFonts w:ascii="Archivo;sans-serif" w:hAnsi="Archivo;sans-serif"/>
          <w:b w:val="false"/>
          <w:color w:val="000000"/>
          <w:sz w:val="20"/>
        </w:rPr>
        <w:t>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3215"/>
                <wp:effectExtent l="0" t="0" r="0" b="0"/>
                <wp:wrapNone/>
                <wp:docPr id="5" name="Frame4"/>
                <a:graphic xmlns:a="http://schemas.openxmlformats.org/drawingml/2006/main">
                  <a:graphicData uri="http://schemas.microsoft.com/office/word/2010/wordprocessingShape">
                    <wps:wsp>
                      <wps:cNvSpPr txBox="1"/>
                      <wps:spPr>
                        <a:xfrm>
                          <a:off x="0" y="0"/>
                          <a:ext cx="6480175" cy="323215"/>
                        </a:xfrm>
                        <a:prstGeom prst="rect"/>
                        <a:solidFill>
                          <a:srgbClr val="FFFFFF"/>
                        </a:solidFill>
                      </wps:spPr>
                      <wps:txbx>
                        <w:txbxContent>
                          <w:p>
                            <w:pPr>
                              <w:pStyle w:val="TextBody"/>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- 3 -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Archivo;sans-serif" w:hAnsi="Archivo;sans-serif"/>
          <w:b/>
          <w:color w:val="000000"/>
          <w:sz w:val="20"/>
        </w:rPr>
      </w:pPr>
      <w:r>
        <w:rPr>
          <w:rFonts w:ascii="Archivo;sans-serif" w:hAnsi="Archivo;sans-serif"/>
          <w:b/>
          <w:color w:val="000000"/>
          <w:sz w:val="20"/>
        </w:rPr>
        <w:t>POWER OF ATTORNEY</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KNOW ALL PERSONS BY THESE PRESENTS, that each person whose signature appears below hereby constitutes and appoints Samuel Wilson, Laurence Denny and Kevin Kraus, and each one of them, acting individually and without the other, as his or her true and lawful attorney-in-fact and agent, each with full power of substitution, for him and in his or her name, place and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or she might or could do in person, hereby ratifying and confirming all that each of said attorneys-in-fact or his substitute or substitutes may do or cause to be done by virtue hereof.</w:t>
      </w:r>
    </w:p>
    <w:p>
      <w:pPr>
        <w:pStyle w:val="TextBody"/>
        <w:bidi w:val="0"/>
        <w:spacing w:lineRule="auto" w:line="288" w:before="0" w:after="160"/>
        <w:ind w:left="0" w:right="0" w:firstLine="720"/>
        <w:jc w:val="both"/>
        <w:rPr>
          <w:rFonts w:ascii="Archivo;sans-serif" w:hAnsi="Archivo;sans-serif"/>
          <w:b w:val="false"/>
          <w:color w:val="000000"/>
          <w:sz w:val="20"/>
        </w:rPr>
      </w:pPr>
      <w:r>
        <w:rPr>
          <w:rFonts w:ascii="Archivo;sans-serif" w:hAnsi="Archivo;sans-serif"/>
          <w:b w:val="false"/>
          <w:color w:val="000000"/>
          <w:sz w:val="20"/>
        </w:rPr>
        <w:t>Pursuant to the requirements of the Securities Act of 1933, as amended, this Registration Statement has been signed by the following persons in the capacities and on the dates indicated.</w:t>
      </w:r>
    </w:p>
    <w:tbl>
      <w:tblPr>
        <w:tblW w:w="8323" w:type="dxa"/>
        <w:jc w:val="left"/>
        <w:tblInd w:w="0" w:type="dxa"/>
        <w:tblLayout w:type="fixed"/>
        <w:tblCellMar>
          <w:top w:w="28" w:type="dxa"/>
          <w:left w:w="28" w:type="dxa"/>
          <w:bottom w:w="28" w:type="dxa"/>
          <w:right w:w="28" w:type="dxa"/>
        </w:tblCellMar>
      </w:tblPr>
      <w:tblGrid>
        <w:gridCol w:w="912"/>
        <w:gridCol w:w="802"/>
        <w:gridCol w:w="805"/>
        <w:gridCol w:w="1355"/>
        <w:gridCol w:w="1355"/>
        <w:gridCol w:w="1370"/>
        <w:gridCol w:w="503"/>
        <w:gridCol w:w="503"/>
        <w:gridCol w:w="718"/>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chivo;sans-serif" w:hAnsi="Archivo;sans-serif"/>
                <w:b w:val="false"/>
                <w:color w:val="000000"/>
                <w:sz w:val="20"/>
                <w:u w:val="single"/>
              </w:rPr>
              <w:t>Signature</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u w:val="single"/>
              </w:rPr>
            </w:pPr>
            <w:r>
              <w:rPr>
                <w:rFonts w:ascii="Archivo;sans-serif" w:hAnsi="Archivo;sans-serif"/>
                <w:b w:val="false"/>
                <w:color w:val="000000"/>
                <w:sz w:val="20"/>
                <w:u w:val="single"/>
              </w:rPr>
              <w:t>Title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u w:val="single"/>
              </w:rPr>
            </w:pPr>
            <w:r>
              <w:rPr>
                <w:rFonts w:ascii="Archivo;sans-serif" w:hAnsi="Archivo;sans-serif"/>
                <w:b w:val="false"/>
                <w:color w:val="000000"/>
                <w:sz w:val="20"/>
                <w:u w:val="single"/>
              </w:rPr>
              <w:t>Date</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Samuel Wilson</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Samuel Wilson</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Chief Executive Officer and Director</w:t>
              <w:br/>
              <w:t>(Principal Executive Officer and Director)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Kevin Kraus</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Kevin Kraus</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Chief Financial Officer</w:t>
              <w:br/>
              <w:t>(Principal Financial Officer)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Colleen Martin-Garcia</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Colleen Martin-Garcia</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Chief Accounting Officer</w:t>
              <w:br/>
              <w:t>(Principal Accounting Officer)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Jaswinder Pal Singh</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Jaswinder Pal Singh</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Chairman and Director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Monique Bonner</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Monique Bonner</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 xml:space="preserve">Director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Andrew Burton</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Andrew Burton</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Todd Ford</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Todd Ford</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Alison Gleeson</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Alison Gleeson</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John Pagliuca</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John Pagliuca</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chivo;sans-serif" w:hAnsi="Archivo;sans-serif"/>
                <w:b w:val="false"/>
                <w:color w:val="000000"/>
                <w:sz w:val="20"/>
                <w:u w:val="single"/>
              </w:rPr>
            </w:pPr>
            <w:r>
              <w:rPr>
                <w:rFonts w:ascii="Archivo;sans-serif" w:hAnsi="Archivo;sans-serif"/>
                <w:b w:val="false"/>
                <w:color w:val="000000"/>
                <w:sz w:val="20"/>
                <w:u w:val="single"/>
              </w:rPr>
              <w:t>/s/ Elizabeth Theophille</w:t>
            </w:r>
          </w:p>
          <w:p>
            <w:pPr>
              <w:pStyle w:val="TableContents"/>
              <w:bidi w:val="0"/>
              <w:spacing w:lineRule="auto" w:line="240" w:before="0" w:after="0"/>
              <w:jc w:val="left"/>
              <w:rPr>
                <w:rFonts w:ascii="Archivo;sans-serif" w:hAnsi="Archivo;sans-serif"/>
                <w:b w:val="false"/>
                <w:color w:val="000000"/>
                <w:sz w:val="20"/>
              </w:rPr>
            </w:pPr>
            <w:r>
              <w:rPr>
                <w:rFonts w:ascii="Archivo;sans-serif" w:hAnsi="Archivo;sans-serif"/>
                <w:b w:val="false"/>
                <w:color w:val="000000"/>
                <w:sz w:val="20"/>
              </w:rPr>
              <w:t>Elizabeth Theophille</w:t>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Director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chivo;sans-serif" w:hAnsi="Archivo;sans-serif"/>
                <w:b w:val="false"/>
                <w:color w:val="000000"/>
                <w:sz w:val="20"/>
              </w:rPr>
            </w:pPr>
            <w:r>
              <w:rPr>
                <w:rFonts w:ascii="Archivo;sans-serif" w:hAnsi="Archivo;sans-serif"/>
                <w:b w:val="false"/>
                <w:color w:val="000000"/>
                <w:sz w:val="20"/>
              </w:rPr>
              <w:t>August 11,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3215"/>
                <wp:effectExtent l="0" t="0" r="0" b="0"/>
                <wp:wrapNone/>
                <wp:docPr id="6" name="Frame5"/>
                <a:graphic xmlns:a="http://schemas.openxmlformats.org/drawingml/2006/main">
                  <a:graphicData uri="http://schemas.microsoft.com/office/word/2010/wordprocessingShape">
                    <wps:wsp>
                      <wps:cNvSpPr txBox="1"/>
                      <wps:spPr>
                        <a:xfrm>
                          <a:off x="0" y="0"/>
                          <a:ext cx="6480175" cy="323215"/>
                        </a:xfrm>
                        <a:prstGeom prst="rect"/>
                        <a:solidFill>
                          <a:srgbClr val="FFFFFF"/>
                        </a:solidFill>
                      </wps:spPr>
                      <wps:txbx>
                        <w:txbxContent>
                          <w:p>
                            <w:pPr>
                              <w:pStyle w:val="TextBody"/>
                              <w:bidi w:val="0"/>
                              <w:spacing w:lineRule="auto" w:line="240" w:before="0" w:after="0"/>
                              <w:jc w:val="center"/>
                              <w:rPr>
                                <w:rFonts w:ascii="Archivo;sans-serif" w:hAnsi="Archivo;sans-serif"/>
                                <w:b w:val="false"/>
                                <w:color w:val="000000"/>
                                <w:sz w:val="20"/>
                              </w:rPr>
                            </w:pPr>
                            <w:r>
                              <w:rPr>
                                <w:rFonts w:ascii="Archivo;sans-serif" w:hAnsi="Archivo;sans-serif"/>
                                <w:b w:val="false"/>
                                <w:color w:val="000000"/>
                                <w:sz w:val="20"/>
                              </w:rPr>
                              <w:t>- 4 -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chivo;sans-serif" w:hAnsi="Archivo;sans-serif"/>
                          <w:b w:val="false"/>
                          <w:color w:val="000000"/>
                          <w:sz w:val="20"/>
                        </w:rPr>
                      </w:pPr>
                      <w:r>
                        <w:rPr>
                          <w:rFonts w:ascii="Archivo;sans-serif" w:hAnsi="Archivo;sans-serif"/>
                          <w:b w:val="false"/>
                          <w:color w:val="000000"/>
                          <w:sz w:val="20"/>
                        </w:rPr>
                        <w:t>- 4 -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center"/>
        <w:rPr>
          <w:rFonts w:ascii="Archivo;sans-serif" w:hAnsi="Archivo;sans-serif"/>
          <w:b/>
          <w:color w:val="000000"/>
          <w:sz w:val="20"/>
        </w:rPr>
      </w:pPr>
      <w:r>
        <w:rPr>
          <w:rFonts w:ascii="Archivo;sans-serif" w:hAnsi="Archivo;sans-serif"/>
          <w:b/>
          <w:color w:val="000000"/>
          <w:sz w:val="20"/>
        </w:rPr>
        <w:t>CALCULATION OF FILING FEE TABLE</w:t>
      </w:r>
    </w:p>
    <w:p>
      <w:pPr>
        <w:pStyle w:val="TextBody"/>
        <w:bidi w:val="0"/>
        <w:spacing w:lineRule="auto" w:line="288" w:before="0" w:after="160"/>
        <w:jc w:val="center"/>
        <w:rPr>
          <w:rFonts w:ascii="Archivo;sans-serif" w:hAnsi="Archivo;sans-serif"/>
          <w:b/>
          <w:color w:val="000000"/>
          <w:sz w:val="20"/>
        </w:rPr>
      </w:pPr>
      <w:r>
        <w:rPr>
          <w:rFonts w:ascii="Archivo;sans-serif" w:hAnsi="Archivo;sans-serif"/>
          <w:b/>
          <w:color w:val="000000"/>
          <w:sz w:val="20"/>
        </w:rPr>
        <w:t>Form S-8</w:t>
      </w:r>
    </w:p>
    <w:p>
      <w:pPr>
        <w:pStyle w:val="TextBody"/>
        <w:bidi w:val="0"/>
        <w:spacing w:lineRule="auto" w:line="288" w:before="0" w:after="160"/>
        <w:jc w:val="center"/>
        <w:rPr>
          <w:rFonts w:ascii="Archivo;sans-serif" w:hAnsi="Archivo;sans-serif"/>
          <w:b/>
          <w:color w:val="000000"/>
          <w:sz w:val="20"/>
        </w:rPr>
      </w:pPr>
      <w:r>
        <w:rPr>
          <w:rFonts w:ascii="Archivo;sans-serif" w:hAnsi="Archivo;sans-serif"/>
          <w:b/>
          <w:color w:val="000000"/>
          <w:sz w:val="20"/>
        </w:rPr>
        <w:t>8x8, Inc.</w:t>
      </w:r>
    </w:p>
    <w:p>
      <w:pPr>
        <w:pStyle w:val="TextBody"/>
        <w:bidi w:val="0"/>
        <w:spacing w:lineRule="auto" w:line="288" w:before="0" w:after="160"/>
        <w:jc w:val="center"/>
        <w:rPr>
          <w:rFonts w:ascii="Archivo;sans-serif" w:hAnsi="Archivo;sans-serif"/>
          <w:b/>
          <w:color w:val="000000"/>
          <w:sz w:val="20"/>
        </w:rPr>
      </w:pPr>
      <w:r>
        <w:rPr>
          <w:rFonts w:ascii="Archivo;sans-serif" w:hAnsi="Archivo;sans-serif"/>
          <w:b/>
          <w:color w:val="000000"/>
          <w:sz w:val="20"/>
        </w:rPr>
        <w:t>Table 1 – Newly Registered Securities</w:t>
      </w:r>
    </w:p>
    <w:tbl>
      <w:tblPr>
        <w:tblW w:w="10205" w:type="dxa"/>
        <w:jc w:val="left"/>
        <w:tblInd w:w="0" w:type="dxa"/>
        <w:tblLayout w:type="fixed"/>
        <w:tblCellMar>
          <w:top w:w="28" w:type="dxa"/>
          <w:left w:w="28" w:type="dxa"/>
          <w:bottom w:w="28" w:type="dxa"/>
          <w:right w:w="28" w:type="dxa"/>
        </w:tblCellMar>
      </w:tblPr>
      <w:tblGrid>
        <w:gridCol w:w="362"/>
        <w:gridCol w:w="319"/>
        <w:gridCol w:w="320"/>
        <w:gridCol w:w="337"/>
        <w:gridCol w:w="337"/>
        <w:gridCol w:w="338"/>
        <w:gridCol w:w="429"/>
        <w:gridCol w:w="429"/>
        <w:gridCol w:w="430"/>
        <w:gridCol w:w="441"/>
        <w:gridCol w:w="441"/>
        <w:gridCol w:w="442"/>
        <w:gridCol w:w="426"/>
        <w:gridCol w:w="426"/>
        <w:gridCol w:w="427"/>
        <w:gridCol w:w="240"/>
        <w:gridCol w:w="1326"/>
        <w:gridCol w:w="116"/>
        <w:gridCol w:w="374"/>
        <w:gridCol w:w="374"/>
        <w:gridCol w:w="378"/>
        <w:gridCol w:w="241"/>
        <w:gridCol w:w="1077"/>
        <w:gridCol w:w="175"/>
      </w:tblGrid>
      <w:tr>
        <w:trPr/>
        <w:tc>
          <w:tcPr>
            <w:tcW w:w="36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color w:val="000000"/>
                <w:sz w:val="18"/>
              </w:rPr>
            </w:pPr>
            <w:r>
              <w:rPr>
                <w:rFonts w:ascii="Archivo;sans-serif" w:hAnsi="Archivo;sans-serif"/>
                <w:b/>
                <w:color w:val="000000"/>
                <w:sz w:val="18"/>
              </w:rPr>
              <w:t>Security Type</w:t>
            </w:r>
          </w:p>
        </w:tc>
        <w:tc>
          <w:tcPr>
            <w:tcW w:w="10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color w:val="000000"/>
                <w:sz w:val="18"/>
              </w:rPr>
            </w:pPr>
            <w:r>
              <w:rPr>
                <w:rFonts w:ascii="Archivo;sans-serif" w:hAnsi="Archivo;sans-serif"/>
                <w:b/>
                <w:color w:val="000000"/>
                <w:sz w:val="18"/>
              </w:rPr>
              <w:t>Security Class Title</w:t>
            </w:r>
          </w:p>
        </w:tc>
        <w:tc>
          <w:tcPr>
            <w:tcW w:w="12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color w:val="000000"/>
                <w:sz w:val="18"/>
              </w:rPr>
            </w:pPr>
            <w:r>
              <w:rPr>
                <w:rFonts w:ascii="Archivo;sans-serif" w:hAnsi="Archivo;sans-serif"/>
                <w:b/>
                <w:color w:val="000000"/>
                <w:sz w:val="18"/>
              </w:rPr>
              <w:t>Fee Calculation Rule</w:t>
            </w:r>
          </w:p>
        </w:tc>
        <w:tc>
          <w:tcPr>
            <w:tcW w:w="1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0"/>
              <w:jc w:val="left"/>
              <w:rPr/>
            </w:pPr>
            <w:r>
              <w:rPr>
                <w:rFonts w:ascii="Archivo;sans-serif" w:hAnsi="Archivo;sans-serif"/>
                <w:b/>
                <w:color w:val="000000"/>
                <w:sz w:val="18"/>
              </w:rPr>
              <w:t>Amount Registered</w:t>
            </w:r>
            <w:r>
              <w:rPr>
                <w:rFonts w:ascii="Archivo;sans-serif" w:hAnsi="Archivo;sans-serif"/>
                <w:b/>
                <w:color w:val="000000"/>
                <w:sz w:val="12"/>
              </w:rPr>
              <w:t>(1)</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0"/>
              <w:jc w:val="left"/>
              <w:rPr>
                <w:rFonts w:ascii="Archivo;sans-serif" w:hAnsi="Archivo;sans-serif"/>
                <w:b/>
                <w:color w:val="000000"/>
                <w:sz w:val="18"/>
              </w:rPr>
            </w:pPr>
            <w:r>
              <w:rPr>
                <w:rFonts w:ascii="Archivo;sans-serif" w:hAnsi="Archivo;sans-serif"/>
                <w:b/>
                <w:color w:val="000000"/>
                <w:sz w:val="18"/>
              </w:rPr>
              <w:t>Proposed Maximum Offering Price Per Share</w:t>
            </w:r>
          </w:p>
        </w:tc>
        <w:tc>
          <w:tcPr>
            <w:tcW w:w="16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color w:val="000000"/>
                <w:sz w:val="18"/>
              </w:rPr>
            </w:pPr>
            <w:r>
              <w:rPr>
                <w:rFonts w:ascii="Archivo;sans-serif" w:hAnsi="Archivo;sans-serif"/>
                <w:b/>
                <w:color w:val="000000"/>
                <w:sz w:val="18"/>
              </w:rPr>
              <w:t>Maximum Aggregate Offering Price</w:t>
            </w:r>
          </w:p>
        </w:tc>
        <w:tc>
          <w:tcPr>
            <w:tcW w:w="11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color w:val="000000"/>
                <w:sz w:val="18"/>
              </w:rPr>
            </w:pPr>
            <w:r>
              <w:rPr>
                <w:rFonts w:ascii="Archivo;sans-serif" w:hAnsi="Archivo;sans-serif"/>
                <w:b/>
                <w:color w:val="000000"/>
                <w:sz w:val="18"/>
              </w:rPr>
              <w:t>Fee Rate</w:t>
            </w:r>
          </w:p>
        </w:tc>
        <w:tc>
          <w:tcPr>
            <w:tcW w:w="149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4" w:before="0" w:after="283"/>
              <w:jc w:val="left"/>
              <w:rPr>
                <w:rFonts w:ascii="Archivo;sans-serif" w:hAnsi="Archivo;sans-serif"/>
                <w:b/>
                <w:color w:val="000000"/>
                <w:sz w:val="18"/>
              </w:rPr>
            </w:pPr>
            <w:r>
              <w:rPr>
                <w:rFonts w:ascii="Archivo;sans-serif" w:hAnsi="Archivo;sans-serif"/>
                <w:b/>
                <w:color w:val="000000"/>
                <w:sz w:val="18"/>
              </w:rPr>
              <w:t>Amount of Registration Fee</w:t>
            </w:r>
          </w:p>
        </w:tc>
      </w:tr>
      <w:tr>
        <w:trPr/>
        <w:tc>
          <w:tcPr>
            <w:tcW w:w="10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both"/>
              <w:rPr>
                <w:rFonts w:ascii="Archivo;sans-serif" w:hAnsi="Archivo;sans-serif"/>
                <w:b w:val="false"/>
                <w:color w:val="000000"/>
                <w:sz w:val="18"/>
              </w:rPr>
            </w:pPr>
            <w:r>
              <w:rPr>
                <w:rFonts w:ascii="Archivo;sans-serif" w:hAnsi="Archivo;sans-serif"/>
                <w:b w:val="false"/>
                <w:color w:val="000000"/>
                <w:sz w:val="18"/>
              </w:rPr>
              <w:t>Equity</w:t>
            </w:r>
          </w:p>
        </w:tc>
        <w:tc>
          <w:tcPr>
            <w:tcW w:w="10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both"/>
              <w:rPr>
                <w:rFonts w:ascii="Archivo;sans-serif" w:hAnsi="Archivo;sans-serif"/>
                <w:b w:val="false"/>
                <w:color w:val="000000"/>
                <w:sz w:val="18"/>
              </w:rPr>
            </w:pPr>
            <w:r>
              <w:rPr>
                <w:rFonts w:ascii="Archivo;sans-serif" w:hAnsi="Archivo;sans-serif"/>
                <w:b w:val="false"/>
                <w:color w:val="000000"/>
                <w:sz w:val="18"/>
              </w:rPr>
              <w:t>Equity—Common</w:t>
            </w:r>
          </w:p>
        </w:tc>
        <w:tc>
          <w:tcPr>
            <w:tcW w:w="12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both"/>
              <w:rPr>
                <w:rFonts w:ascii="Archivo;sans-serif" w:hAnsi="Archivo;sans-serif"/>
                <w:b w:val="false"/>
                <w:color w:val="000000"/>
                <w:sz w:val="18"/>
              </w:rPr>
            </w:pPr>
            <w:r>
              <w:rPr>
                <w:rFonts w:ascii="Archivo;sans-serif" w:hAnsi="Archivo;sans-serif"/>
                <w:b w:val="false"/>
                <w:color w:val="000000"/>
                <w:sz w:val="18"/>
              </w:rPr>
              <w:t>Other</w:t>
            </w:r>
          </w:p>
        </w:tc>
        <w:tc>
          <w:tcPr>
            <w:tcW w:w="13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0"/>
              <w:jc w:val="right"/>
              <w:rPr/>
            </w:pPr>
            <w:r>
              <w:rPr>
                <w:rFonts w:ascii="Archivo;sans-serif" w:hAnsi="Archivo;sans-serif"/>
                <w:b w:val="false"/>
                <w:color w:val="000000"/>
                <w:sz w:val="18"/>
              </w:rPr>
              <w:t>8,338,000</w:t>
            </w:r>
            <w:r>
              <w:rPr>
                <w:rFonts w:ascii="Archivo;sans-serif" w:hAnsi="Archivo;sans-serif"/>
                <w:b w:val="false"/>
                <w:color w:val="000000"/>
                <w:sz w:val="12"/>
              </w:rPr>
              <w:t>(2)</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0"/>
              <w:jc w:val="right"/>
              <w:rPr/>
            </w:pPr>
            <w:r>
              <w:rPr>
                <w:rFonts w:ascii="Archivo;sans-serif" w:hAnsi="Archivo;sans-serif"/>
                <w:b w:val="false"/>
                <w:color w:val="000000"/>
                <w:sz w:val="18"/>
              </w:rPr>
              <w:t>$2.28</w:t>
            </w:r>
            <w:r>
              <w:rPr>
                <w:rFonts w:ascii="Archivo;sans-serif" w:hAnsi="Archivo;sans-serif"/>
                <w:b w:val="false"/>
                <w:color w:val="000000"/>
                <w:sz w:val="12"/>
              </w:rPr>
              <w:t>(4)</w:t>
            </w:r>
          </w:p>
        </w:tc>
        <w:tc>
          <w:tcPr>
            <w:tcW w:w="24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326" w:type="dxa"/>
            <w:tcBorders>
              <w:top w:val="single" w:sz="8" w:space="0" w:color="000000"/>
            </w:tcBorders>
            <w:tcMar>
              <w:top w:w="30" w:type="dxa"/>
              <w:left w:w="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19,010,640 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0.0001381</w:t>
            </w:r>
          </w:p>
        </w:tc>
        <w:tc>
          <w:tcPr>
            <w:tcW w:w="24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2,625.37 </w:t>
            </w:r>
          </w:p>
        </w:tc>
        <w:tc>
          <w:tcPr>
            <w:tcW w:w="17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4" w:before="0" w:after="283"/>
              <w:jc w:val="both"/>
              <w:rPr>
                <w:rFonts w:ascii="Archivo;sans-serif" w:hAnsi="Archivo;sans-serif"/>
                <w:b w:val="false"/>
                <w:color w:val="000000"/>
                <w:sz w:val="18"/>
              </w:rPr>
            </w:pPr>
            <w:r>
              <w:rPr>
                <w:rFonts w:ascii="Archivo;sans-serif" w:hAnsi="Archivo;sans-serif"/>
                <w:b w:val="false"/>
                <w:color w:val="000000"/>
                <w:sz w:val="18"/>
              </w:rPr>
              <w:t>Equity</w:t>
            </w:r>
          </w:p>
        </w:tc>
        <w:tc>
          <w:tcPr>
            <w:tcW w:w="10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4" w:before="0" w:after="283"/>
              <w:jc w:val="both"/>
              <w:rPr>
                <w:rFonts w:ascii="Archivo;sans-serif" w:hAnsi="Archivo;sans-serif"/>
                <w:b w:val="false"/>
                <w:color w:val="000000"/>
                <w:sz w:val="18"/>
              </w:rPr>
            </w:pPr>
            <w:r>
              <w:rPr>
                <w:rFonts w:ascii="Archivo;sans-serif" w:hAnsi="Archivo;sans-serif"/>
                <w:b w:val="false"/>
                <w:color w:val="000000"/>
                <w:sz w:val="18"/>
              </w:rPr>
              <w:t>Equity—Common</w:t>
            </w:r>
          </w:p>
        </w:tc>
        <w:tc>
          <w:tcPr>
            <w:tcW w:w="12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4" w:before="0" w:after="283"/>
              <w:jc w:val="both"/>
              <w:rPr>
                <w:rFonts w:ascii="Archivo;sans-serif" w:hAnsi="Archivo;sans-serif"/>
                <w:b w:val="false"/>
                <w:color w:val="000000"/>
                <w:sz w:val="18"/>
              </w:rPr>
            </w:pPr>
            <w:r>
              <w:rPr>
                <w:rFonts w:ascii="Archivo;sans-serif" w:hAnsi="Archivo;sans-serif"/>
                <w:b w:val="false"/>
                <w:color w:val="000000"/>
                <w:sz w:val="18"/>
              </w:rPr>
              <w:t>Other</w:t>
            </w:r>
          </w:p>
        </w:tc>
        <w:tc>
          <w:tcPr>
            <w:tcW w:w="13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4" w:before="0" w:after="0"/>
              <w:jc w:val="right"/>
              <w:rPr/>
            </w:pPr>
            <w:r>
              <w:rPr>
                <w:rFonts w:ascii="Archivo;sans-serif" w:hAnsi="Archivo;sans-serif"/>
                <w:b w:val="false"/>
                <w:color w:val="000000"/>
                <w:sz w:val="18"/>
              </w:rPr>
              <w:t>1,200,000</w:t>
            </w:r>
            <w:r>
              <w:rPr>
                <w:rFonts w:ascii="Archivo;sans-serif" w:hAnsi="Archivo;sans-serif"/>
                <w:b w:val="false"/>
                <w:color w:val="000000"/>
                <w:sz w:val="12"/>
              </w:rPr>
              <w:t>(3)</w:t>
            </w:r>
          </w:p>
        </w:tc>
        <w:tc>
          <w:tcPr>
            <w:tcW w:w="12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0"/>
              <w:jc w:val="right"/>
              <w:rPr/>
            </w:pPr>
            <w:r>
              <w:rPr>
                <w:rFonts w:ascii="Archivo;sans-serif" w:hAnsi="Archivo;sans-serif"/>
                <w:b w:val="false"/>
                <w:color w:val="000000"/>
                <w:sz w:val="18"/>
              </w:rPr>
              <w:t>$2.28</w:t>
            </w:r>
            <w:r>
              <w:rPr>
                <w:rFonts w:ascii="Archivo;sans-serif" w:hAnsi="Archivo;sans-serif"/>
                <w:b w:val="false"/>
                <w:color w:val="000000"/>
                <w:sz w:val="12"/>
              </w:rPr>
              <w:t>(4)</w:t>
            </w:r>
          </w:p>
        </w:tc>
        <w:tc>
          <w:tcPr>
            <w:tcW w:w="24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326" w:type="dxa"/>
            <w:tcBorders>
              <w:top w:val="single" w:sz="8" w:space="0" w:color="000000"/>
            </w:tcBorders>
            <w:tcMar>
              <w:top w:w="30" w:type="dxa"/>
              <w:left w:w="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2,736,000 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0.0001381</w:t>
            </w:r>
          </w:p>
        </w:tc>
        <w:tc>
          <w:tcPr>
            <w:tcW w:w="24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377.84 </w:t>
            </w:r>
          </w:p>
        </w:tc>
        <w:tc>
          <w:tcPr>
            <w:tcW w:w="17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25"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4" w:before="0" w:after="283"/>
              <w:jc w:val="both"/>
              <w:rPr>
                <w:rFonts w:ascii="Archivo;sans-serif" w:hAnsi="Archivo;sans-serif"/>
                <w:b/>
                <w:color w:val="000000"/>
                <w:sz w:val="18"/>
              </w:rPr>
            </w:pPr>
            <w:r>
              <w:rPr>
                <w:rFonts w:ascii="Archivo;sans-serif" w:hAnsi="Archivo;sans-serif"/>
                <w:b/>
                <w:color w:val="000000"/>
                <w:sz w:val="18"/>
              </w:rPr>
              <w:t>Total Offering Amounts</w:t>
            </w:r>
          </w:p>
        </w:tc>
        <w:tc>
          <w:tcPr>
            <w:tcW w:w="12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326" w:type="dxa"/>
            <w:tcBorders>
              <w:top w:val="single" w:sz="8" w:space="0" w:color="000000"/>
            </w:tcBorders>
            <w:tcMar>
              <w:top w:w="30" w:type="dxa"/>
              <w:left w:w="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21,746,640 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3,003.21 </w:t>
            </w:r>
          </w:p>
        </w:tc>
        <w:tc>
          <w:tcPr>
            <w:tcW w:w="17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25"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4" w:before="0" w:after="283"/>
              <w:jc w:val="both"/>
              <w:rPr>
                <w:rFonts w:ascii="Archivo;sans-serif" w:hAnsi="Archivo;sans-serif"/>
                <w:b/>
                <w:color w:val="000000"/>
                <w:sz w:val="18"/>
              </w:rPr>
            </w:pPr>
            <w:r>
              <w:rPr>
                <w:rFonts w:ascii="Archivo;sans-serif" w:hAnsi="Archivo;sans-serif"/>
                <w:b/>
                <w:color w:val="000000"/>
                <w:sz w:val="18"/>
              </w:rPr>
              <w:t>Total Fee Offsets</w:t>
            </w:r>
          </w:p>
        </w:tc>
        <w:tc>
          <w:tcPr>
            <w:tcW w:w="12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77" w:type="dxa"/>
            <w:tcBorders>
              <w:top w:val="single" w:sz="8" w:space="0" w:color="000000"/>
            </w:tcBorders>
            <w:tcMar>
              <w:top w:w="30" w:type="dxa"/>
              <w:left w:w="0" w:type="dxa"/>
              <w:bottom w:w="0" w:type="dxa"/>
              <w:right w:w="0" w:type="dxa"/>
            </w:tcMar>
            <w:vAlign w:val="center"/>
          </w:tcPr>
          <w:p>
            <w:pPr>
              <w:pStyle w:val="TableContents"/>
              <w:bidi w:val="0"/>
              <w:spacing w:lineRule="auto" w:line="244" w:before="0" w:after="283"/>
              <w:jc w:val="right"/>
              <w:rPr>
                <w:color w:val="000000"/>
              </w:rPr>
            </w:pPr>
            <w:r>
              <w:rPr>
                <w:color w:val="000000"/>
              </w:rPr>
              <w:t>— </w:t>
            </w:r>
          </w:p>
        </w:tc>
        <w:tc>
          <w:tcPr>
            <w:tcW w:w="175"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25"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4" w:before="0" w:after="283"/>
              <w:jc w:val="both"/>
              <w:rPr>
                <w:rFonts w:ascii="Archivo;sans-serif" w:hAnsi="Archivo;sans-serif"/>
                <w:b/>
                <w:color w:val="000000"/>
                <w:sz w:val="18"/>
              </w:rPr>
            </w:pPr>
            <w:r>
              <w:rPr>
                <w:rFonts w:ascii="Archivo;sans-serif" w:hAnsi="Archivo;sans-serif"/>
                <w:b/>
                <w:color w:val="000000"/>
                <w:sz w:val="18"/>
              </w:rPr>
              <w:t>Net Fee Due</w:t>
            </w:r>
          </w:p>
        </w:tc>
        <w:tc>
          <w:tcPr>
            <w:tcW w:w="127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4" w:before="0" w:after="283"/>
              <w:jc w:val="left"/>
              <w:rPr>
                <w:rFonts w:ascii="Archivo;sans-serif" w:hAnsi="Archivo;sans-serif"/>
                <w:b w:val="false"/>
                <w:color w:val="000000"/>
                <w:sz w:val="18"/>
              </w:rPr>
            </w:pPr>
            <w:r>
              <w:rPr>
                <w:rFonts w:ascii="Archivo;sans-serif" w:hAnsi="Archivo;sans-serif"/>
                <w:b w:val="false"/>
                <w:color w:val="000000"/>
                <w:sz w:val="18"/>
              </w:rPr>
              <w:t>$</w:t>
            </w:r>
          </w:p>
        </w:tc>
        <w:tc>
          <w:tcPr>
            <w:tcW w:w="107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4" w:before="0" w:after="283"/>
              <w:jc w:val="right"/>
              <w:rPr>
                <w:rFonts w:ascii="Archivo;sans-serif" w:hAnsi="Archivo;sans-serif"/>
                <w:b w:val="false"/>
                <w:color w:val="000000"/>
                <w:sz w:val="18"/>
              </w:rPr>
            </w:pPr>
            <w:r>
              <w:rPr>
                <w:rFonts w:ascii="Archivo;sans-serif" w:hAnsi="Archivo;sans-serif"/>
                <w:b w:val="false"/>
                <w:color w:val="000000"/>
                <w:sz w:val="18"/>
              </w:rPr>
              <w:t>3,003.21 </w:t>
            </w:r>
          </w:p>
        </w:tc>
        <w:tc>
          <w:tcPr>
            <w:tcW w:w="175"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 xml:space="preserve">(1) In addition, pursuant to Rule 416(a) under the Securities Act of 1933, as amended (the “Securities Act”), this Registration Statement also covers an indeterminate number of shares of common stock, par value $0.001 per share (“Common Stock”), of 8x8, Inc. (the “Registrant”) that may be offered or issued by reason of stock splits, stock dividends or similar transactions. </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(2) Represents shares of Common Stock added to the 8x8, Inc. Amended and Restated 2022 Equity Incentive Plan (the “2022 Plan”) pursuant to an amendment to the 2022 Plan authorized and approved by the stockholders of the Registrant on August 3, 2026.</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(3) Represents shares of Common Stock added to the 8x8, Inc. Amended and Restated 2017 New Employee Inducement Incentive Plan (the “2017 Plan”) pursuant to an amendment to the 2017 Plan authorized and approved by the Board of Directors of the Registrant on July 29, 2026.</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(4) Estimated solely for purposes of calculating the amount of the registration fee pursuant to Rule 457(c) and (h) under the Securities Act. The computation is based upon the average of the high and low prices per share of the Registrant’s Common Stock as reported on the Nasdaq on August 6, 2026.</w:t>
      </w:r>
    </w:p>
    <w:p>
      <w:pPr>
        <w:pStyle w:val="TextBody"/>
        <w:bidi w:val="0"/>
        <w:spacing w:before="0" w:after="0"/>
        <w:jc w:val="center"/>
        <w:rPr/>
      </w:pPr>
      <w:bookmarkStart w:id="0" w:name="ex51-sx8opinion.htm"/>
      <w:bookmarkStart w:id="1" w:name="ksex51sx8opinion"/>
      <w:bookmarkEnd w:id="0"/>
      <w:bookmarkEnd w:id="1"/>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FIRM/AFFILIATE OFFICES ----------- BOSTON CHICAGO HOUSTON LOS ANGELES NEW YORK WASHINGTON, D.C. WILMINGTON ----------- ABU DHABI BEIJING BRUSSELS FRANKFURT HONG KONG LONDON MUNICH PARIS SÃO PAULO SEOUL SINGAPORE TOKYO TORONTO SKADDEN, ARPS, SLATE, MEAGHER &amp; FLOM LLP 525 UNIVERSITY AVENUE PALO ALTO, CALIFORNIA 94301 ________ TEL: (650) 470-4500 FAX: (650) 470-4570 www.skadden.com August 11, 2026 8x8, Inc. 675 Creekside Way Campbell, California 95008 Ladies and Gentlemen: We have acted as special United States counsel to 8x8, Inc., a Delaware corporation (the “Company”), in connection with the Company’s Registration Statement on Form S-8 (together with the exhibits thereto, the “Registration Statement”) to be filed on the date hereof with the Securities and Exchange Commission (the “Commission”) under the Securities Act of 1933 (the “Securities Act”), relating to the registration of an aggregate of (i) 8,338,000 additional shares of common stock of the Company, par value $0.001 per share (the “Common Stock”), authorized for issuance pursuant to the 8x8, Inc. Amended and Restated 2022 Equity Incentive Plan (the “2022 Plan”, and such shares, the “2022 Plan Shares”), and (ii) up to 1,200,000 additional shares of Common Stock authorized for issuance pursuant to the 8x8, Inc. Amended and Restated 2017 New Employee Inducement Incentive Plan (the “2017 Plan”) (collectively with the 2022 Plan Shares, the “Plan Shares”). This opinion letter is being furnished in accordance with the requirements of Item 601(b)(5) of Regulation S-K promulgated under the Securities Act. In rendering the opinion stated herein, we have examined and relied upon the following: (a) the Registration Statement in the form to be filed with the Commission on the date hereof; (b) a copy of the 2022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August 11, 2026 Page 2 (c) a copy of the 2017 Plan; (d) an executed copy of a certificate of Laurence Denny, Secretary and Chief Legal Officer, dated as of the date hereof (the “Secretary’s Certificate”); (e) a copy of the Company’s Restated Certificate of Incorporation (the “Restated Certificate of Incorporation”), as amended, certified by the Secretary of State of the State of Delaware as of the date hereof, and certified pursuant to the Secretary’s Certificate as being in effect on the date of the resolutions referred to below and as of the date hereof; (f) a copy of the Company’s Amended and Restated By-Laws (the “Amended and Restated Bylaws”), certified pursuant to the Secretary’s Certificate as being in effect on the date of the resolutions referred to below and as of the date hereof; and (g) copies of certain resolutions of the Board of Directors of the Company, adopted on June 22, 2026 and July 29, 2026, certified pursuant to the Secretary’s Certificate. 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 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Restated Certificate of Incorporation and the Secretary’s Certificate. In rendering the opinion set forth below, we have also assumed that (i) the Plan Shares will be issued in book-entry form and an appropriate account statement evidencing the Plan Shares credited to a recipient’s account maintained with the Company’s transfer agent and registrar will be issued by the Company’s transfer agent and registrar, (ii) each award agreement under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8x8, Inc. August 11, 2026 Page 3 options, stock appreciation rights, restricted stock, restricted stock units, stock bonuses, other stock-based awards and certain other awards are granted pursuant to the 2022 Plan and the 2017 Plan will be consistent with the 2022 Plan and the 2017 Plan, respectively, and will be duly authorized, validly executed and delivered by the parties thereto, (iii) the Company will continue to have sufficient authorized shares of Common Stock, (iv) the Company’s authorized capital stock is as set forth in the Restated Certificate of Incorporation, and we have relied solely on the certified copy thereof issued by the Secretary of State of the State of Delaware and have not made any other inquiries or investigations, and (v) the issuance of the Plan Shares does not and will not (a) violate any statute to which the Company or such issuance is subject (except that we do not make this assumption with respect to the General Corporation Law of the State of Delaware (the “DGCL”)), or (b) constitute a violation of, or a breach under, or require the consent or approval of any other person under any agreement or instrument binding on the Company (except that we do not and will not make this assumption with respect to the Restated Certificate of Incorporation and the Amended and Restated Bylaws, although we have assumed compliance with any covenant, restriction or provision with respect to financial ratios or tests or any aspect of the financial condition or results of operations of the Company contained in such instruments). We do not express any opinion with respect to the laws of any jurisdiction other than the DGCL. Based upon the foregoing and subject to the qualifications and assumptions stated herein, we are of the opinion that the Plan Shares have been duly authorized by all requisite corporate action on the part of the Company under the DGCL and, when the Plan Shares are issued to the participants in accordance with the terms and conditions of the 2022 Plan and the 2017 Plan, as applicable, and the applicable award agreement for consideration paid or delivered in an amount at least equal to the par value of such Plan Shares, the Plan Shares will be validly issued, fully paid and nonassessable. We hereby consent to the filing of this opinion letter with the Commission as an exhibit to the Registration Statement. In giving this consent, we do not thereby admit that we are included in the category of persons whose consent is required under Section 7 of the Securities Act or the General Rules and Regulations under the Securities Act. This opinion letter is expressed as of the date hereof unless otherwise expressly stated, and we disclaim any undertaking to advise you of any subsequent changes in the facts stated or assumed herein or of any subsequent changes in applicable laws. Very truly yours, /s/ Skadden, Arps, Slate, Meagher &amp; Flom LLP TJI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60"/>
        <w:jc w:val="left"/>
        <w:rPr>
          <w:rFonts w:ascii="Archivo;sans-serif" w:hAnsi="Archivo;sans-serif"/>
          <w:b/>
          <w:color w:val="000000"/>
          <w:sz w:val="28"/>
        </w:rPr>
      </w:pPr>
      <w:r>
        <w:rPr>
          <w:rFonts w:ascii="Archivo;sans-serif" w:hAnsi="Archivo;sans-serif"/>
          <w:b/>
          <w:color w:val="000000"/>
          <w:sz w:val="28"/>
        </w:rPr>
        <w:t>Consent of Independent Registered Public Accounting Firm</w:t>
      </w:r>
    </w:p>
    <w:p>
      <w:pPr>
        <w:pStyle w:val="TextBody"/>
        <w:bidi w:val="0"/>
        <w:spacing w:lineRule="auto" w:line="268" w:before="0" w:after="0"/>
        <w:jc w:val="both"/>
        <w:rPr>
          <w:rFonts w:ascii="Archivo;sans-serif" w:hAnsi="Archivo;sans-serif"/>
          <w:b w:val="false"/>
          <w:color w:val="000000"/>
          <w:sz w:val="20"/>
        </w:rPr>
      </w:pPr>
      <w:r>
        <w:rPr>
          <w:rFonts w:ascii="Archivo;sans-serif" w:hAnsi="Archivo;sans-serif"/>
          <w:b w:val="false"/>
          <w:color w:val="000000"/>
          <w:sz w:val="20"/>
        </w:rPr>
        <w:t>We have issued our reports dated May 22, 2026 with respect to the consolidated financial statements and internal control over financial reporting of 8x8, Inc. included in the Annual Report on Form 10-K for the year ended March 31, 2026, which are incorporated by reference in this Registration Statement. We consent to the incorporation by reference of the aforementioned reports in this Registration Statement.</w:t>
      </w:r>
    </w:p>
    <w:p>
      <w:pPr>
        <w:pStyle w:val="TextBody"/>
        <w:bidi w:val="0"/>
        <w:spacing w:before="0" w:after="160"/>
        <w:jc w:val="both"/>
        <w:rPr/>
      </w:pPr>
      <w:r>
        <w:rPr/>
      </w:r>
    </w:p>
    <w:p>
      <w:pPr>
        <w:pStyle w:val="TextBody"/>
        <w:bidi w:val="0"/>
        <w:spacing w:lineRule="auto" w:line="276" w:before="0" w:after="160"/>
        <w:jc w:val="both"/>
        <w:rPr>
          <w:rFonts w:ascii="Archivo;sans-serif" w:hAnsi="Archivo;sans-serif"/>
          <w:b w:val="false"/>
          <w:color w:val="000000"/>
          <w:sz w:val="20"/>
        </w:rPr>
      </w:pPr>
      <w:r>
        <w:rPr>
          <w:rFonts w:ascii="Archivo;sans-serif" w:hAnsi="Archivo;sans-serif"/>
          <w:b w:val="false"/>
          <w:color w:val="000000"/>
          <w:sz w:val="20"/>
        </w:rPr>
        <w:t>/s/ Grant Thornton LLP</w:t>
      </w:r>
    </w:p>
    <w:p>
      <w:pPr>
        <w:pStyle w:val="TextBody"/>
        <w:bidi w:val="0"/>
        <w:spacing w:lineRule="auto" w:line="288" w:before="0" w:after="0"/>
        <w:jc w:val="both"/>
        <w:rPr>
          <w:rFonts w:ascii="Archivo;sans-serif" w:hAnsi="Archivo;sans-serif"/>
          <w:b w:val="false"/>
          <w:color w:val="000000"/>
          <w:sz w:val="20"/>
        </w:rPr>
      </w:pPr>
      <w:r>
        <w:rPr>
          <w:rFonts w:ascii="Archivo;sans-serif" w:hAnsi="Archivo;sans-serif"/>
          <w:b w:val="false"/>
          <w:color w:val="000000"/>
          <w:sz w:val="20"/>
        </w:rPr>
        <w:t>Bellevue, Washington</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August 11,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left"/>
        <w:rPr>
          <w:rFonts w:ascii="Archivo;sans-serif" w:hAnsi="Archivo;sans-serif"/>
          <w:b/>
          <w:color w:val="000000"/>
          <w:sz w:val="28"/>
        </w:rPr>
      </w:pPr>
      <w:r>
        <w:rPr>
          <w:rFonts w:ascii="Archivo;sans-serif" w:hAnsi="Archivo;sans-serif"/>
          <w:b/>
          <w:color w:val="000000"/>
          <w:sz w:val="28"/>
        </w:rPr>
        <w:t>Consent of Independent Registered Public Accounting Firm</w:t>
      </w:r>
    </w:p>
    <w:p>
      <w:pPr>
        <w:pStyle w:val="TextBody"/>
        <w:bidi w:val="0"/>
        <w:spacing w:lineRule="auto" w:line="276" w:before="0" w:after="0"/>
        <w:jc w:val="left"/>
        <w:rPr>
          <w:rFonts w:ascii="Archivo;sans-serif" w:hAnsi="Archivo;sans-serif"/>
          <w:b w:val="false"/>
          <w:color w:val="000000"/>
          <w:sz w:val="20"/>
        </w:rPr>
      </w:pPr>
      <w:r>
        <w:rPr>
          <w:rFonts w:ascii="Archivo;sans-serif" w:hAnsi="Archivo;sans-serif"/>
          <w:b w:val="false"/>
          <w:color w:val="000000"/>
          <w:sz w:val="20"/>
        </w:rPr>
        <w:t>We consent to the incorporation by reference in this Registration Statement on Form S-8 of 8x8, Inc. (the “Company”) of our report dated May 22, 2025, relating to the Company’s consolidated financial statements as of March 31, 2025, and for the years ended March 31, 2025 and 2024, appearing in the Annual Report on Form 10-K of the Company for the year ended March 31, 2026, filed with the Securities and Exchange Commission.</w:t>
      </w:r>
    </w:p>
    <w:p>
      <w:pPr>
        <w:pStyle w:val="TextBody"/>
        <w:bidi w:val="0"/>
        <w:spacing w:before="0" w:after="160"/>
        <w:jc w:val="both"/>
        <w:rPr/>
      </w:pPr>
      <w:r>
        <w:rPr/>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/s/ Baker Tilly US, LLP</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 xml:space="preserve">San Jose, California </w:t>
      </w:r>
    </w:p>
    <w:p>
      <w:pPr>
        <w:pStyle w:val="TextBody"/>
        <w:bidi w:val="0"/>
        <w:spacing w:lineRule="auto" w:line="288" w:before="0" w:after="160"/>
        <w:jc w:val="both"/>
        <w:rPr>
          <w:rFonts w:ascii="Archivo;sans-serif" w:hAnsi="Archivo;sans-serif"/>
          <w:b w:val="false"/>
          <w:color w:val="000000"/>
          <w:sz w:val="20"/>
        </w:rPr>
      </w:pPr>
      <w:r>
        <w:rPr>
          <w:rFonts w:ascii="Archivo;sans-serif" w:hAnsi="Archivo;sans-serif"/>
          <w:b w:val="false"/>
          <w:color w:val="000000"/>
          <w:sz w:val="20"/>
        </w:rPr>
        <w:t>August 11, 2026</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chiv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23731/000113626117000249/s8body.htm" TargetMode="External"/><Relationship Id="rId4" Type="http://schemas.openxmlformats.org/officeDocument/2006/relationships/hyperlink" Target="https://www.sec.gov/Archives/edgar/data/1023731/000113626118000161/s8body.htm" TargetMode="External"/><Relationship Id="rId5" Type="http://schemas.openxmlformats.org/officeDocument/2006/relationships/hyperlink" Target="https://www.sec.gov/Archives/edgar/data/1023731/000102373120000215/a8x8_forms-82017neiiprefre.htm" TargetMode="External"/><Relationship Id="rId6" Type="http://schemas.openxmlformats.org/officeDocument/2006/relationships/hyperlink" Target="https://www.sec.gov/Archives/edgar/data/1023731/000119312522027195/d298058ds8.htm" TargetMode="External"/><Relationship Id="rId7" Type="http://schemas.openxmlformats.org/officeDocument/2006/relationships/hyperlink" Target="https://www.sec.gov/Archives/edgar/data/1023731/000102373122000132/a8x8-sx8july2022.htm" TargetMode="External"/><Relationship Id="rId8" Type="http://schemas.openxmlformats.org/officeDocument/2006/relationships/hyperlink" Target="https://www.sec.gov/Archives/edgar/data/1023731/000102373123000066/a8x8-sx8may2023.htm" TargetMode="External"/><Relationship Id="rId9" Type="http://schemas.openxmlformats.org/officeDocument/2006/relationships/hyperlink" Target="https://www.sec.gov/Archives/edgar/data/1023731/000102373124000007/a8x8-sx8february2024.htm" TargetMode="External"/><Relationship Id="rId10" Type="http://schemas.openxmlformats.org/officeDocument/2006/relationships/hyperlink" Target="https://www.sec.gov/Archives/edgar/data/1023731/000102373124000079/a8x8-sx8august2024.htm" TargetMode="External"/><Relationship Id="rId11" Type="http://schemas.openxmlformats.org/officeDocument/2006/relationships/hyperlink" Target="https://www.sec.gov/Archives/edgar/data/1023731/000102373125000007/a8x8-sx8february2025.htm" TargetMode="External"/><Relationship Id="rId12" Type="http://schemas.openxmlformats.org/officeDocument/2006/relationships/hyperlink" Target="https://www.sec.gov/Archives/edgar/data/1023731/000102373125000072/a8x8-sx8august2025.htm" TargetMode="External"/><Relationship Id="rId13" Type="http://schemas.openxmlformats.org/officeDocument/2006/relationships/hyperlink" Target="https://www.sec.gov/ix?doc=/Archives/edgar/data/1023731/000102373126000041/eght-20260331.htm" TargetMode="External"/><Relationship Id="rId14" Type="http://schemas.openxmlformats.org/officeDocument/2006/relationships/hyperlink" Target="https://www.sec.gov/ix?doc=/Archives/edgar/data/1023731/000102373126000033/eght-20260519.htm" TargetMode="External"/><Relationship Id="rId15" Type="http://schemas.openxmlformats.org/officeDocument/2006/relationships/hyperlink" Target="https://www.sec.gov/ix?doc=/Archives/edgar/data/1023731/000102373126000084/eght-20260617.htm" TargetMode="External"/><Relationship Id="rId16" Type="http://schemas.openxmlformats.org/officeDocument/2006/relationships/hyperlink" Target="https://www.sec.gov/ix?doc=/Archives/edgar/data/1023731/000102373126000100/eght-20260729.htm" TargetMode="External"/><Relationship Id="rId17" Type="http://schemas.openxmlformats.org/officeDocument/2006/relationships/hyperlink" Target="https://www.sec.gov/ix?doc=/Archives/edgar/data/1023731/000102373126000102/eght-20260803.htm" TargetMode="External"/><Relationship Id="rId18" Type="http://schemas.openxmlformats.org/officeDocument/2006/relationships/hyperlink" Target="https://www.sec.gov/ix?doc=/Archives/edgar/data/1023731/000102373126000107/eght-20260804.htm" TargetMode="External"/><Relationship Id="rId19" Type="http://schemas.openxmlformats.org/officeDocument/2006/relationships/hyperlink" Target="https://www.sec.gov/ix?doc=/Archives/edgar/data/1023731/000102373126000129/eght-20260803.htm" TargetMode="External"/><Relationship Id="rId20" Type="http://schemas.openxmlformats.org/officeDocument/2006/relationships/hyperlink" Target="https://www.sec.gov/ix?doc=/Archives/edgar/data/1023731/000102373126000114/eght-20260630.htm" TargetMode="External"/><Relationship Id="rId21" Type="http://schemas.openxmlformats.org/officeDocument/2006/relationships/hyperlink" Target="https://www.sec.gov/Archives/edgar/data/0001023731/000102373126000041/a8x8_fy26xex41xcapitalstock.htm" TargetMode="External"/><Relationship Id="rId22" Type="http://schemas.openxmlformats.org/officeDocument/2006/relationships/hyperlink" Target="https://www.sec.gov/ix?doc=/Archives/edgar/data/0001023731/000102373126000041/eght-20260331.htm" TargetMode="External"/><Relationship Id="rId23" Type="http://schemas.openxmlformats.org/officeDocument/2006/relationships/hyperlink" Target="https://www.sec.gov/Archives/edgar/data/1023731/000102373126000114/ex101_8x82022planforfili.htm" TargetMode="External"/><Relationship Id="rId24" Type="http://schemas.openxmlformats.org/officeDocument/2006/relationships/hyperlink" Target="https://www.sec.gov/Archives/edgar/data/1023731/000102373126000114/ex102_ar2017plan.htm" TargetMode="External"/><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3031</Words>
  <Characters>16106</Characters>
  <CharactersWithSpaces>18984</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ex51-sx8opinion</dc:title>
</cp:coreProperties>
</file>