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225425</wp:posOffset>
            </wp:positionH>
            <wp:positionV relativeFrom="page">
              <wp:posOffset>791845</wp:posOffset>
            </wp:positionV>
            <wp:extent cx="709803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105410</wp:posOffset>
            </wp:positionV>
            <wp:extent cx="3566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70"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9"/>
          <w:szCs w:val="29"/>
          <w:b w:val="1"/>
          <w:bCs w:val="1"/>
          <w:color w:val="auto"/>
        </w:rPr>
        <w:t>FORM10-Q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112395</wp:posOffset>
            </wp:positionV>
            <wp:extent cx="3566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17" w:lineRule="exact"/>
        <w:rPr>
          <w:sz w:val="24"/>
          <w:szCs w:val="24"/>
          <w:color w:val="auto"/>
        </w:rPr>
      </w:pPr>
    </w:p>
    <w:p>
      <w:pPr>
        <w:ind w:left="3880" w:right="2800" w:hanging="3872"/>
        <w:spacing w:after="0" w:line="487" w:lineRule="auto"/>
        <w:tabs>
          <w:tab w:leader="none" w:pos="21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December 31, 2020</w:t>
      </w:r>
    </w:p>
    <w:p>
      <w:pPr>
        <w:spacing w:after="0" w:line="269" w:lineRule="exact"/>
        <w:rPr>
          <w:sz w:val="24"/>
          <w:szCs w:val="24"/>
          <w:color w:val="auto"/>
        </w:rPr>
      </w:pPr>
    </w:p>
    <w:p>
      <w:pPr>
        <w:ind w:left="3780" w:right="2780" w:hanging="3772"/>
        <w:spacing w:after="0" w:line="433" w:lineRule="auto"/>
        <w:tabs>
          <w:tab w:leader="none" w:pos="21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________to _________</w:t>
      </w:r>
    </w:p>
    <w:p>
      <w:pPr>
        <w:spacing w:after="0" w:line="1" w:lineRule="exact"/>
        <w:rPr>
          <w:rFonts w:ascii="MS PGothic" w:cs="MS PGothic" w:eastAsia="MS PGothic" w:hAnsi="MS PGothic"/>
          <w:sz w:val="18"/>
          <w:szCs w:val="18"/>
          <w:color w:val="auto"/>
        </w:rPr>
      </w:pPr>
    </w:p>
    <w:p>
      <w:pPr>
        <w:ind w:left="440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u w:val="single" w:color="auto"/>
          <w:color w:val="auto"/>
        </w:rPr>
        <w:t>Commission file number 001-38312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47625</wp:posOffset>
            </wp:positionV>
            <wp:extent cx="1457325" cy="694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7325" cy="6940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8x8, INC.</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28" w:lineRule="exact"/>
        <w:rPr>
          <w:sz w:val="24"/>
          <w:szCs w:val="24"/>
          <w:color w:val="auto"/>
        </w:rPr>
      </w:pPr>
    </w:p>
    <w:tbl>
      <w:tblPr>
        <w:tblLayout w:type="fixed"/>
        <w:tblInd w:w="1040" w:type="dxa"/>
        <w:tblCellMar>
          <w:top w:w="0" w:type="dxa"/>
          <w:left w:w="0" w:type="dxa"/>
          <w:bottom w:w="0" w:type="dxa"/>
          <w:right w:w="0" w:type="dxa"/>
        </w:tblCellMar>
      </w:tblPr>
      <w:tr>
        <w:trPr>
          <w:trHeight w:val="161"/>
        </w:trPr>
        <w:tc>
          <w:tcPr>
            <w:tcW w:w="150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2780" w:type="dxa"/>
            <w:vAlign w:val="bottom"/>
          </w:tcPr>
          <w:p>
            <w:pPr>
              <w:spacing w:after="0"/>
              <w:rPr>
                <w:sz w:val="13"/>
                <w:szCs w:val="13"/>
                <w:color w:val="auto"/>
              </w:rPr>
            </w:pPr>
          </w:p>
        </w:tc>
        <w:tc>
          <w:tcPr>
            <w:tcW w:w="3700" w:type="dxa"/>
            <w:vAlign w:val="bottom"/>
            <w:gridSpan w:val="3"/>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77-0142404</w:t>
            </w:r>
          </w:p>
        </w:tc>
      </w:tr>
      <w:tr>
        <w:trPr>
          <w:trHeight w:val="20"/>
        </w:trPr>
        <w:tc>
          <w:tcPr>
            <w:tcW w:w="1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00"/>
        </w:trPr>
        <w:tc>
          <w:tcPr>
            <w:tcW w:w="4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700" w:type="dxa"/>
            <w:vAlign w:val="bottom"/>
            <w:gridSpan w:val="3"/>
          </w:tcPr>
          <w:p>
            <w:pPr>
              <w:jc w:val="center"/>
              <w:ind w:left="1268"/>
              <w:spacing w:after="0"/>
              <w:rPr>
                <w:sz w:val="20"/>
                <w:szCs w:val="20"/>
                <w:color w:val="auto"/>
              </w:rPr>
            </w:pPr>
            <w:r>
              <w:rPr>
                <w:rFonts w:ascii="Times New Roman" w:cs="Times New Roman" w:eastAsia="Times New Roman" w:hAnsi="Times New Roman"/>
                <w:sz w:val="14"/>
                <w:szCs w:val="14"/>
                <w:color w:val="auto"/>
              </w:rPr>
              <w:t>(I.R.S. Employer Identification Number)</w:t>
            </w:r>
          </w:p>
        </w:tc>
      </w:tr>
    </w:tbl>
    <w:p>
      <w:pPr>
        <w:spacing w:after="0" w:line="123"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675 Creekside Way</w:t>
      </w:r>
    </w:p>
    <w:p>
      <w:pPr>
        <w:spacing w:after="0" w:line="31"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u w:val="single" w:color="auto"/>
          <w:color w:val="auto"/>
        </w:rPr>
        <w:t>Campbell, CA 95008</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(408) 727-1885</w:t>
      </w:r>
    </w:p>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74" w:lineRule="exact"/>
        <w:rPr>
          <w:sz w:val="24"/>
          <w:szCs w:val="24"/>
          <w:color w:val="auto"/>
        </w:rPr>
      </w:pPr>
    </w:p>
    <w:tbl>
      <w:tblPr>
        <w:tblLayout w:type="fixed"/>
        <w:tblInd w:w="30" w:type="dxa"/>
        <w:tblCellMar>
          <w:top w:w="0" w:type="dxa"/>
          <w:left w:w="0" w:type="dxa"/>
          <w:bottom w:w="0" w:type="dxa"/>
          <w:right w:w="0" w:type="dxa"/>
        </w:tblCellMar>
      </w:tblPr>
      <w:tr>
        <w:trPr>
          <w:trHeight w:val="228"/>
        </w:trPr>
        <w:tc>
          <w:tcPr>
            <w:tcW w:w="4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3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8"/>
        </w:trPr>
        <w:tc>
          <w:tcPr>
            <w:tcW w:w="4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EGHT</w:t>
            </w:r>
          </w:p>
        </w:tc>
        <w:tc>
          <w:tcPr>
            <w:tcW w:w="4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126" w:lineRule="exact"/>
        <w:rPr>
          <w:sz w:val="24"/>
          <w:szCs w:val="24"/>
          <w:color w:val="auto"/>
        </w:rPr>
      </w:pPr>
    </w:p>
    <w:p>
      <w:pPr>
        <w:ind w:right="100" w:firstLine="283"/>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reports), and (2) has been subject to such filing requirements for the past 90 days.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w:t>
      </w:r>
    </w:p>
    <w:p>
      <w:pPr>
        <w:spacing w:after="0" w:line="7" w:lineRule="exact"/>
        <w:rPr>
          <w:sz w:val="24"/>
          <w:szCs w:val="24"/>
          <w:color w:val="auto"/>
        </w:rPr>
      </w:pPr>
    </w:p>
    <w:p>
      <w:pPr>
        <w:ind w:right="320" w:firstLine="283"/>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ind w:right="180" w:firstLine="283"/>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cs="Times New Roman" w:eastAsia="Times New Roman" w:hAnsi="Times New Roman"/>
          <w:sz w:val="16"/>
          <w:szCs w:val="16"/>
          <w:color w:val="auto"/>
        </w:rPr>
        <w:t>.</w:t>
      </w:r>
    </w:p>
    <w:p>
      <w:pPr>
        <w:spacing w:after="0" w:line="36" w:lineRule="exact"/>
        <w:rPr>
          <w:sz w:val="24"/>
          <w:szCs w:val="24"/>
          <w:color w:val="auto"/>
        </w:rPr>
      </w:pPr>
    </w:p>
    <w:tbl>
      <w:tblPr>
        <w:tblLayout w:type="fixed"/>
        <w:tblInd w:w="780" w:type="dxa"/>
        <w:tblCellMar>
          <w:top w:w="0" w:type="dxa"/>
          <w:left w:w="0" w:type="dxa"/>
          <w:bottom w:w="0" w:type="dxa"/>
          <w:right w:w="0" w:type="dxa"/>
        </w:tblCellMar>
      </w:tblPr>
      <w:tr>
        <w:trPr>
          <w:trHeight w:val="230"/>
        </w:trPr>
        <w:tc>
          <w:tcPr>
            <w:tcW w:w="168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94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404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68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94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04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6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04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92" w:lineRule="exact"/>
        <w:rPr>
          <w:sz w:val="24"/>
          <w:szCs w:val="24"/>
          <w:color w:val="auto"/>
        </w:rPr>
      </w:pPr>
    </w:p>
    <w:p>
      <w:pPr>
        <w:ind w:right="280" w:firstLine="283"/>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300" w:right="3060"/>
        <w:spacing w:after="0" w:line="21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The number of shares of the Registrant's Common Stock outstanding as of January 22, 2021 was 107,486,374.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795020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0980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0140" w:type="dxa"/>
            <w:vAlign w:val="bottom"/>
          </w:tcPr>
          <w:p>
            <w:pPr>
              <w:jc w:val="center"/>
              <w:ind w:left="978"/>
              <w:spacing w:after="0"/>
              <w:rPr>
                <w:sz w:val="20"/>
                <w:szCs w:val="20"/>
                <w:color w:val="auto"/>
              </w:rPr>
            </w:pPr>
            <w:r>
              <w:rPr>
                <w:rFonts w:ascii="Times New Roman" w:cs="Times New Roman" w:eastAsia="Times New Roman" w:hAnsi="Times New Roman"/>
                <w:sz w:val="18"/>
                <w:szCs w:val="18"/>
                <w:b w:val="1"/>
                <w:bCs w:val="1"/>
                <w:color w:val="auto"/>
                <w:w w:val="98"/>
              </w:rPr>
              <w:t>8X8, INC</w:t>
            </w:r>
          </w:p>
        </w:tc>
        <w:tc>
          <w:tcPr>
            <w:tcW w:w="1060" w:type="dxa"/>
            <w:vAlign w:val="bottom"/>
          </w:tcPr>
          <w:p>
            <w:pPr>
              <w:spacing w:after="0"/>
              <w:rPr>
                <w:sz w:val="20"/>
                <w:szCs w:val="20"/>
                <w:color w:val="auto"/>
              </w:rPr>
            </w:pPr>
          </w:p>
        </w:tc>
      </w:tr>
      <w:tr>
        <w:trPr>
          <w:trHeight w:val="378"/>
        </w:trPr>
        <w:tc>
          <w:tcPr>
            <w:tcW w:w="10140" w:type="dxa"/>
            <w:vAlign w:val="bottom"/>
          </w:tcPr>
          <w:p>
            <w:pPr>
              <w:jc w:val="center"/>
              <w:ind w:left="998"/>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060" w:type="dxa"/>
            <w:vAlign w:val="bottom"/>
          </w:tcPr>
          <w:p>
            <w:pPr>
              <w:spacing w:after="0"/>
              <w:rPr>
                <w:sz w:val="24"/>
                <w:szCs w:val="24"/>
                <w:color w:val="auto"/>
              </w:rPr>
            </w:pPr>
          </w:p>
        </w:tc>
      </w:tr>
      <w:tr>
        <w:trPr>
          <w:trHeight w:val="324"/>
        </w:trPr>
        <w:tc>
          <w:tcPr>
            <w:tcW w:w="10140" w:type="dxa"/>
            <w:vAlign w:val="bottom"/>
          </w:tcPr>
          <w:p>
            <w:pPr>
              <w:jc w:val="center"/>
              <w:ind w:left="998"/>
              <w:spacing w:after="0"/>
              <w:rPr>
                <w:sz w:val="20"/>
                <w:szCs w:val="20"/>
                <w:color w:val="auto"/>
              </w:rPr>
            </w:pPr>
            <w:r>
              <w:rPr>
                <w:rFonts w:ascii="Times New Roman" w:cs="Times New Roman" w:eastAsia="Times New Roman" w:hAnsi="Times New Roman"/>
                <w:sz w:val="18"/>
                <w:szCs w:val="18"/>
                <w:b w:val="1"/>
                <w:bCs w:val="1"/>
                <w:color w:val="auto"/>
                <w:w w:val="99"/>
              </w:rPr>
              <w:t>FOR THE QUARTER ENDED DECEMBER 31, 2020</w:t>
            </w:r>
          </w:p>
        </w:tc>
        <w:tc>
          <w:tcPr>
            <w:tcW w:w="1060" w:type="dxa"/>
            <w:vAlign w:val="bottom"/>
          </w:tcPr>
          <w:p>
            <w:pPr>
              <w:spacing w:after="0"/>
              <w:rPr>
                <w:sz w:val="24"/>
                <w:szCs w:val="24"/>
                <w:color w:val="auto"/>
              </w:rPr>
            </w:pPr>
          </w:p>
        </w:tc>
      </w:tr>
      <w:tr>
        <w:trPr>
          <w:trHeight w:val="324"/>
        </w:trPr>
        <w:tc>
          <w:tcPr>
            <w:tcW w:w="10140" w:type="dxa"/>
            <w:vAlign w:val="bottom"/>
          </w:tcPr>
          <w:p>
            <w:pPr>
              <w:jc w:val="center"/>
              <w:ind w:left="978"/>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60" w:type="dxa"/>
            <w:vAlign w:val="bottom"/>
          </w:tcPr>
          <w:p>
            <w:pPr>
              <w:spacing w:after="0"/>
              <w:rPr>
                <w:sz w:val="24"/>
                <w:szCs w:val="24"/>
                <w:color w:val="auto"/>
              </w:rPr>
            </w:pPr>
          </w:p>
        </w:tc>
      </w:tr>
      <w:tr>
        <w:trPr>
          <w:trHeight w:val="345"/>
        </w:trPr>
        <w:tc>
          <w:tcPr>
            <w:tcW w:w="10140" w:type="dxa"/>
            <w:vAlign w:val="bottom"/>
          </w:tcPr>
          <w:p>
            <w:pPr>
              <w:spacing w:after="0"/>
              <w:rPr>
                <w:sz w:val="24"/>
                <w:szCs w:val="24"/>
                <w:color w:val="auto"/>
              </w:rPr>
            </w:pPr>
          </w:p>
        </w:tc>
        <w:tc>
          <w:tcPr>
            <w:tcW w:w="10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Page No.</w:t>
            </w:r>
          </w:p>
        </w:tc>
      </w:tr>
      <w:tr>
        <w:trPr>
          <w:trHeight w:val="223"/>
        </w:trPr>
        <w:tc>
          <w:tcPr>
            <w:tcW w:w="10140" w:type="dxa"/>
            <w:vAlign w:val="bottom"/>
          </w:tcPr>
          <w:p>
            <w:pPr>
              <w:spacing w:after="0"/>
              <w:rPr>
                <w:rFonts w:ascii="Times New Roman" w:cs="Times New Roman" w:eastAsia="Times New Roman" w:hAnsi="Times New Roman"/>
                <w:sz w:val="16"/>
                <w:szCs w:val="16"/>
                <w:b w:val="1"/>
                <w:bCs w:val="1"/>
                <w:u w:val="single" w:color="auto"/>
                <w:color w:val="0000FF"/>
              </w:rPr>
            </w:pPr>
            <w:hyperlink w:anchor="page2">
              <w:r>
                <w:rPr>
                  <w:rFonts w:ascii="Times New Roman" w:cs="Times New Roman" w:eastAsia="Times New Roman" w:hAnsi="Times New Roman"/>
                  <w:sz w:val="16"/>
                  <w:szCs w:val="16"/>
                  <w:b w:val="1"/>
                  <w:bCs w:val="1"/>
                  <w:u w:val="single" w:color="auto"/>
                  <w:color w:val="0000FF"/>
                </w:rPr>
                <w:t>Forward-Looking Statements and Risk Factors</w:t>
              </w:r>
            </w:hyperlink>
          </w:p>
        </w:tc>
        <w:tc>
          <w:tcPr>
            <w:tcW w:w="1060" w:type="dxa"/>
            <w:vAlign w:val="bottom"/>
          </w:tcPr>
          <w:p>
            <w:pPr>
              <w:jc w:val="center"/>
              <w:spacing w:after="0"/>
              <w:rPr>
                <w:rFonts w:ascii="Times New Roman" w:cs="Times New Roman" w:eastAsia="Times New Roman" w:hAnsi="Times New Roman"/>
                <w:sz w:val="16"/>
                <w:szCs w:val="16"/>
                <w:u w:val="single" w:color="auto"/>
                <w:color w:val="0000FF"/>
                <w:w w:val="99"/>
              </w:rPr>
            </w:pPr>
            <w:hyperlink w:anchor="page2">
              <w:r>
                <w:rPr>
                  <w:rFonts w:ascii="Times New Roman" w:cs="Times New Roman" w:eastAsia="Times New Roman" w:hAnsi="Times New Roman"/>
                  <w:sz w:val="16"/>
                  <w:szCs w:val="16"/>
                  <w:u w:val="single" w:color="auto"/>
                  <w:color w:val="0000FF"/>
                  <w:w w:val="99"/>
                </w:rPr>
                <w:t>2</w:t>
              </w:r>
            </w:hyperlink>
          </w:p>
        </w:tc>
      </w:tr>
      <w:tr>
        <w:trPr>
          <w:trHeight w:val="243"/>
        </w:trPr>
        <w:tc>
          <w:tcPr>
            <w:tcW w:w="10140" w:type="dxa"/>
            <w:vAlign w:val="bottom"/>
          </w:tcPr>
          <w:p>
            <w:pPr>
              <w:spacing w:after="0"/>
              <w:rPr>
                <w:rFonts w:ascii="Times New Roman" w:cs="Times New Roman" w:eastAsia="Times New Roman" w:hAnsi="Times New Roman"/>
                <w:sz w:val="16"/>
                <w:szCs w:val="16"/>
                <w:b w:val="1"/>
                <w:bCs w:val="1"/>
                <w:u w:val="single" w:color="auto"/>
                <w:color w:val="0000FF"/>
              </w:rPr>
            </w:pPr>
            <w:hyperlink w:anchor="page4">
              <w:r>
                <w:rPr>
                  <w:rFonts w:ascii="Times New Roman" w:cs="Times New Roman" w:eastAsia="Times New Roman" w:hAnsi="Times New Roman"/>
                  <w:sz w:val="16"/>
                  <w:szCs w:val="16"/>
                  <w:b w:val="1"/>
                  <w:bCs w:val="1"/>
                  <w:u w:val="single" w:color="auto"/>
                  <w:color w:val="0000FF"/>
                </w:rPr>
                <w:t>PART I. FINANCIAL INFORMATION</w:t>
              </w:r>
            </w:hyperlink>
          </w:p>
        </w:tc>
        <w:tc>
          <w:tcPr>
            <w:tcW w:w="1060" w:type="dxa"/>
            <w:vAlign w:val="bottom"/>
          </w:tcPr>
          <w:p>
            <w:pPr>
              <w:jc w:val="center"/>
              <w:spacing w:after="0"/>
              <w:rPr>
                <w:rFonts w:ascii="Times New Roman" w:cs="Times New Roman" w:eastAsia="Times New Roman" w:hAnsi="Times New Roman"/>
                <w:sz w:val="16"/>
                <w:szCs w:val="16"/>
                <w:u w:val="single" w:color="auto"/>
                <w:color w:val="0000FF"/>
                <w:w w:val="99"/>
              </w:rPr>
            </w:pPr>
            <w:hyperlink w:anchor="page4">
              <w:r>
                <w:rPr>
                  <w:rFonts w:ascii="Times New Roman" w:cs="Times New Roman" w:eastAsia="Times New Roman" w:hAnsi="Times New Roman"/>
                  <w:sz w:val="16"/>
                  <w:szCs w:val="16"/>
                  <w:u w:val="single" w:color="auto"/>
                  <w:color w:val="0000FF"/>
                  <w:w w:val="99"/>
                </w:rPr>
                <w:t>4</w:t>
              </w:r>
            </w:hyperlink>
          </w:p>
        </w:tc>
      </w:tr>
      <w:tr>
        <w:trPr>
          <w:trHeight w:val="243"/>
        </w:trPr>
        <w:tc>
          <w:tcPr>
            <w:tcW w:w="10140" w:type="dxa"/>
            <w:vAlign w:val="bottom"/>
          </w:tcPr>
          <w:p>
            <w:pPr>
              <w:spacing w:after="0"/>
              <w:rPr>
                <w:rFonts w:ascii="Times New Roman" w:cs="Times New Roman" w:eastAsia="Times New Roman" w:hAnsi="Times New Roman"/>
                <w:sz w:val="16"/>
                <w:szCs w:val="16"/>
                <w:color w:val="0000FF"/>
              </w:rPr>
            </w:pPr>
            <w:hyperlink w:anchor="page5">
              <w:r>
                <w:rPr>
                  <w:rFonts w:ascii="Times New Roman" w:cs="Times New Roman" w:eastAsia="Times New Roman" w:hAnsi="Times New Roman"/>
                  <w:sz w:val="16"/>
                  <w:szCs w:val="16"/>
                  <w:u w:val="single" w:color="auto"/>
                  <w:color w:val="0000FF"/>
                </w:rPr>
                <w:t>Item 1. Financial Statements (unaudited)</w:t>
              </w:r>
            </w:hyperlink>
            <w:r>
              <w:rPr>
                <w:rFonts w:ascii="Times New Roman" w:cs="Times New Roman" w:eastAsia="Times New Roman" w:hAnsi="Times New Roman"/>
                <w:sz w:val="16"/>
                <w:szCs w:val="16"/>
                <w:color w:val="000000"/>
              </w:rPr>
              <w:t>:</w:t>
            </w:r>
          </w:p>
        </w:tc>
        <w:tc>
          <w:tcPr>
            <w:tcW w:w="1060" w:type="dxa"/>
            <w:vAlign w:val="bottom"/>
          </w:tcPr>
          <w:p>
            <w:pPr>
              <w:jc w:val="center"/>
              <w:spacing w:after="0"/>
              <w:rPr>
                <w:rFonts w:ascii="Times New Roman" w:cs="Times New Roman" w:eastAsia="Times New Roman" w:hAnsi="Times New Roman"/>
                <w:sz w:val="16"/>
                <w:szCs w:val="16"/>
                <w:u w:val="single" w:color="auto"/>
                <w:color w:val="0000FF"/>
                <w:w w:val="99"/>
              </w:rPr>
            </w:pPr>
            <w:hyperlink w:anchor="page5">
              <w:r>
                <w:rPr>
                  <w:rFonts w:ascii="Times New Roman" w:cs="Times New Roman" w:eastAsia="Times New Roman" w:hAnsi="Times New Roman"/>
                  <w:sz w:val="16"/>
                  <w:szCs w:val="16"/>
                  <w:u w:val="single" w:color="auto"/>
                  <w:color w:val="0000FF"/>
                  <w:w w:val="99"/>
                </w:rPr>
                <w:t>4</w:t>
              </w:r>
            </w:hyperlink>
          </w:p>
        </w:tc>
      </w:tr>
      <w:tr>
        <w:trPr>
          <w:trHeight w:val="243"/>
        </w:trPr>
        <w:tc>
          <w:tcPr>
            <w:tcW w:w="10140" w:type="dxa"/>
            <w:vAlign w:val="bottom"/>
          </w:tcPr>
          <w:p>
            <w:pPr>
              <w:ind w:left="120"/>
              <w:spacing w:after="0"/>
              <w:rPr>
                <w:rFonts w:ascii="Times New Roman" w:cs="Times New Roman" w:eastAsia="Times New Roman" w:hAnsi="Times New Roman"/>
                <w:sz w:val="16"/>
                <w:szCs w:val="16"/>
                <w:u w:val="single" w:color="auto"/>
                <w:color w:val="0000FF"/>
              </w:rPr>
            </w:pPr>
            <w:hyperlink w:anchor="page5">
              <w:r>
                <w:rPr>
                  <w:rFonts w:ascii="Times New Roman" w:cs="Times New Roman" w:eastAsia="Times New Roman" w:hAnsi="Times New Roman"/>
                  <w:sz w:val="16"/>
                  <w:szCs w:val="16"/>
                  <w:u w:val="single" w:color="auto"/>
                  <w:color w:val="0000FF"/>
                </w:rPr>
                <w:t>Condensed Consolidated Balance Sheets</w:t>
              </w:r>
            </w:hyperlink>
          </w:p>
        </w:tc>
        <w:tc>
          <w:tcPr>
            <w:tcW w:w="1060" w:type="dxa"/>
            <w:vAlign w:val="bottom"/>
          </w:tcPr>
          <w:p>
            <w:pPr>
              <w:jc w:val="center"/>
              <w:spacing w:after="0"/>
              <w:rPr>
                <w:rFonts w:ascii="Times New Roman" w:cs="Times New Roman" w:eastAsia="Times New Roman" w:hAnsi="Times New Roman"/>
                <w:sz w:val="16"/>
                <w:szCs w:val="16"/>
                <w:u w:val="single" w:color="auto"/>
                <w:color w:val="0000FF"/>
                <w:w w:val="99"/>
              </w:rPr>
            </w:pPr>
            <w:hyperlink w:anchor="page5">
              <w:r>
                <w:rPr>
                  <w:rFonts w:ascii="Times New Roman" w:cs="Times New Roman" w:eastAsia="Times New Roman" w:hAnsi="Times New Roman"/>
                  <w:sz w:val="16"/>
                  <w:szCs w:val="16"/>
                  <w:u w:val="single" w:color="auto"/>
                  <w:color w:val="0000FF"/>
                  <w:w w:val="99"/>
                </w:rPr>
                <w:t>4</w:t>
              </w:r>
            </w:hyperlink>
          </w:p>
        </w:tc>
      </w:tr>
      <w:tr>
        <w:trPr>
          <w:trHeight w:val="243"/>
        </w:trPr>
        <w:tc>
          <w:tcPr>
            <w:tcW w:w="10140" w:type="dxa"/>
            <w:vAlign w:val="bottom"/>
          </w:tcPr>
          <w:p>
            <w:pPr>
              <w:ind w:left="120"/>
              <w:spacing w:after="0"/>
              <w:rPr>
                <w:rFonts w:ascii="Times New Roman" w:cs="Times New Roman" w:eastAsia="Times New Roman" w:hAnsi="Times New Roman"/>
                <w:sz w:val="16"/>
                <w:szCs w:val="16"/>
                <w:u w:val="single" w:color="auto"/>
                <w:color w:val="0000FF"/>
              </w:rPr>
            </w:pPr>
            <w:hyperlink w:anchor="page5">
              <w:r>
                <w:rPr>
                  <w:rFonts w:ascii="Times New Roman" w:cs="Times New Roman" w:eastAsia="Times New Roman" w:hAnsi="Times New Roman"/>
                  <w:sz w:val="16"/>
                  <w:szCs w:val="16"/>
                  <w:u w:val="single" w:color="auto"/>
                  <w:color w:val="0000FF"/>
                </w:rPr>
                <w:t>Condensed Consolidated Statements of Operations</w:t>
              </w:r>
            </w:hyperlink>
          </w:p>
        </w:tc>
        <w:tc>
          <w:tcPr>
            <w:tcW w:w="1060" w:type="dxa"/>
            <w:vAlign w:val="bottom"/>
          </w:tcPr>
          <w:p>
            <w:pPr>
              <w:jc w:val="center"/>
              <w:spacing w:after="0"/>
              <w:rPr>
                <w:rFonts w:ascii="Times New Roman" w:cs="Times New Roman" w:eastAsia="Times New Roman" w:hAnsi="Times New Roman"/>
                <w:sz w:val="16"/>
                <w:szCs w:val="16"/>
                <w:u w:val="single" w:color="auto"/>
                <w:color w:val="0000FF"/>
                <w:w w:val="99"/>
              </w:rPr>
            </w:pPr>
            <w:hyperlink w:anchor="page5">
              <w:r>
                <w:rPr>
                  <w:rFonts w:ascii="Times New Roman" w:cs="Times New Roman" w:eastAsia="Times New Roman" w:hAnsi="Times New Roman"/>
                  <w:sz w:val="16"/>
                  <w:szCs w:val="16"/>
                  <w:u w:val="single" w:color="auto"/>
                  <w:color w:val="0000FF"/>
                  <w:w w:val="99"/>
                </w:rPr>
                <w:t>5</w:t>
              </w:r>
            </w:hyperlink>
          </w:p>
        </w:tc>
      </w:tr>
      <w:tr>
        <w:trPr>
          <w:trHeight w:val="243"/>
        </w:trPr>
        <w:tc>
          <w:tcPr>
            <w:tcW w:w="10140" w:type="dxa"/>
            <w:vAlign w:val="bottom"/>
          </w:tcPr>
          <w:p>
            <w:pPr>
              <w:ind w:left="120"/>
              <w:spacing w:after="0"/>
              <w:rPr>
                <w:rFonts w:ascii="Times New Roman" w:cs="Times New Roman" w:eastAsia="Times New Roman" w:hAnsi="Times New Roman"/>
                <w:sz w:val="16"/>
                <w:szCs w:val="16"/>
                <w:u w:val="single" w:color="auto"/>
                <w:color w:val="0000FF"/>
              </w:rPr>
            </w:pPr>
            <w:hyperlink w:anchor="page6">
              <w:r>
                <w:rPr>
                  <w:rFonts w:ascii="Times New Roman" w:cs="Times New Roman" w:eastAsia="Times New Roman" w:hAnsi="Times New Roman"/>
                  <w:sz w:val="16"/>
                  <w:szCs w:val="16"/>
                  <w:u w:val="single" w:color="auto"/>
                  <w:color w:val="0000FF"/>
                </w:rPr>
                <w:t>Condensed Consolidated Statements of Comprehensive Loss</w:t>
              </w:r>
            </w:hyperlink>
          </w:p>
        </w:tc>
        <w:tc>
          <w:tcPr>
            <w:tcW w:w="1060" w:type="dxa"/>
            <w:vAlign w:val="bottom"/>
          </w:tcPr>
          <w:p>
            <w:pPr>
              <w:jc w:val="center"/>
              <w:spacing w:after="0"/>
              <w:rPr>
                <w:rFonts w:ascii="Times New Roman" w:cs="Times New Roman" w:eastAsia="Times New Roman" w:hAnsi="Times New Roman"/>
                <w:sz w:val="16"/>
                <w:szCs w:val="16"/>
                <w:u w:val="single" w:color="auto"/>
                <w:color w:val="0000FF"/>
                <w:w w:val="99"/>
              </w:rPr>
            </w:pPr>
            <w:hyperlink w:anchor="page6">
              <w:r>
                <w:rPr>
                  <w:rFonts w:ascii="Times New Roman" w:cs="Times New Roman" w:eastAsia="Times New Roman" w:hAnsi="Times New Roman"/>
                  <w:sz w:val="16"/>
                  <w:szCs w:val="16"/>
                  <w:u w:val="single" w:color="auto"/>
                  <w:color w:val="0000FF"/>
                  <w:w w:val="99"/>
                </w:rPr>
                <w:t>6</w:t>
              </w:r>
            </w:hyperlink>
          </w:p>
        </w:tc>
      </w:tr>
      <w:tr>
        <w:trPr>
          <w:trHeight w:val="243"/>
        </w:trPr>
        <w:tc>
          <w:tcPr>
            <w:tcW w:w="10140" w:type="dxa"/>
            <w:vAlign w:val="bottom"/>
          </w:tcPr>
          <w:p>
            <w:pPr>
              <w:ind w:left="120"/>
              <w:spacing w:after="0"/>
              <w:rPr>
                <w:rFonts w:ascii="Times New Roman" w:cs="Times New Roman" w:eastAsia="Times New Roman" w:hAnsi="Times New Roman"/>
                <w:sz w:val="16"/>
                <w:szCs w:val="16"/>
                <w:u w:val="single" w:color="auto"/>
                <w:color w:val="0000FF"/>
              </w:rPr>
            </w:pPr>
            <w:hyperlink w:anchor="page7">
              <w:r>
                <w:rPr>
                  <w:rFonts w:ascii="Times New Roman" w:cs="Times New Roman" w:eastAsia="Times New Roman" w:hAnsi="Times New Roman"/>
                  <w:sz w:val="16"/>
                  <w:szCs w:val="16"/>
                  <w:u w:val="single" w:color="auto"/>
                  <w:color w:val="0000FF"/>
                </w:rPr>
                <w:t>Condensed Consolidated Statements of Stockholders' Equity</w:t>
              </w:r>
            </w:hyperlink>
          </w:p>
        </w:tc>
        <w:tc>
          <w:tcPr>
            <w:tcW w:w="1060" w:type="dxa"/>
            <w:vAlign w:val="bottom"/>
          </w:tcPr>
          <w:p>
            <w:pPr>
              <w:jc w:val="center"/>
              <w:spacing w:after="0"/>
              <w:rPr>
                <w:rFonts w:ascii="Times New Roman" w:cs="Times New Roman" w:eastAsia="Times New Roman" w:hAnsi="Times New Roman"/>
                <w:sz w:val="16"/>
                <w:szCs w:val="16"/>
                <w:u w:val="single" w:color="auto"/>
                <w:color w:val="0000FF"/>
                <w:w w:val="99"/>
              </w:rPr>
            </w:pPr>
            <w:hyperlink w:anchor="page7">
              <w:r>
                <w:rPr>
                  <w:rFonts w:ascii="Times New Roman" w:cs="Times New Roman" w:eastAsia="Times New Roman" w:hAnsi="Times New Roman"/>
                  <w:sz w:val="16"/>
                  <w:szCs w:val="16"/>
                  <w:u w:val="single" w:color="auto"/>
                  <w:color w:val="0000FF"/>
                  <w:w w:val="99"/>
                </w:rPr>
                <w:t>7</w:t>
              </w:r>
            </w:hyperlink>
          </w:p>
        </w:tc>
      </w:tr>
      <w:tr>
        <w:trPr>
          <w:trHeight w:val="243"/>
        </w:trPr>
        <w:tc>
          <w:tcPr>
            <w:tcW w:w="10140" w:type="dxa"/>
            <w:vAlign w:val="bottom"/>
          </w:tcPr>
          <w:p>
            <w:pPr>
              <w:ind w:left="120"/>
              <w:spacing w:after="0"/>
              <w:rPr>
                <w:rFonts w:ascii="Times New Roman" w:cs="Times New Roman" w:eastAsia="Times New Roman" w:hAnsi="Times New Roman"/>
                <w:sz w:val="16"/>
                <w:szCs w:val="16"/>
                <w:u w:val="single" w:color="auto"/>
                <w:color w:val="0000FF"/>
              </w:rPr>
            </w:pPr>
            <w:hyperlink w:anchor="page9">
              <w:r>
                <w:rPr>
                  <w:rFonts w:ascii="Times New Roman" w:cs="Times New Roman" w:eastAsia="Times New Roman" w:hAnsi="Times New Roman"/>
                  <w:sz w:val="16"/>
                  <w:szCs w:val="16"/>
                  <w:u w:val="single" w:color="auto"/>
                  <w:color w:val="0000FF"/>
                </w:rPr>
                <w:t>Condensed Consolidated Statements of Cash Flows</w:t>
              </w:r>
            </w:hyperlink>
          </w:p>
        </w:tc>
        <w:tc>
          <w:tcPr>
            <w:tcW w:w="1060" w:type="dxa"/>
            <w:vAlign w:val="bottom"/>
          </w:tcPr>
          <w:p>
            <w:pPr>
              <w:jc w:val="center"/>
              <w:spacing w:after="0"/>
              <w:rPr>
                <w:rFonts w:ascii="Times New Roman" w:cs="Times New Roman" w:eastAsia="Times New Roman" w:hAnsi="Times New Roman"/>
                <w:sz w:val="16"/>
                <w:szCs w:val="16"/>
                <w:u w:val="single" w:color="auto"/>
                <w:color w:val="0000FF"/>
                <w:w w:val="99"/>
              </w:rPr>
            </w:pPr>
            <w:hyperlink w:anchor="page9">
              <w:r>
                <w:rPr>
                  <w:rFonts w:ascii="Times New Roman" w:cs="Times New Roman" w:eastAsia="Times New Roman" w:hAnsi="Times New Roman"/>
                  <w:sz w:val="16"/>
                  <w:szCs w:val="16"/>
                  <w:u w:val="single" w:color="auto"/>
                  <w:color w:val="0000FF"/>
                  <w:w w:val="99"/>
                </w:rPr>
                <w:t>9</w:t>
              </w:r>
            </w:hyperlink>
          </w:p>
        </w:tc>
      </w:tr>
      <w:tr>
        <w:trPr>
          <w:trHeight w:val="243"/>
        </w:trPr>
        <w:tc>
          <w:tcPr>
            <w:tcW w:w="10140" w:type="dxa"/>
            <w:vAlign w:val="bottom"/>
          </w:tcPr>
          <w:p>
            <w:pPr>
              <w:ind w:left="120"/>
              <w:spacing w:after="0"/>
              <w:rPr>
                <w:rFonts w:ascii="Times New Roman" w:cs="Times New Roman" w:eastAsia="Times New Roman" w:hAnsi="Times New Roman"/>
                <w:sz w:val="16"/>
                <w:szCs w:val="16"/>
                <w:u w:val="single" w:color="auto"/>
                <w:color w:val="0000FF"/>
              </w:rPr>
            </w:pPr>
            <w:hyperlink w:anchor="page11">
              <w:r>
                <w:rPr>
                  <w:rFonts w:ascii="Times New Roman" w:cs="Times New Roman" w:eastAsia="Times New Roman" w:hAnsi="Times New Roman"/>
                  <w:sz w:val="16"/>
                  <w:szCs w:val="16"/>
                  <w:u w:val="single" w:color="auto"/>
                  <w:color w:val="0000FF"/>
                </w:rPr>
                <w:t>Notes to Unaudited Condensed Consolidated Financial Statements</w:t>
              </w:r>
            </w:hyperlink>
          </w:p>
        </w:tc>
        <w:tc>
          <w:tcPr>
            <w:tcW w:w="1060" w:type="dxa"/>
            <w:vAlign w:val="bottom"/>
          </w:tcPr>
          <w:p>
            <w:pPr>
              <w:jc w:val="center"/>
              <w:spacing w:after="0"/>
              <w:rPr>
                <w:rFonts w:ascii="Times New Roman" w:cs="Times New Roman" w:eastAsia="Times New Roman" w:hAnsi="Times New Roman"/>
                <w:sz w:val="16"/>
                <w:szCs w:val="16"/>
                <w:u w:val="single" w:color="auto"/>
                <w:color w:val="0000FF"/>
                <w:w w:val="99"/>
              </w:rPr>
            </w:pPr>
            <w:hyperlink w:anchor="page11">
              <w:r>
                <w:rPr>
                  <w:rFonts w:ascii="Times New Roman" w:cs="Times New Roman" w:eastAsia="Times New Roman" w:hAnsi="Times New Roman"/>
                  <w:sz w:val="16"/>
                  <w:szCs w:val="16"/>
                  <w:u w:val="single" w:color="auto"/>
                  <w:color w:val="0000FF"/>
                  <w:w w:val="99"/>
                </w:rPr>
                <w:t>11</w:t>
              </w:r>
            </w:hyperlink>
          </w:p>
        </w:tc>
      </w:tr>
      <w:tr>
        <w:trPr>
          <w:trHeight w:val="243"/>
        </w:trPr>
        <w:tc>
          <w:tcPr>
            <w:tcW w:w="10140" w:type="dxa"/>
            <w:vAlign w:val="bottom"/>
          </w:tcPr>
          <w:p>
            <w:pPr>
              <w:spacing w:after="0"/>
              <w:rPr>
                <w:rFonts w:ascii="Times New Roman" w:cs="Times New Roman" w:eastAsia="Times New Roman" w:hAnsi="Times New Roman"/>
                <w:sz w:val="16"/>
                <w:szCs w:val="16"/>
                <w:u w:val="single" w:color="auto"/>
                <w:color w:val="0000FF"/>
              </w:rPr>
            </w:pPr>
            <w:hyperlink w:anchor="page21">
              <w:r>
                <w:rPr>
                  <w:rFonts w:ascii="Times New Roman" w:cs="Times New Roman" w:eastAsia="Times New Roman" w:hAnsi="Times New Roman"/>
                  <w:sz w:val="16"/>
                  <w:szCs w:val="16"/>
                  <w:u w:val="single" w:color="auto"/>
                  <w:color w:val="0000FF"/>
                </w:rPr>
                <w:t>Item 2. Management's Discussion and Analysis of Financial Condition and Results of Operations</w:t>
              </w:r>
            </w:hyperlink>
          </w:p>
        </w:tc>
        <w:tc>
          <w:tcPr>
            <w:tcW w:w="1060" w:type="dxa"/>
            <w:vAlign w:val="bottom"/>
          </w:tcPr>
          <w:p>
            <w:pPr>
              <w:jc w:val="center"/>
              <w:spacing w:after="0"/>
              <w:rPr>
                <w:rFonts w:ascii="Times New Roman" w:cs="Times New Roman" w:eastAsia="Times New Roman" w:hAnsi="Times New Roman"/>
                <w:sz w:val="16"/>
                <w:szCs w:val="16"/>
                <w:u w:val="single" w:color="auto"/>
                <w:color w:val="0000FF"/>
                <w:w w:val="99"/>
              </w:rPr>
            </w:pPr>
            <w:hyperlink w:anchor="page21">
              <w:r>
                <w:rPr>
                  <w:rFonts w:ascii="Times New Roman" w:cs="Times New Roman" w:eastAsia="Times New Roman" w:hAnsi="Times New Roman"/>
                  <w:sz w:val="16"/>
                  <w:szCs w:val="16"/>
                  <w:u w:val="single" w:color="auto"/>
                  <w:color w:val="0000FF"/>
                  <w:w w:val="99"/>
                </w:rPr>
                <w:t>20</w:t>
              </w:r>
            </w:hyperlink>
          </w:p>
        </w:tc>
      </w:tr>
      <w:tr>
        <w:trPr>
          <w:trHeight w:val="243"/>
        </w:trPr>
        <w:tc>
          <w:tcPr>
            <w:tcW w:w="10140" w:type="dxa"/>
            <w:vAlign w:val="bottom"/>
          </w:tcPr>
          <w:p>
            <w:pPr>
              <w:spacing w:after="0"/>
              <w:rPr>
                <w:rFonts w:ascii="Times New Roman" w:cs="Times New Roman" w:eastAsia="Times New Roman" w:hAnsi="Times New Roman"/>
                <w:sz w:val="16"/>
                <w:szCs w:val="16"/>
                <w:u w:val="single" w:color="auto"/>
                <w:color w:val="0000FF"/>
              </w:rPr>
            </w:pPr>
            <w:hyperlink w:anchor="page29">
              <w:r>
                <w:rPr>
                  <w:rFonts w:ascii="Times New Roman" w:cs="Times New Roman" w:eastAsia="Times New Roman" w:hAnsi="Times New Roman"/>
                  <w:sz w:val="16"/>
                  <w:szCs w:val="16"/>
                  <w:u w:val="single" w:color="auto"/>
                  <w:color w:val="0000FF"/>
                </w:rPr>
                <w:t>Item 3. Quantitative and Qualitative Disclosures About Market Risk</w:t>
              </w:r>
            </w:hyperlink>
          </w:p>
        </w:tc>
        <w:tc>
          <w:tcPr>
            <w:tcW w:w="1060" w:type="dxa"/>
            <w:vAlign w:val="bottom"/>
          </w:tcPr>
          <w:p>
            <w:pPr>
              <w:jc w:val="center"/>
              <w:spacing w:after="0"/>
              <w:rPr>
                <w:rFonts w:ascii="Times New Roman" w:cs="Times New Roman" w:eastAsia="Times New Roman" w:hAnsi="Times New Roman"/>
                <w:sz w:val="16"/>
                <w:szCs w:val="16"/>
                <w:u w:val="single" w:color="auto"/>
                <w:color w:val="0000FF"/>
                <w:w w:val="99"/>
              </w:rPr>
            </w:pPr>
            <w:hyperlink w:anchor="page29">
              <w:r>
                <w:rPr>
                  <w:rFonts w:ascii="Times New Roman" w:cs="Times New Roman" w:eastAsia="Times New Roman" w:hAnsi="Times New Roman"/>
                  <w:sz w:val="16"/>
                  <w:szCs w:val="16"/>
                  <w:u w:val="single" w:color="auto"/>
                  <w:color w:val="0000FF"/>
                  <w:w w:val="99"/>
                </w:rPr>
                <w:t>28</w:t>
              </w:r>
            </w:hyperlink>
          </w:p>
        </w:tc>
      </w:tr>
      <w:tr>
        <w:trPr>
          <w:trHeight w:val="243"/>
        </w:trPr>
        <w:tc>
          <w:tcPr>
            <w:tcW w:w="10140" w:type="dxa"/>
            <w:vAlign w:val="bottom"/>
          </w:tcPr>
          <w:p>
            <w:pPr>
              <w:spacing w:after="0"/>
              <w:rPr>
                <w:rFonts w:ascii="Times New Roman" w:cs="Times New Roman" w:eastAsia="Times New Roman" w:hAnsi="Times New Roman"/>
                <w:sz w:val="16"/>
                <w:szCs w:val="16"/>
                <w:u w:val="single" w:color="auto"/>
                <w:color w:val="0000FF"/>
              </w:rPr>
            </w:pPr>
            <w:hyperlink w:anchor="page29">
              <w:r>
                <w:rPr>
                  <w:rFonts w:ascii="Times New Roman" w:cs="Times New Roman" w:eastAsia="Times New Roman" w:hAnsi="Times New Roman"/>
                  <w:sz w:val="16"/>
                  <w:szCs w:val="16"/>
                  <w:u w:val="single" w:color="auto"/>
                  <w:color w:val="0000FF"/>
                </w:rPr>
                <w:t>Item 4. Controls and Procedures</w:t>
              </w:r>
            </w:hyperlink>
          </w:p>
        </w:tc>
        <w:tc>
          <w:tcPr>
            <w:tcW w:w="1060" w:type="dxa"/>
            <w:vAlign w:val="bottom"/>
          </w:tcPr>
          <w:p>
            <w:pPr>
              <w:jc w:val="center"/>
              <w:spacing w:after="0"/>
              <w:rPr>
                <w:rFonts w:ascii="Times New Roman" w:cs="Times New Roman" w:eastAsia="Times New Roman" w:hAnsi="Times New Roman"/>
                <w:sz w:val="16"/>
                <w:szCs w:val="16"/>
                <w:u w:val="single" w:color="auto"/>
                <w:color w:val="0000FF"/>
                <w:w w:val="99"/>
              </w:rPr>
            </w:pPr>
            <w:hyperlink w:anchor="page29">
              <w:r>
                <w:rPr>
                  <w:rFonts w:ascii="Times New Roman" w:cs="Times New Roman" w:eastAsia="Times New Roman" w:hAnsi="Times New Roman"/>
                  <w:sz w:val="16"/>
                  <w:szCs w:val="16"/>
                  <w:u w:val="single" w:color="auto"/>
                  <w:color w:val="0000FF"/>
                  <w:w w:val="99"/>
                </w:rPr>
                <w:t>28</w:t>
              </w:r>
            </w:hyperlink>
          </w:p>
        </w:tc>
      </w:tr>
      <w:tr>
        <w:trPr>
          <w:trHeight w:val="243"/>
        </w:trPr>
        <w:tc>
          <w:tcPr>
            <w:tcW w:w="10140" w:type="dxa"/>
            <w:vAlign w:val="bottom"/>
          </w:tcPr>
          <w:p>
            <w:pPr>
              <w:spacing w:after="0"/>
              <w:rPr>
                <w:rFonts w:ascii="Times New Roman" w:cs="Times New Roman" w:eastAsia="Times New Roman" w:hAnsi="Times New Roman"/>
                <w:sz w:val="16"/>
                <w:szCs w:val="16"/>
                <w:b w:val="1"/>
                <w:bCs w:val="1"/>
                <w:u w:val="single" w:color="auto"/>
                <w:color w:val="0000FF"/>
              </w:rPr>
            </w:pPr>
            <w:hyperlink w:anchor="page30">
              <w:r>
                <w:rPr>
                  <w:rFonts w:ascii="Times New Roman" w:cs="Times New Roman" w:eastAsia="Times New Roman" w:hAnsi="Times New Roman"/>
                  <w:sz w:val="16"/>
                  <w:szCs w:val="16"/>
                  <w:b w:val="1"/>
                  <w:bCs w:val="1"/>
                  <w:u w:val="single" w:color="auto"/>
                  <w:color w:val="0000FF"/>
                </w:rPr>
                <w:t>PART II. OTHER INFORMATION</w:t>
              </w:r>
            </w:hyperlink>
          </w:p>
        </w:tc>
        <w:tc>
          <w:tcPr>
            <w:tcW w:w="1060" w:type="dxa"/>
            <w:vAlign w:val="bottom"/>
          </w:tcPr>
          <w:p>
            <w:pPr>
              <w:jc w:val="center"/>
              <w:spacing w:after="0"/>
              <w:rPr>
                <w:rFonts w:ascii="Times New Roman" w:cs="Times New Roman" w:eastAsia="Times New Roman" w:hAnsi="Times New Roman"/>
                <w:sz w:val="16"/>
                <w:szCs w:val="16"/>
                <w:u w:val="single" w:color="auto"/>
                <w:color w:val="0000FF"/>
                <w:w w:val="99"/>
              </w:rPr>
            </w:pPr>
            <w:hyperlink w:anchor="page30">
              <w:r>
                <w:rPr>
                  <w:rFonts w:ascii="Times New Roman" w:cs="Times New Roman" w:eastAsia="Times New Roman" w:hAnsi="Times New Roman"/>
                  <w:sz w:val="16"/>
                  <w:szCs w:val="16"/>
                  <w:u w:val="single" w:color="auto"/>
                  <w:color w:val="0000FF"/>
                  <w:w w:val="99"/>
                </w:rPr>
                <w:t>30</w:t>
              </w:r>
            </w:hyperlink>
          </w:p>
        </w:tc>
      </w:tr>
      <w:tr>
        <w:trPr>
          <w:trHeight w:val="243"/>
        </w:trPr>
        <w:tc>
          <w:tcPr>
            <w:tcW w:w="10140" w:type="dxa"/>
            <w:vAlign w:val="bottom"/>
          </w:tcPr>
          <w:p>
            <w:pPr>
              <w:spacing w:after="0"/>
              <w:rPr>
                <w:rFonts w:ascii="Times New Roman" w:cs="Times New Roman" w:eastAsia="Times New Roman" w:hAnsi="Times New Roman"/>
                <w:sz w:val="16"/>
                <w:szCs w:val="16"/>
                <w:u w:val="single" w:color="auto"/>
                <w:color w:val="0000FF"/>
              </w:rPr>
            </w:pPr>
            <w:hyperlink w:anchor="page31">
              <w:r>
                <w:rPr>
                  <w:rFonts w:ascii="Times New Roman" w:cs="Times New Roman" w:eastAsia="Times New Roman" w:hAnsi="Times New Roman"/>
                  <w:sz w:val="16"/>
                  <w:szCs w:val="16"/>
                  <w:u w:val="single" w:color="auto"/>
                  <w:color w:val="0000FF"/>
                </w:rPr>
                <w:t>Item 1. Legal Proceedings</w:t>
              </w:r>
            </w:hyperlink>
          </w:p>
        </w:tc>
        <w:tc>
          <w:tcPr>
            <w:tcW w:w="1060" w:type="dxa"/>
            <w:vAlign w:val="bottom"/>
          </w:tcPr>
          <w:p>
            <w:pPr>
              <w:jc w:val="center"/>
              <w:spacing w:after="0"/>
              <w:rPr>
                <w:rFonts w:ascii="Times New Roman" w:cs="Times New Roman" w:eastAsia="Times New Roman" w:hAnsi="Times New Roman"/>
                <w:sz w:val="16"/>
                <w:szCs w:val="16"/>
                <w:u w:val="single" w:color="auto"/>
                <w:color w:val="0000FF"/>
                <w:w w:val="99"/>
              </w:rPr>
            </w:pPr>
            <w:hyperlink w:anchor="page31">
              <w:r>
                <w:rPr>
                  <w:rFonts w:ascii="Times New Roman" w:cs="Times New Roman" w:eastAsia="Times New Roman" w:hAnsi="Times New Roman"/>
                  <w:sz w:val="16"/>
                  <w:szCs w:val="16"/>
                  <w:u w:val="single" w:color="auto"/>
                  <w:color w:val="0000FF"/>
                  <w:w w:val="99"/>
                </w:rPr>
                <w:t>30</w:t>
              </w:r>
            </w:hyperlink>
          </w:p>
        </w:tc>
      </w:tr>
      <w:tr>
        <w:trPr>
          <w:trHeight w:val="243"/>
        </w:trPr>
        <w:tc>
          <w:tcPr>
            <w:tcW w:w="10140" w:type="dxa"/>
            <w:vAlign w:val="bottom"/>
          </w:tcPr>
          <w:p>
            <w:pPr>
              <w:spacing w:after="0"/>
              <w:rPr>
                <w:rFonts w:ascii="Times New Roman" w:cs="Times New Roman" w:eastAsia="Times New Roman" w:hAnsi="Times New Roman"/>
                <w:sz w:val="16"/>
                <w:szCs w:val="16"/>
                <w:u w:val="single" w:color="auto"/>
                <w:color w:val="0000FF"/>
              </w:rPr>
            </w:pPr>
            <w:hyperlink w:anchor="page31">
              <w:r>
                <w:rPr>
                  <w:rFonts w:ascii="Times New Roman" w:cs="Times New Roman" w:eastAsia="Times New Roman" w:hAnsi="Times New Roman"/>
                  <w:sz w:val="16"/>
                  <w:szCs w:val="16"/>
                  <w:u w:val="single" w:color="auto"/>
                  <w:color w:val="0000FF"/>
                </w:rPr>
                <w:t>Item 1A. Risk Factors</w:t>
              </w:r>
            </w:hyperlink>
          </w:p>
        </w:tc>
        <w:tc>
          <w:tcPr>
            <w:tcW w:w="1060" w:type="dxa"/>
            <w:vAlign w:val="bottom"/>
          </w:tcPr>
          <w:p>
            <w:pPr>
              <w:jc w:val="center"/>
              <w:spacing w:after="0"/>
              <w:rPr>
                <w:rFonts w:ascii="Times New Roman" w:cs="Times New Roman" w:eastAsia="Times New Roman" w:hAnsi="Times New Roman"/>
                <w:sz w:val="16"/>
                <w:szCs w:val="16"/>
                <w:u w:val="single" w:color="auto"/>
                <w:color w:val="0000FF"/>
                <w:w w:val="99"/>
              </w:rPr>
            </w:pPr>
            <w:hyperlink w:anchor="page31">
              <w:r>
                <w:rPr>
                  <w:rFonts w:ascii="Times New Roman" w:cs="Times New Roman" w:eastAsia="Times New Roman" w:hAnsi="Times New Roman"/>
                  <w:sz w:val="16"/>
                  <w:szCs w:val="16"/>
                  <w:u w:val="single" w:color="auto"/>
                  <w:color w:val="0000FF"/>
                  <w:w w:val="99"/>
                </w:rPr>
                <w:t>30</w:t>
              </w:r>
            </w:hyperlink>
          </w:p>
        </w:tc>
      </w:tr>
      <w:tr>
        <w:trPr>
          <w:trHeight w:val="243"/>
        </w:trPr>
        <w:tc>
          <w:tcPr>
            <w:tcW w:w="10140" w:type="dxa"/>
            <w:vAlign w:val="bottom"/>
          </w:tcPr>
          <w:p>
            <w:pPr>
              <w:spacing w:after="0"/>
              <w:rPr>
                <w:rFonts w:ascii="Times New Roman" w:cs="Times New Roman" w:eastAsia="Times New Roman" w:hAnsi="Times New Roman"/>
                <w:sz w:val="16"/>
                <w:szCs w:val="16"/>
                <w:u w:val="single" w:color="auto"/>
                <w:color w:val="0000FF"/>
              </w:rPr>
            </w:pPr>
            <w:hyperlink w:anchor="page31">
              <w:r>
                <w:rPr>
                  <w:rFonts w:ascii="Times New Roman" w:cs="Times New Roman" w:eastAsia="Times New Roman" w:hAnsi="Times New Roman"/>
                  <w:sz w:val="16"/>
                  <w:szCs w:val="16"/>
                  <w:u w:val="single" w:color="auto"/>
                  <w:color w:val="0000FF"/>
                </w:rPr>
                <w:t>Item 2. Unregistered Sales of Equity Securities and Use of Proceeds</w:t>
              </w:r>
            </w:hyperlink>
          </w:p>
        </w:tc>
        <w:tc>
          <w:tcPr>
            <w:tcW w:w="1060" w:type="dxa"/>
            <w:vAlign w:val="bottom"/>
          </w:tcPr>
          <w:p>
            <w:pPr>
              <w:jc w:val="center"/>
              <w:spacing w:after="0"/>
              <w:rPr>
                <w:rFonts w:ascii="Times New Roman" w:cs="Times New Roman" w:eastAsia="Times New Roman" w:hAnsi="Times New Roman"/>
                <w:sz w:val="16"/>
                <w:szCs w:val="16"/>
                <w:u w:val="single" w:color="auto"/>
                <w:color w:val="0000FF"/>
                <w:w w:val="99"/>
              </w:rPr>
            </w:pPr>
            <w:hyperlink w:anchor="page31">
              <w:r>
                <w:rPr>
                  <w:rFonts w:ascii="Times New Roman" w:cs="Times New Roman" w:eastAsia="Times New Roman" w:hAnsi="Times New Roman"/>
                  <w:sz w:val="16"/>
                  <w:szCs w:val="16"/>
                  <w:u w:val="single" w:color="auto"/>
                  <w:color w:val="0000FF"/>
                  <w:w w:val="99"/>
                </w:rPr>
                <w:t>30</w:t>
              </w:r>
            </w:hyperlink>
          </w:p>
        </w:tc>
      </w:tr>
      <w:tr>
        <w:trPr>
          <w:trHeight w:val="243"/>
        </w:trPr>
        <w:tc>
          <w:tcPr>
            <w:tcW w:w="10140" w:type="dxa"/>
            <w:vAlign w:val="bottom"/>
          </w:tcPr>
          <w:p>
            <w:pPr>
              <w:spacing w:after="0"/>
              <w:rPr>
                <w:rFonts w:ascii="Times New Roman" w:cs="Times New Roman" w:eastAsia="Times New Roman" w:hAnsi="Times New Roman"/>
                <w:sz w:val="16"/>
                <w:szCs w:val="16"/>
                <w:u w:val="single" w:color="auto"/>
                <w:color w:val="0000FF"/>
              </w:rPr>
            </w:pPr>
            <w:hyperlink w:anchor="page31">
              <w:r>
                <w:rPr>
                  <w:rFonts w:ascii="Times New Roman" w:cs="Times New Roman" w:eastAsia="Times New Roman" w:hAnsi="Times New Roman"/>
                  <w:sz w:val="16"/>
                  <w:szCs w:val="16"/>
                  <w:u w:val="single" w:color="auto"/>
                  <w:color w:val="0000FF"/>
                </w:rPr>
                <w:t>Item 3. Defaults Upon Senior Securities</w:t>
              </w:r>
            </w:hyperlink>
          </w:p>
        </w:tc>
        <w:tc>
          <w:tcPr>
            <w:tcW w:w="1060" w:type="dxa"/>
            <w:vAlign w:val="bottom"/>
          </w:tcPr>
          <w:p>
            <w:pPr>
              <w:jc w:val="center"/>
              <w:spacing w:after="0"/>
              <w:rPr>
                <w:rFonts w:ascii="Times New Roman" w:cs="Times New Roman" w:eastAsia="Times New Roman" w:hAnsi="Times New Roman"/>
                <w:sz w:val="16"/>
                <w:szCs w:val="16"/>
                <w:u w:val="single" w:color="auto"/>
                <w:color w:val="0000FF"/>
                <w:w w:val="99"/>
              </w:rPr>
            </w:pPr>
            <w:hyperlink w:anchor="page31">
              <w:r>
                <w:rPr>
                  <w:rFonts w:ascii="Times New Roman" w:cs="Times New Roman" w:eastAsia="Times New Roman" w:hAnsi="Times New Roman"/>
                  <w:sz w:val="16"/>
                  <w:szCs w:val="16"/>
                  <w:u w:val="single" w:color="auto"/>
                  <w:color w:val="0000FF"/>
                  <w:w w:val="99"/>
                </w:rPr>
                <w:t>30</w:t>
              </w:r>
            </w:hyperlink>
          </w:p>
        </w:tc>
      </w:tr>
      <w:tr>
        <w:trPr>
          <w:trHeight w:val="243"/>
        </w:trPr>
        <w:tc>
          <w:tcPr>
            <w:tcW w:w="10140" w:type="dxa"/>
            <w:vAlign w:val="bottom"/>
          </w:tcPr>
          <w:p>
            <w:pPr>
              <w:spacing w:after="0"/>
              <w:rPr>
                <w:rFonts w:ascii="Times New Roman" w:cs="Times New Roman" w:eastAsia="Times New Roman" w:hAnsi="Times New Roman"/>
                <w:sz w:val="16"/>
                <w:szCs w:val="16"/>
                <w:u w:val="single" w:color="auto"/>
                <w:color w:val="0000FF"/>
              </w:rPr>
            </w:pPr>
            <w:hyperlink w:anchor="page31">
              <w:r>
                <w:rPr>
                  <w:rFonts w:ascii="Times New Roman" w:cs="Times New Roman" w:eastAsia="Times New Roman" w:hAnsi="Times New Roman"/>
                  <w:sz w:val="16"/>
                  <w:szCs w:val="16"/>
                  <w:u w:val="single" w:color="auto"/>
                  <w:color w:val="0000FF"/>
                </w:rPr>
                <w:t>Item 4. Mine Safety Disclosures</w:t>
              </w:r>
            </w:hyperlink>
          </w:p>
        </w:tc>
        <w:tc>
          <w:tcPr>
            <w:tcW w:w="1060" w:type="dxa"/>
            <w:vAlign w:val="bottom"/>
          </w:tcPr>
          <w:p>
            <w:pPr>
              <w:jc w:val="center"/>
              <w:spacing w:after="0"/>
              <w:rPr>
                <w:rFonts w:ascii="Times New Roman" w:cs="Times New Roman" w:eastAsia="Times New Roman" w:hAnsi="Times New Roman"/>
                <w:sz w:val="16"/>
                <w:szCs w:val="16"/>
                <w:u w:val="single" w:color="auto"/>
                <w:color w:val="0000FF"/>
                <w:w w:val="99"/>
              </w:rPr>
            </w:pPr>
            <w:hyperlink w:anchor="page31">
              <w:r>
                <w:rPr>
                  <w:rFonts w:ascii="Times New Roman" w:cs="Times New Roman" w:eastAsia="Times New Roman" w:hAnsi="Times New Roman"/>
                  <w:sz w:val="16"/>
                  <w:szCs w:val="16"/>
                  <w:u w:val="single" w:color="auto"/>
                  <w:color w:val="0000FF"/>
                  <w:w w:val="99"/>
                </w:rPr>
                <w:t>30</w:t>
              </w:r>
            </w:hyperlink>
          </w:p>
        </w:tc>
      </w:tr>
      <w:tr>
        <w:trPr>
          <w:trHeight w:val="243"/>
        </w:trPr>
        <w:tc>
          <w:tcPr>
            <w:tcW w:w="10140" w:type="dxa"/>
            <w:vAlign w:val="bottom"/>
          </w:tcPr>
          <w:p>
            <w:pPr>
              <w:spacing w:after="0"/>
              <w:rPr>
                <w:rFonts w:ascii="Times New Roman" w:cs="Times New Roman" w:eastAsia="Times New Roman" w:hAnsi="Times New Roman"/>
                <w:sz w:val="16"/>
                <w:szCs w:val="16"/>
                <w:u w:val="single" w:color="auto"/>
                <w:color w:val="0000FF"/>
              </w:rPr>
            </w:pPr>
            <w:hyperlink w:anchor="page31">
              <w:r>
                <w:rPr>
                  <w:rFonts w:ascii="Times New Roman" w:cs="Times New Roman" w:eastAsia="Times New Roman" w:hAnsi="Times New Roman"/>
                  <w:sz w:val="16"/>
                  <w:szCs w:val="16"/>
                  <w:u w:val="single" w:color="auto"/>
                  <w:color w:val="0000FF"/>
                </w:rPr>
                <w:t>Item 5. Other Information</w:t>
              </w:r>
            </w:hyperlink>
          </w:p>
        </w:tc>
        <w:tc>
          <w:tcPr>
            <w:tcW w:w="1060" w:type="dxa"/>
            <w:vAlign w:val="bottom"/>
          </w:tcPr>
          <w:p>
            <w:pPr>
              <w:jc w:val="center"/>
              <w:spacing w:after="0"/>
              <w:rPr>
                <w:rFonts w:ascii="Times New Roman" w:cs="Times New Roman" w:eastAsia="Times New Roman" w:hAnsi="Times New Roman"/>
                <w:sz w:val="16"/>
                <w:szCs w:val="16"/>
                <w:u w:val="single" w:color="auto"/>
                <w:color w:val="0000FF"/>
                <w:w w:val="99"/>
              </w:rPr>
            </w:pPr>
            <w:hyperlink w:anchor="page31">
              <w:r>
                <w:rPr>
                  <w:rFonts w:ascii="Times New Roman" w:cs="Times New Roman" w:eastAsia="Times New Roman" w:hAnsi="Times New Roman"/>
                  <w:sz w:val="16"/>
                  <w:szCs w:val="16"/>
                  <w:u w:val="single" w:color="auto"/>
                  <w:color w:val="0000FF"/>
                  <w:w w:val="99"/>
                </w:rPr>
                <w:t>30</w:t>
              </w:r>
            </w:hyperlink>
          </w:p>
        </w:tc>
      </w:tr>
      <w:tr>
        <w:trPr>
          <w:trHeight w:val="243"/>
        </w:trPr>
        <w:tc>
          <w:tcPr>
            <w:tcW w:w="10140" w:type="dxa"/>
            <w:vAlign w:val="bottom"/>
          </w:tcPr>
          <w:p>
            <w:pPr>
              <w:spacing w:after="0"/>
              <w:rPr>
                <w:rFonts w:ascii="Times New Roman" w:cs="Times New Roman" w:eastAsia="Times New Roman" w:hAnsi="Times New Roman"/>
                <w:sz w:val="16"/>
                <w:szCs w:val="16"/>
                <w:u w:val="single" w:color="auto"/>
                <w:color w:val="0000FF"/>
              </w:rPr>
            </w:pPr>
            <w:hyperlink w:anchor="page31">
              <w:r>
                <w:rPr>
                  <w:rFonts w:ascii="Times New Roman" w:cs="Times New Roman" w:eastAsia="Times New Roman" w:hAnsi="Times New Roman"/>
                  <w:sz w:val="16"/>
                  <w:szCs w:val="16"/>
                  <w:u w:val="single" w:color="auto"/>
                  <w:color w:val="0000FF"/>
                </w:rPr>
                <w:t>Item 6. Exhibits</w:t>
              </w:r>
            </w:hyperlink>
          </w:p>
        </w:tc>
        <w:tc>
          <w:tcPr>
            <w:tcW w:w="1060" w:type="dxa"/>
            <w:vAlign w:val="bottom"/>
          </w:tcPr>
          <w:p>
            <w:pPr>
              <w:jc w:val="center"/>
              <w:spacing w:after="0"/>
              <w:rPr>
                <w:rFonts w:ascii="Times New Roman" w:cs="Times New Roman" w:eastAsia="Times New Roman" w:hAnsi="Times New Roman"/>
                <w:sz w:val="16"/>
                <w:szCs w:val="16"/>
                <w:u w:val="single" w:color="auto"/>
                <w:color w:val="0000FF"/>
                <w:w w:val="99"/>
              </w:rPr>
            </w:pPr>
            <w:hyperlink w:anchor="page31">
              <w:r>
                <w:rPr>
                  <w:rFonts w:ascii="Times New Roman" w:cs="Times New Roman" w:eastAsia="Times New Roman" w:hAnsi="Times New Roman"/>
                  <w:sz w:val="16"/>
                  <w:szCs w:val="16"/>
                  <w:u w:val="single" w:color="auto"/>
                  <w:color w:val="0000FF"/>
                  <w:w w:val="99"/>
                </w:rPr>
                <w:t>31</w:t>
              </w:r>
            </w:hyperlink>
          </w:p>
        </w:tc>
      </w:tr>
      <w:tr>
        <w:trPr>
          <w:trHeight w:val="243"/>
        </w:trPr>
        <w:tc>
          <w:tcPr>
            <w:tcW w:w="10140" w:type="dxa"/>
            <w:vAlign w:val="bottom"/>
          </w:tcPr>
          <w:p>
            <w:pPr>
              <w:spacing w:after="0"/>
              <w:rPr>
                <w:rFonts w:ascii="Times New Roman" w:cs="Times New Roman" w:eastAsia="Times New Roman" w:hAnsi="Times New Roman"/>
                <w:sz w:val="16"/>
                <w:szCs w:val="16"/>
                <w:u w:val="single" w:color="auto"/>
                <w:color w:val="0000FF"/>
              </w:rPr>
            </w:pPr>
            <w:hyperlink w:anchor="page32">
              <w:r>
                <w:rPr>
                  <w:rFonts w:ascii="Times New Roman" w:cs="Times New Roman" w:eastAsia="Times New Roman" w:hAnsi="Times New Roman"/>
                  <w:sz w:val="16"/>
                  <w:szCs w:val="16"/>
                  <w:u w:val="single" w:color="auto"/>
                  <w:color w:val="0000FF"/>
                </w:rPr>
                <w:t>Signature</w:t>
              </w:r>
            </w:hyperlink>
          </w:p>
        </w:tc>
        <w:tc>
          <w:tcPr>
            <w:tcW w:w="1060" w:type="dxa"/>
            <w:vAlign w:val="bottom"/>
          </w:tcPr>
          <w:p>
            <w:pPr>
              <w:jc w:val="center"/>
              <w:spacing w:after="0"/>
              <w:rPr>
                <w:rFonts w:ascii="Times New Roman" w:cs="Times New Roman" w:eastAsia="Times New Roman" w:hAnsi="Times New Roman"/>
                <w:sz w:val="16"/>
                <w:szCs w:val="16"/>
                <w:u w:val="single" w:color="auto"/>
                <w:color w:val="0000FF"/>
                <w:w w:val="99"/>
              </w:rPr>
            </w:pPr>
            <w:hyperlink w:anchor="page32">
              <w:r>
                <w:rPr>
                  <w:rFonts w:ascii="Times New Roman" w:cs="Times New Roman" w:eastAsia="Times New Roman" w:hAnsi="Times New Roman"/>
                  <w:sz w:val="16"/>
                  <w:szCs w:val="16"/>
                  <w:u w:val="single" w:color="auto"/>
                  <w:color w:val="0000FF"/>
                  <w:w w:val="99"/>
                </w:rPr>
                <w:t>32</w:t>
              </w:r>
            </w:hyperlink>
          </w:p>
        </w:tc>
      </w:tr>
    </w:tbl>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and Risk Factors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Statements contained in this quarterly report on Form 10-Q, or Quarterly Report, regarding our expectations, beliefs, estimates, intentions or strategies are forward-looking statements within the meaning of Section 27A of the Securities Act of 1933 and Section 21E of the Securities Exchange Act of 1934. Any statements contained herein that are not statements of historical fact may be deemed to be forward-looking statements. For example, words such as "may," "will," "should," "estimates," "predicts," "potential," "continue," "strategy," "believes," "anticipates," "plans," "expects," "intends," and similar expressions are intended to identify forward-looking statements. These forward-looking statements include, but are not limited to, statements regarding: industry trends; our number of customers; average annual service revenue per customer; cost of service revenue and other revenue; research and development expenses; hiring of employees; sales and marketing expenses; general and administrative expenses in future periods; and the impact of the COVID-19 pandemic. You should not place undue reliance on these forward-looking statements. Actual results and trends may differ materially from historical results and those projected in any such forward-looking statements depending on a variety of factors. These factors include, but are not limited to:</w:t>
      </w:r>
    </w:p>
    <w:p>
      <w:pPr>
        <w:spacing w:after="0" w:line="80"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economic downturns on us and our customers, including the impacts of the COVID-19 pandemic;</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cancellations and rate of customer churn or downsell;</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benefits that can be realized from migrating customers from legacy products, including reducing the number of supported platforms and improved customer churn;</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acceptance and demand for our cloud communication and collaboration services, including voice, contact center, video, messaging, and communication application programming interfaces ("APIs");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market pressures, and any changes in the competitive dynamics of the markets in which we compete;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new or existing services and features we may offer from time to time;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reliability of our products and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acquisition costs;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network of channel partners to provide substantial new customer demand;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including the cost to support strategic initiatives with value-added resellers ("VARs") and other partners, to acquire more customers may not result in additional revenue from new or existing customers;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extent of improvements in operating results from increased spending in marketing, sales, and research and development;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recruiting, training and integrating new employees and retaining existing employees;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infrastructure of third-party network services providers;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failure in our physical infrastructure;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defects or bugs in our software;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cybersecurity breaches;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compatibility of our software with third-party applications and mobile platforms;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compliance with industry standards and regulatory requirements, including privacy, in the United States and foreign countries in which we make our cloud software and services solutions available, and the costs of such compliance;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and adoption of our cloud software solutions in markets outside of the United States;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acquisition and integration of businesses we have acquired or may acquire in the future, particularly if the acquired business operates in a different product market space from us or is based in a region where we do not have significant operations;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senior convertible notes and the related capped call transactions;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and effects of new accounting standards and policies in our reported financial results;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future intellectual property infringement claims and other litigation that could adversely impact our business and operating results.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Please refer to the "Risk Factors" section of our Form 10-K for the fiscal year ended March 31, 2020, as modified by the "Risk Factors" section of our Quarterly Report for the three months ended June 30, 2020, and subsequent Securities and Exchange Commission ("SEC") filings for additional factors that could materially affect our financial performance. All forward-looking statements included in this Quarterly Report are based on information available to us on the date hereof, and we assume no obligation to update any such forward-looking statements. Readers are urged to carefully review and consider the various disclosures made in this Quarterly Report, which attempts to advise interested parties of the risks and factors that may affect our business, financial condition, results of operations, and prospects.</w:t>
      </w:r>
    </w:p>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fiscal year ends on March 31, of each calendar year. Each reference to a fiscal year in this Quarterly Report, refers to the fiscal year ended March 31, of the calendar year indicated (for example, fiscal 2021 refers to the fiscal year ending on March 31, 2021). Unless the context requires otherwise, references to "we," "us," "our," "8x8" and the "Company" refer to 8x8, Inc. and its consolidated subsidiaries.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8X8,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400" w:type="dxa"/>
            <w:vAlign w:val="bottom"/>
          </w:tcPr>
          <w:p>
            <w:pPr>
              <w:spacing w:after="0"/>
              <w:rPr>
                <w:sz w:val="20"/>
                <w:szCs w:val="20"/>
                <w:color w:val="auto"/>
              </w:rPr>
            </w:pPr>
          </w:p>
        </w:tc>
        <w:tc>
          <w:tcPr>
            <w:tcW w:w="21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March 31, 2020</w:t>
            </w:r>
          </w:p>
        </w:tc>
      </w:tr>
      <w:tr>
        <w:trPr>
          <w:trHeight w:val="223"/>
        </w:trPr>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top w:val="single" w:sz="8" w:color="auto"/>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spacing w:after="0"/>
              <w:rPr>
                <w:sz w:val="19"/>
                <w:szCs w:val="19"/>
                <w:color w:val="auto"/>
              </w:rPr>
            </w:pPr>
          </w:p>
        </w:tc>
      </w:tr>
      <w:tr>
        <w:trPr>
          <w:trHeight w:val="22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30"/>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137,394</w:t>
            </w:r>
          </w:p>
        </w:tc>
      </w:tr>
      <w:tr>
        <w:trPr>
          <w:trHeight w:val="229"/>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cash, current</w:t>
            </w:r>
          </w:p>
        </w:tc>
        <w:tc>
          <w:tcPr>
            <w:tcW w:w="3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10,376</w:t>
            </w:r>
          </w:p>
        </w:tc>
      </w:tr>
      <w:tr>
        <w:trPr>
          <w:trHeight w:val="229"/>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33,458</w:t>
            </w:r>
          </w:p>
        </w:tc>
      </w:tr>
      <w:tr>
        <w:trPr>
          <w:trHeight w:val="230"/>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37,811</w:t>
            </w:r>
          </w:p>
        </w:tc>
      </w:tr>
      <w:tr>
        <w:trPr>
          <w:trHeight w:val="229"/>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sales commission costs, current</w:t>
            </w:r>
          </w:p>
        </w:tc>
        <w:tc>
          <w:tcPr>
            <w:tcW w:w="32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22,444</w:t>
            </w:r>
          </w:p>
        </w:tc>
      </w:tr>
      <w:tr>
        <w:trPr>
          <w:trHeight w:val="230"/>
        </w:trPr>
        <w:tc>
          <w:tcPr>
            <w:tcW w:w="6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39,565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35,679</w:t>
            </w:r>
          </w:p>
        </w:tc>
      </w:tr>
      <w:tr>
        <w:trPr>
          <w:trHeight w:val="223"/>
        </w:trPr>
        <w:tc>
          <w:tcPr>
            <w:tcW w:w="6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277,162</w:t>
            </w:r>
          </w:p>
        </w:tc>
      </w:tr>
      <w:tr>
        <w:trPr>
          <w:trHeight w:val="23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94,480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94,382</w:t>
            </w:r>
          </w:p>
        </w:tc>
      </w:tr>
      <w:tr>
        <w:trPr>
          <w:trHeight w:val="22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78,963</w:t>
            </w:r>
          </w:p>
        </w:tc>
      </w:tr>
      <w:tr>
        <w:trPr>
          <w:trHeight w:val="22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24,001</w:t>
            </w: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128,300</w:t>
            </w:r>
          </w:p>
        </w:tc>
      </w:tr>
      <w:tr>
        <w:trPr>
          <w:trHeight w:val="22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3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8,641</w:t>
            </w: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32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16,083</w:t>
            </w:r>
          </w:p>
        </w:tc>
      </w:tr>
      <w:tr>
        <w:trPr>
          <w:trHeight w:val="23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sales commission costs, non-current</w:t>
            </w:r>
          </w:p>
        </w:tc>
        <w:tc>
          <w:tcPr>
            <w:tcW w:w="3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69,859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53,307</w:t>
            </w:r>
          </w:p>
        </w:tc>
      </w:tr>
      <w:tr>
        <w:trPr>
          <w:trHeight w:val="22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19,802</w:t>
            </w:r>
          </w:p>
        </w:tc>
      </w:tr>
      <w:tr>
        <w:trPr>
          <w:trHeight w:val="223"/>
        </w:trPr>
        <w:tc>
          <w:tcPr>
            <w:tcW w:w="61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692,811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700,641</w:t>
            </w: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183"/>
        </w:trPr>
        <w:tc>
          <w:tcPr>
            <w:tcW w:w="6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r>
      <w:tr>
        <w:trPr>
          <w:trHeight w:val="22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r>
      <w:tr>
        <w:trPr>
          <w:trHeight w:val="230"/>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40,261</w:t>
            </w:r>
          </w:p>
        </w:tc>
      </w:tr>
      <w:tr>
        <w:trPr>
          <w:trHeight w:val="230"/>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compensation</w:t>
            </w:r>
          </w:p>
        </w:tc>
        <w:tc>
          <w:tcPr>
            <w:tcW w:w="32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22,656</w:t>
            </w:r>
          </w:p>
        </w:tc>
      </w:tr>
      <w:tr>
        <w:trPr>
          <w:trHeight w:val="229"/>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taxes</w:t>
            </w:r>
          </w:p>
        </w:tc>
        <w:tc>
          <w:tcPr>
            <w:tcW w:w="3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10,251</w:t>
            </w:r>
          </w:p>
        </w:tc>
      </w:tr>
      <w:tr>
        <w:trPr>
          <w:trHeight w:val="230"/>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2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w:t>
            </w:r>
          </w:p>
        </w:tc>
      </w:tr>
      <w:tr>
        <w:trPr>
          <w:trHeight w:val="230"/>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 current</w:t>
            </w:r>
          </w:p>
        </w:tc>
        <w:tc>
          <w:tcPr>
            <w:tcW w:w="3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7,105</w:t>
            </w:r>
          </w:p>
        </w:tc>
      </w:tr>
      <w:tr>
        <w:trPr>
          <w:trHeight w:val="230"/>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20" w:type="dxa"/>
            <w:vAlign w:val="bottom"/>
            <w:tcBorders>
              <w:bottom w:val="single" w:sz="8" w:color="auto"/>
            </w:tcBorders>
            <w:shd w:val="clear" w:color="auto" w:fill="CCEEFF"/>
          </w:tcPr>
          <w:p>
            <w:pPr>
              <w:spacing w:after="0"/>
              <w:rPr>
                <w:sz w:val="19"/>
                <w:szCs w:val="19"/>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37,277</w:t>
            </w:r>
          </w:p>
        </w:tc>
      </w:tr>
      <w:tr>
        <w:trPr>
          <w:trHeight w:val="223"/>
        </w:trPr>
        <w:tc>
          <w:tcPr>
            <w:tcW w:w="6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127,754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123,425</w:t>
            </w: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2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92,452</w:t>
            </w:r>
          </w:p>
        </w:tc>
      </w:tr>
      <w:tr>
        <w:trPr>
          <w:trHeight w:val="22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senior notes, net</w:t>
            </w:r>
          </w:p>
        </w:tc>
        <w:tc>
          <w:tcPr>
            <w:tcW w:w="3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291,537</w:t>
            </w: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320" w:type="dxa"/>
            <w:vAlign w:val="bottom"/>
            <w:tcBorders>
              <w:bottom w:val="single" w:sz="8" w:color="auto"/>
            </w:tcBorders>
            <w:shd w:val="clear" w:color="auto" w:fill="CCEEFF"/>
          </w:tcPr>
          <w:p>
            <w:pPr>
              <w:spacing w:after="0"/>
              <w:rPr>
                <w:sz w:val="19"/>
                <w:szCs w:val="19"/>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w:t>
            </w:r>
          </w:p>
        </w:tc>
      </w:tr>
      <w:tr>
        <w:trPr>
          <w:trHeight w:val="223"/>
        </w:trPr>
        <w:tc>
          <w:tcPr>
            <w:tcW w:w="61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525,408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509,910</w:t>
            </w:r>
          </w:p>
        </w:tc>
      </w:tr>
      <w:tr>
        <w:trPr>
          <w:trHeight w:val="21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3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r>
      <w:tr>
        <w:trPr>
          <w:trHeight w:val="23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30"/>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stock</w:t>
            </w:r>
          </w:p>
        </w:tc>
        <w:tc>
          <w:tcPr>
            <w:tcW w:w="32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9"/>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716,820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625,474</w:t>
            </w:r>
          </w:p>
        </w:tc>
      </w:tr>
      <w:tr>
        <w:trPr>
          <w:trHeight w:val="229"/>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(12,176)</w:t>
            </w:r>
          </w:p>
        </w:tc>
      </w:tr>
      <w:tr>
        <w:trPr>
          <w:trHeight w:val="230"/>
        </w:trPr>
        <w:tc>
          <w:tcPr>
            <w:tcW w:w="6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(546,021)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(422,670)</w:t>
            </w:r>
          </w:p>
        </w:tc>
      </w:tr>
      <w:tr>
        <w:trPr>
          <w:trHeight w:val="223"/>
        </w:trPr>
        <w:tc>
          <w:tcPr>
            <w:tcW w:w="6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bottom w:val="single" w:sz="8" w:color="auto"/>
            </w:tcBorders>
            <w:shd w:val="clear" w:color="auto" w:fill="CCEEFF"/>
          </w:tcPr>
          <w:p>
            <w:pPr>
              <w:spacing w:after="0"/>
              <w:rPr>
                <w:sz w:val="19"/>
                <w:szCs w:val="19"/>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167,403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190,731</w:t>
            </w:r>
          </w:p>
        </w:tc>
      </w:tr>
      <w:tr>
        <w:trPr>
          <w:trHeight w:val="223"/>
        </w:trPr>
        <w:tc>
          <w:tcPr>
            <w:tcW w:w="61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692,811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700,641</w:t>
            </w:r>
          </w:p>
        </w:tc>
      </w:tr>
      <w:tr>
        <w:trPr>
          <w:trHeight w:val="21"/>
        </w:trPr>
        <w:tc>
          <w:tcPr>
            <w:tcW w:w="6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5" w:name="page6"/>
    <w:bookmarkEnd w:id="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b w:val="1"/>
          <w:bCs w:val="1"/>
          <w:color w:val="auto"/>
        </w:rPr>
        <w:t>8X8, INC.</w:t>
      </w:r>
    </w:p>
    <w:p>
      <w:pPr>
        <w:spacing w:after="0" w:line="3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300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20" w:type="dxa"/>
            <w:vAlign w:val="bottom"/>
          </w:tcPr>
          <w:p>
            <w:pPr>
              <w:spacing w:after="0"/>
              <w:rPr>
                <w:sz w:val="20"/>
                <w:szCs w:val="20"/>
                <w:color w:val="auto"/>
              </w:rPr>
            </w:pPr>
          </w:p>
        </w:tc>
        <w:tc>
          <w:tcPr>
            <w:tcW w:w="280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r>
      <w:tr>
        <w:trPr>
          <w:trHeight w:val="223"/>
        </w:trPr>
        <w:tc>
          <w:tcPr>
            <w:tcW w:w="53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301,547</w:t>
            </w:r>
          </w:p>
        </w:tc>
      </w:tr>
      <w:tr>
        <w:trPr>
          <w:trHeight w:val="230"/>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25,393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23,212</w:t>
            </w:r>
          </w:p>
        </w:tc>
      </w:tr>
      <w:tr>
        <w:trPr>
          <w:trHeight w:val="223"/>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136,685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118,567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387,625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324,759</w:t>
            </w:r>
          </w:p>
        </w:tc>
      </w:tr>
      <w:tr>
        <w:trPr>
          <w:trHeight w:val="21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9"/>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service revenue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101,899</w:t>
            </w:r>
          </w:p>
        </w:tc>
      </w:tr>
      <w:tr>
        <w:trPr>
          <w:trHeight w:val="229"/>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other revenue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41,708</w:t>
            </w:r>
          </w:p>
        </w:tc>
      </w:tr>
      <w:tr>
        <w:trPr>
          <w:trHeight w:val="230"/>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57,635</w:t>
            </w:r>
          </w:p>
        </w:tc>
      </w:tr>
      <w:tr>
        <w:trPr>
          <w:trHeight w:val="229"/>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185,535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174,593</w:t>
            </w:r>
          </w:p>
        </w:tc>
      </w:tr>
      <w:tr>
        <w:trPr>
          <w:trHeight w:val="230"/>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72,403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62,589</w:t>
            </w:r>
          </w:p>
        </w:tc>
      </w:tr>
      <w:tr>
        <w:trPr>
          <w:trHeight w:val="223"/>
        </w:trPr>
        <w:tc>
          <w:tcPr>
            <w:tcW w:w="53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171,940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161,735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493,738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438,424</w:t>
            </w: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(113,665)</w:t>
            </w:r>
          </w:p>
        </w:tc>
      </w:tr>
      <w:tr>
        <w:trPr>
          <w:trHeight w:val="229"/>
        </w:trPr>
        <w:tc>
          <w:tcPr>
            <w:tcW w:w="5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(7,919)</w:t>
            </w: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(119,885)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(121,584)</w:t>
            </w:r>
          </w:p>
        </w:tc>
      </w:tr>
      <w:tr>
        <w:trPr>
          <w:trHeight w:val="229"/>
        </w:trPr>
        <w:tc>
          <w:tcPr>
            <w:tcW w:w="5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w:t>
            </w: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(122,268)</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and diluted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4"/>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and diluted</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104,961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99,082</w:t>
            </w:r>
          </w:p>
        </w:tc>
      </w:tr>
    </w:tbl>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8X8,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300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20" w:type="dxa"/>
            <w:vAlign w:val="bottom"/>
          </w:tcPr>
          <w:p>
            <w:pPr>
              <w:spacing w:after="0"/>
              <w:rPr>
                <w:sz w:val="20"/>
                <w:szCs w:val="20"/>
                <w:color w:val="auto"/>
              </w:rPr>
            </w:pPr>
          </w:p>
        </w:tc>
        <w:tc>
          <w:tcPr>
            <w:tcW w:w="280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r>
      <w:tr>
        <w:trPr>
          <w:trHeight w:val="223"/>
        </w:trPr>
        <w:tc>
          <w:tcPr>
            <w:tcW w:w="53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(122,268)</w:t>
            </w: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 (loss) on investments in securities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0"/>
        </w:trPr>
        <w:tc>
          <w:tcPr>
            <w:tcW w:w="5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w:t>
            </w: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(121,480)</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8X8,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720" w:type="dxa"/>
            <w:vAlign w:val="bottom"/>
          </w:tcPr>
          <w:p>
            <w:pPr>
              <w:spacing w:after="0"/>
              <w:rPr>
                <w:sz w:val="11"/>
                <w:szCs w:val="11"/>
                <w:color w:val="auto"/>
              </w:rPr>
            </w:pPr>
          </w:p>
        </w:tc>
        <w:tc>
          <w:tcPr>
            <w:tcW w:w="2260" w:type="dxa"/>
            <w:vAlign w:val="bottom"/>
            <w:gridSpan w:val="4"/>
            <w:vMerge w:val="restart"/>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720" w:type="dxa"/>
            <w:vAlign w:val="bottom"/>
          </w:tcPr>
          <w:p>
            <w:pPr>
              <w:spacing w:after="0"/>
              <w:rPr>
                <w:sz w:val="8"/>
                <w:szCs w:val="8"/>
                <w:color w:val="auto"/>
              </w:rPr>
            </w:pPr>
          </w:p>
        </w:tc>
        <w:tc>
          <w:tcPr>
            <w:tcW w:w="226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gridSpan w:val="2"/>
          </w:tcPr>
          <w:p>
            <w:pPr>
              <w:jc w:val="center"/>
              <w:ind w:right="300"/>
              <w:spacing w:after="0" w:line="103" w:lineRule="exact"/>
              <w:rPr>
                <w:sz w:val="20"/>
                <w:szCs w:val="20"/>
                <w:color w:val="auto"/>
              </w:rPr>
            </w:pPr>
            <w:r>
              <w:rPr>
                <w:rFonts w:ascii="Times New Roman" w:cs="Times New Roman" w:eastAsia="Times New Roman" w:hAnsi="Times New Roman"/>
                <w:sz w:val="11"/>
                <w:szCs w:val="11"/>
                <w:b w:val="1"/>
                <w:bCs w:val="1"/>
                <w:color w:val="auto"/>
              </w:rPr>
              <w:t>Paid-in</w:t>
            </w:r>
          </w:p>
        </w:tc>
        <w:tc>
          <w:tcPr>
            <w:tcW w:w="160" w:type="dxa"/>
            <w:vAlign w:val="bottom"/>
          </w:tcPr>
          <w:p>
            <w:pPr>
              <w:spacing w:after="0"/>
              <w:rPr>
                <w:sz w:val="8"/>
                <w:szCs w:val="8"/>
                <w:color w:val="auto"/>
              </w:rPr>
            </w:pPr>
          </w:p>
        </w:tc>
        <w:tc>
          <w:tcPr>
            <w:tcW w:w="1360" w:type="dxa"/>
            <w:vAlign w:val="bottom"/>
            <w:gridSpan w:val="2"/>
          </w:tcPr>
          <w:p>
            <w:pPr>
              <w:jc w:val="center"/>
              <w:ind w:right="280"/>
              <w:spacing w:after="0" w:line="103"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60" w:type="dxa"/>
            <w:vAlign w:val="bottom"/>
          </w:tcPr>
          <w:p>
            <w:pPr>
              <w:spacing w:after="0"/>
              <w:rPr>
                <w:sz w:val="8"/>
                <w:szCs w:val="8"/>
                <w:color w:val="auto"/>
              </w:rPr>
            </w:pPr>
          </w:p>
        </w:tc>
        <w:tc>
          <w:tcPr>
            <w:tcW w:w="1200" w:type="dxa"/>
            <w:vAlign w:val="bottom"/>
            <w:gridSpan w:val="2"/>
          </w:tcPr>
          <w:p>
            <w:pPr>
              <w:ind w:left="60"/>
              <w:spacing w:after="0" w:line="103"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3720" w:type="dxa"/>
            <w:vAlign w:val="bottom"/>
          </w:tcPr>
          <w:p>
            <w:pPr>
              <w:spacing w:after="0"/>
              <w:rPr>
                <w:sz w:val="17"/>
                <w:szCs w:val="17"/>
                <w:color w:val="auto"/>
              </w:rPr>
            </w:pPr>
          </w:p>
        </w:tc>
        <w:tc>
          <w:tcPr>
            <w:tcW w:w="140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7"/>
                <w:szCs w:val="17"/>
                <w:color w:val="auto"/>
              </w:rPr>
            </w:pPr>
          </w:p>
        </w:tc>
        <w:tc>
          <w:tcPr>
            <w:tcW w:w="12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7"/>
                <w:szCs w:val="17"/>
                <w:color w:val="auto"/>
              </w:rPr>
            </w:pP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31, 2020</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103,178,621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625,474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(422,670)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190,731</w:t>
            </w:r>
          </w:p>
        </w:tc>
        <w:tc>
          <w:tcPr>
            <w:tcW w:w="0" w:type="dxa"/>
            <w:vAlign w:val="bottom"/>
          </w:tcPr>
          <w:p>
            <w:pPr>
              <w:spacing w:after="0"/>
              <w:rPr>
                <w:sz w:val="1"/>
                <w:szCs w:val="1"/>
                <w:color w:val="auto"/>
              </w:rPr>
            </w:pPr>
          </w:p>
        </w:tc>
      </w:tr>
      <w:tr>
        <w:trPr>
          <w:trHeight w:val="162"/>
        </w:trPr>
        <w:tc>
          <w:tcPr>
            <w:tcW w:w="372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Adjustment to opening balance for change in</w:t>
            </w:r>
          </w:p>
        </w:tc>
        <w:tc>
          <w:tcPr>
            <w:tcW w:w="1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(2,800)</w:t>
            </w:r>
          </w:p>
        </w:tc>
        <w:tc>
          <w:tcPr>
            <w:tcW w:w="0" w:type="dxa"/>
            <w:vAlign w:val="bottom"/>
          </w:tcPr>
          <w:p>
            <w:pPr>
              <w:spacing w:after="0"/>
              <w:rPr>
                <w:sz w:val="1"/>
                <w:szCs w:val="1"/>
                <w:color w:val="auto"/>
              </w:rPr>
            </w:pPr>
          </w:p>
        </w:tc>
      </w:tr>
      <w:tr>
        <w:trPr>
          <w:trHeight w:val="213"/>
        </w:trPr>
        <w:tc>
          <w:tcPr>
            <w:tcW w:w="3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accounting principle</w:t>
            </w: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72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Issuance of common stock under stock plans, less</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688,414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withholding</w:t>
            </w:r>
          </w:p>
        </w:tc>
        <w:tc>
          <w:tcPr>
            <w:tcW w:w="1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23,118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23,118</w:t>
            </w: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Issuance of common stock related to acquisition</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8,489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8,489</w:t>
            </w:r>
          </w:p>
        </w:tc>
        <w:tc>
          <w:tcPr>
            <w:tcW w:w="0" w:type="dxa"/>
            <w:vAlign w:val="bottom"/>
          </w:tcPr>
          <w:p>
            <w:pPr>
              <w:spacing w:after="0"/>
              <w:rPr>
                <w:sz w:val="1"/>
                <w:szCs w:val="1"/>
                <w:color w:val="auto"/>
              </w:rPr>
            </w:pPr>
          </w:p>
        </w:tc>
      </w:tr>
      <w:tr>
        <w:trPr>
          <w:trHeight w:val="213"/>
        </w:trPr>
        <w:tc>
          <w:tcPr>
            <w:tcW w:w="3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Unrealized investment gain</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0" w:type="dxa"/>
            <w:vAlign w:val="bottom"/>
          </w:tcPr>
          <w:p>
            <w:pPr>
              <w:spacing w:after="0"/>
              <w:rPr>
                <w:sz w:val="1"/>
                <w:szCs w:val="1"/>
                <w:color w:val="auto"/>
              </w:rPr>
            </w:pPr>
          </w:p>
        </w:tc>
      </w:tr>
      <w:tr>
        <w:trPr>
          <w:trHeight w:val="213"/>
        </w:trPr>
        <w:tc>
          <w:tcPr>
            <w:tcW w:w="3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(41,913)</w:t>
            </w:r>
          </w:p>
        </w:tc>
        <w:tc>
          <w:tcPr>
            <w:tcW w:w="0" w:type="dxa"/>
            <w:vAlign w:val="bottom"/>
          </w:tcPr>
          <w:p>
            <w:pPr>
              <w:spacing w:after="0"/>
              <w:rPr>
                <w:sz w:val="1"/>
                <w:szCs w:val="1"/>
                <w:color w:val="auto"/>
              </w:rPr>
            </w:pPr>
          </w:p>
        </w:tc>
      </w:tr>
      <w:tr>
        <w:trPr>
          <w:trHeight w:val="212"/>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June 30, 2020</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103,867,035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657,014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(467,383)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178,866</w:t>
            </w:r>
          </w:p>
        </w:tc>
        <w:tc>
          <w:tcPr>
            <w:tcW w:w="0" w:type="dxa"/>
            <w:vAlign w:val="bottom"/>
          </w:tcPr>
          <w:p>
            <w:pPr>
              <w:spacing w:after="0"/>
              <w:rPr>
                <w:sz w:val="1"/>
                <w:szCs w:val="1"/>
                <w:color w:val="auto"/>
              </w:rPr>
            </w:pPr>
          </w:p>
        </w:tc>
      </w:tr>
      <w:tr>
        <w:trPr>
          <w:trHeight w:val="207"/>
        </w:trPr>
        <w:tc>
          <w:tcPr>
            <w:tcW w:w="3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Issuance of common stock under stock plans</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2,119,196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4,706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4,708</w:t>
            </w: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26,396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26,396</w:t>
            </w:r>
          </w:p>
        </w:tc>
        <w:tc>
          <w:tcPr>
            <w:tcW w:w="0" w:type="dxa"/>
            <w:vAlign w:val="bottom"/>
          </w:tcPr>
          <w:p>
            <w:pPr>
              <w:spacing w:after="0"/>
              <w:rPr>
                <w:sz w:val="1"/>
                <w:szCs w:val="1"/>
                <w:color w:val="auto"/>
              </w:rPr>
            </w:pPr>
          </w:p>
        </w:tc>
      </w:tr>
      <w:tr>
        <w:trPr>
          <w:trHeight w:val="213"/>
        </w:trPr>
        <w:tc>
          <w:tcPr>
            <w:tcW w:w="3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Unrealized investment gain/loss</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2,945</w:t>
            </w:r>
          </w:p>
        </w:tc>
        <w:tc>
          <w:tcPr>
            <w:tcW w:w="0" w:type="dxa"/>
            <w:vAlign w:val="bottom"/>
          </w:tcPr>
          <w:p>
            <w:pPr>
              <w:spacing w:after="0"/>
              <w:rPr>
                <w:sz w:val="1"/>
                <w:szCs w:val="1"/>
                <w:color w:val="auto"/>
              </w:rPr>
            </w:pPr>
          </w:p>
        </w:tc>
      </w:tr>
      <w:tr>
        <w:trPr>
          <w:trHeight w:val="213"/>
        </w:trPr>
        <w:tc>
          <w:tcPr>
            <w:tcW w:w="3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loss</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(38,413)</w:t>
            </w:r>
          </w:p>
        </w:tc>
        <w:tc>
          <w:tcPr>
            <w:tcW w:w="0" w:type="dxa"/>
            <w:vAlign w:val="bottom"/>
          </w:tcPr>
          <w:p>
            <w:pPr>
              <w:spacing w:after="0"/>
              <w:rPr>
                <w:sz w:val="1"/>
                <w:szCs w:val="1"/>
                <w:color w:val="auto"/>
              </w:rPr>
            </w:pPr>
          </w:p>
        </w:tc>
      </w:tr>
      <w:tr>
        <w:trPr>
          <w:trHeight w:val="212"/>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30, 2020</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105,986,231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688,116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(505,796)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174,459</w:t>
            </w:r>
          </w:p>
        </w:tc>
        <w:tc>
          <w:tcPr>
            <w:tcW w:w="0" w:type="dxa"/>
            <w:vAlign w:val="bottom"/>
          </w:tcPr>
          <w:p>
            <w:pPr>
              <w:spacing w:after="0"/>
              <w:rPr>
                <w:sz w:val="1"/>
                <w:szCs w:val="1"/>
                <w:color w:val="auto"/>
              </w:rPr>
            </w:pPr>
          </w:p>
        </w:tc>
      </w:tr>
      <w:tr>
        <w:trPr>
          <w:trHeight w:val="207"/>
        </w:trPr>
        <w:tc>
          <w:tcPr>
            <w:tcW w:w="3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Issuance of common stock under stock plans</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1,149,752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1,346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1,347</w:t>
            </w: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27,358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27,358</w:t>
            </w:r>
          </w:p>
        </w:tc>
        <w:tc>
          <w:tcPr>
            <w:tcW w:w="0" w:type="dxa"/>
            <w:vAlign w:val="bottom"/>
          </w:tcPr>
          <w:p>
            <w:pPr>
              <w:spacing w:after="0"/>
              <w:rPr>
                <w:sz w:val="1"/>
                <w:szCs w:val="1"/>
                <w:color w:val="auto"/>
              </w:rPr>
            </w:pPr>
          </w:p>
        </w:tc>
      </w:tr>
      <w:tr>
        <w:trPr>
          <w:trHeight w:val="213"/>
        </w:trPr>
        <w:tc>
          <w:tcPr>
            <w:tcW w:w="3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Unrealized investment loss</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4,537</w:t>
            </w:r>
          </w:p>
        </w:tc>
        <w:tc>
          <w:tcPr>
            <w:tcW w:w="0" w:type="dxa"/>
            <w:vAlign w:val="bottom"/>
          </w:tcPr>
          <w:p>
            <w:pPr>
              <w:spacing w:after="0"/>
              <w:rPr>
                <w:sz w:val="1"/>
                <w:szCs w:val="1"/>
                <w:color w:val="auto"/>
              </w:rPr>
            </w:pPr>
          </w:p>
        </w:tc>
      </w:tr>
      <w:tr>
        <w:trPr>
          <w:trHeight w:val="213"/>
        </w:trPr>
        <w:tc>
          <w:tcPr>
            <w:tcW w:w="3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loss</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(40,225)</w:t>
            </w:r>
          </w:p>
        </w:tc>
        <w:tc>
          <w:tcPr>
            <w:tcW w:w="0" w:type="dxa"/>
            <w:vAlign w:val="bottom"/>
          </w:tcPr>
          <w:p>
            <w:pPr>
              <w:spacing w:after="0"/>
              <w:rPr>
                <w:sz w:val="1"/>
                <w:szCs w:val="1"/>
                <w:color w:val="auto"/>
              </w:rPr>
            </w:pPr>
          </w:p>
        </w:tc>
      </w:tr>
      <w:tr>
        <w:trPr>
          <w:trHeight w:val="237"/>
        </w:trPr>
        <w:tc>
          <w:tcPr>
            <w:tcW w:w="3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2020</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107,135,983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716,820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(546,021)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167,403</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2240" w:type="dxa"/>
            <w:vAlign w:val="bottom"/>
            <w:gridSpan w:val="4"/>
            <w:vMerge w:val="restart"/>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700" w:type="dxa"/>
            <w:vAlign w:val="bottom"/>
          </w:tcPr>
          <w:p>
            <w:pPr>
              <w:spacing w:after="0"/>
              <w:rPr>
                <w:sz w:val="8"/>
                <w:szCs w:val="8"/>
                <w:color w:val="auto"/>
              </w:rPr>
            </w:pPr>
          </w:p>
        </w:tc>
        <w:tc>
          <w:tcPr>
            <w:tcW w:w="224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gridSpan w:val="2"/>
          </w:tcPr>
          <w:p>
            <w:pPr>
              <w:jc w:val="center"/>
              <w:ind w:right="300"/>
              <w:spacing w:after="0" w:line="103" w:lineRule="exact"/>
              <w:rPr>
                <w:sz w:val="20"/>
                <w:szCs w:val="20"/>
                <w:color w:val="auto"/>
              </w:rPr>
            </w:pPr>
            <w:r>
              <w:rPr>
                <w:rFonts w:ascii="Times New Roman" w:cs="Times New Roman" w:eastAsia="Times New Roman" w:hAnsi="Times New Roman"/>
                <w:sz w:val="11"/>
                <w:szCs w:val="11"/>
                <w:b w:val="1"/>
                <w:bCs w:val="1"/>
                <w:color w:val="auto"/>
              </w:rPr>
              <w:t>Paid-in</w:t>
            </w:r>
          </w:p>
        </w:tc>
        <w:tc>
          <w:tcPr>
            <w:tcW w:w="160" w:type="dxa"/>
            <w:vAlign w:val="bottom"/>
          </w:tcPr>
          <w:p>
            <w:pPr>
              <w:spacing w:after="0"/>
              <w:rPr>
                <w:sz w:val="8"/>
                <w:szCs w:val="8"/>
                <w:color w:val="auto"/>
              </w:rPr>
            </w:pPr>
          </w:p>
        </w:tc>
        <w:tc>
          <w:tcPr>
            <w:tcW w:w="1380" w:type="dxa"/>
            <w:vAlign w:val="bottom"/>
            <w:gridSpan w:val="2"/>
          </w:tcPr>
          <w:p>
            <w:pPr>
              <w:jc w:val="center"/>
              <w:ind w:right="300"/>
              <w:spacing w:after="0" w:line="103"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40" w:type="dxa"/>
            <w:vAlign w:val="bottom"/>
          </w:tcPr>
          <w:p>
            <w:pPr>
              <w:spacing w:after="0"/>
              <w:rPr>
                <w:sz w:val="8"/>
                <w:szCs w:val="8"/>
                <w:color w:val="auto"/>
              </w:rPr>
            </w:pPr>
          </w:p>
        </w:tc>
        <w:tc>
          <w:tcPr>
            <w:tcW w:w="1220" w:type="dxa"/>
            <w:vAlign w:val="bottom"/>
            <w:gridSpan w:val="2"/>
          </w:tcPr>
          <w:p>
            <w:pPr>
              <w:ind w:left="60"/>
              <w:spacing w:after="0" w:line="103"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3700" w:type="dxa"/>
            <w:vAlign w:val="bottom"/>
          </w:tcPr>
          <w:p>
            <w:pPr>
              <w:spacing w:after="0"/>
              <w:rPr>
                <w:sz w:val="17"/>
                <w:szCs w:val="17"/>
                <w:color w:val="auto"/>
              </w:rPr>
            </w:pPr>
          </w:p>
        </w:tc>
        <w:tc>
          <w:tcPr>
            <w:tcW w:w="13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7"/>
                <w:szCs w:val="17"/>
                <w:color w:val="auto"/>
              </w:rPr>
            </w:pP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March 31, 2019</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96,119,888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506,949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(250,302)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249,390</w:t>
            </w:r>
          </w:p>
        </w:tc>
        <w:tc>
          <w:tcPr>
            <w:tcW w:w="0" w:type="dxa"/>
            <w:vAlign w:val="bottom"/>
          </w:tcPr>
          <w:p>
            <w:pPr>
              <w:spacing w:after="0"/>
              <w:rPr>
                <w:sz w:val="1"/>
                <w:szCs w:val="1"/>
                <w:color w:val="auto"/>
              </w:rPr>
            </w:pPr>
          </w:p>
        </w:tc>
      </w:tr>
      <w:tr>
        <w:trPr>
          <w:trHeight w:val="162"/>
        </w:trPr>
        <w:tc>
          <w:tcPr>
            <w:tcW w:w="3700" w:type="dxa"/>
            <w:vAlign w:val="bottom"/>
          </w:tcPr>
          <w:p>
            <w:pPr>
              <w:ind w:left="200"/>
              <w:spacing w:after="0" w:line="162" w:lineRule="exact"/>
              <w:rPr>
                <w:sz w:val="20"/>
                <w:szCs w:val="20"/>
                <w:color w:val="auto"/>
              </w:rPr>
            </w:pPr>
            <w:r>
              <w:rPr>
                <w:rFonts w:ascii="Times New Roman" w:cs="Times New Roman" w:eastAsia="Times New Roman" w:hAnsi="Times New Roman"/>
                <w:sz w:val="16"/>
                <w:szCs w:val="16"/>
                <w:color w:val="auto"/>
              </w:rPr>
              <w:t>Issuance of common stock under stock plans, less</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451,308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1,493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1,494</w:t>
            </w:r>
          </w:p>
        </w:tc>
        <w:tc>
          <w:tcPr>
            <w:tcW w:w="0" w:type="dxa"/>
            <w:vAlign w:val="bottom"/>
          </w:tcPr>
          <w:p>
            <w:pPr>
              <w:spacing w:after="0"/>
              <w:rPr>
                <w:sz w:val="1"/>
                <w:szCs w:val="1"/>
                <w:color w:val="auto"/>
              </w:rPr>
            </w:pPr>
          </w:p>
        </w:tc>
      </w:tr>
      <w:tr>
        <w:trPr>
          <w:trHeight w:val="213"/>
        </w:trPr>
        <w:tc>
          <w:tcPr>
            <w:tcW w:w="3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withholding</w:t>
            </w: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14,059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14,059</w:t>
            </w:r>
          </w:p>
        </w:tc>
        <w:tc>
          <w:tcPr>
            <w:tcW w:w="0" w:type="dxa"/>
            <w:vAlign w:val="bottom"/>
          </w:tcPr>
          <w:p>
            <w:pPr>
              <w:spacing w:after="0"/>
              <w:rPr>
                <w:sz w:val="1"/>
                <w:szCs w:val="1"/>
                <w:color w:val="auto"/>
              </w:rPr>
            </w:pPr>
          </w:p>
        </w:tc>
      </w:tr>
      <w:tr>
        <w:trPr>
          <w:trHeight w:val="213"/>
        </w:trPr>
        <w:tc>
          <w:tcPr>
            <w:tcW w:w="3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Unrealized investment gain</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0" w:type="dxa"/>
            <w:vAlign w:val="bottom"/>
          </w:tcPr>
          <w:p>
            <w:pPr>
              <w:spacing w:after="0"/>
              <w:rPr>
                <w:sz w:val="1"/>
                <w:szCs w:val="1"/>
                <w:color w:val="auto"/>
              </w:rPr>
            </w:pPr>
          </w:p>
        </w:tc>
      </w:tr>
      <w:tr>
        <w:trPr>
          <w:trHeight w:val="213"/>
        </w:trPr>
        <w:tc>
          <w:tcPr>
            <w:tcW w:w="3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(34,265)</w:t>
            </w:r>
          </w:p>
        </w:tc>
        <w:tc>
          <w:tcPr>
            <w:tcW w:w="0" w:type="dxa"/>
            <w:vAlign w:val="bottom"/>
          </w:tcPr>
          <w:p>
            <w:pPr>
              <w:spacing w:after="0"/>
              <w:rPr>
                <w:sz w:val="1"/>
                <w:szCs w:val="1"/>
                <w:color w:val="auto"/>
              </w:rPr>
            </w:pPr>
          </w:p>
        </w:tc>
      </w:tr>
      <w:tr>
        <w:trPr>
          <w:trHeight w:val="212"/>
        </w:trPr>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June 30, 2019</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96,571,196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522,501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(284,567)</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230,147</w:t>
            </w:r>
          </w:p>
        </w:tc>
        <w:tc>
          <w:tcPr>
            <w:tcW w:w="0" w:type="dxa"/>
            <w:vAlign w:val="bottom"/>
          </w:tcPr>
          <w:p>
            <w:pPr>
              <w:spacing w:after="0"/>
              <w:rPr>
                <w:sz w:val="1"/>
                <w:szCs w:val="1"/>
                <w:color w:val="auto"/>
              </w:rPr>
            </w:pPr>
          </w:p>
        </w:tc>
      </w:tr>
      <w:tr>
        <w:trPr>
          <w:trHeight w:val="142"/>
        </w:trPr>
        <w:tc>
          <w:tcPr>
            <w:tcW w:w="3700" w:type="dxa"/>
            <w:vAlign w:val="bottom"/>
          </w:tcPr>
          <w:p>
            <w:pPr>
              <w:ind w:left="200"/>
              <w:spacing w:after="0" w:line="142" w:lineRule="exact"/>
              <w:rPr>
                <w:sz w:val="20"/>
                <w:szCs w:val="20"/>
                <w:color w:val="auto"/>
              </w:rPr>
            </w:pPr>
            <w:r>
              <w:rPr>
                <w:rFonts w:ascii="Times New Roman" w:cs="Times New Roman" w:eastAsia="Times New Roman" w:hAnsi="Times New Roman"/>
                <w:sz w:val="16"/>
                <w:szCs w:val="16"/>
                <w:color w:val="auto"/>
              </w:rPr>
              <w:t>Issuance of common stock under stock plans, less</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1,761,483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2"/>
                <w:szCs w:val="12"/>
                <w:color w:val="auto"/>
              </w:rPr>
            </w:pPr>
          </w:p>
        </w:tc>
        <w:tc>
          <w:tcPr>
            <w:tcW w:w="1220" w:type="dxa"/>
            <w:vAlign w:val="bottom"/>
            <w:gridSpan w:val="2"/>
            <w:vMerge w:val="restart"/>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0" w:type="dxa"/>
            <w:vAlign w:val="bottom"/>
          </w:tcPr>
          <w:p>
            <w:pPr>
              <w:spacing w:after="0"/>
              <w:rPr>
                <w:sz w:val="1"/>
                <w:szCs w:val="1"/>
                <w:color w:val="auto"/>
              </w:rPr>
            </w:pPr>
          </w:p>
        </w:tc>
      </w:tr>
      <w:tr>
        <w:trPr>
          <w:trHeight w:val="213"/>
        </w:trPr>
        <w:tc>
          <w:tcPr>
            <w:tcW w:w="3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withholding</w:t>
            </w: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17,867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17,867</w:t>
            </w:r>
          </w:p>
        </w:tc>
        <w:tc>
          <w:tcPr>
            <w:tcW w:w="0" w:type="dxa"/>
            <w:vAlign w:val="bottom"/>
          </w:tcPr>
          <w:p>
            <w:pPr>
              <w:spacing w:after="0"/>
              <w:rPr>
                <w:sz w:val="1"/>
                <w:szCs w:val="1"/>
                <w:color w:val="auto"/>
              </w:rPr>
            </w:pPr>
          </w:p>
        </w:tc>
      </w:tr>
      <w:tr>
        <w:trPr>
          <w:trHeight w:val="213"/>
        </w:trPr>
        <w:tc>
          <w:tcPr>
            <w:tcW w:w="3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common stock related to acquisitions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1,476,009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35,838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35,839</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Unrealized investment loss</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3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(3,253)</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(40,932)</w:t>
            </w:r>
          </w:p>
        </w:tc>
        <w:tc>
          <w:tcPr>
            <w:tcW w:w="0" w:type="dxa"/>
            <w:vAlign w:val="bottom"/>
          </w:tcPr>
          <w:p>
            <w:pPr>
              <w:spacing w:after="0"/>
              <w:rPr>
                <w:sz w:val="1"/>
                <w:szCs w:val="1"/>
                <w:color w:val="auto"/>
              </w:rPr>
            </w:pPr>
          </w:p>
        </w:tc>
      </w:tr>
      <w:tr>
        <w:trPr>
          <w:trHeight w:val="207"/>
        </w:trPr>
        <w:tc>
          <w:tcPr>
            <w:tcW w:w="3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Balance at September 30, 2019</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99,808,688</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575,416</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(11,140)</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(325,499)</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238,877</w:t>
            </w:r>
          </w:p>
        </w:tc>
        <w:tc>
          <w:tcPr>
            <w:tcW w:w="0" w:type="dxa"/>
            <w:vAlign w:val="bottom"/>
          </w:tcPr>
          <w:p>
            <w:pPr>
              <w:spacing w:after="0"/>
              <w:rPr>
                <w:sz w:val="1"/>
                <w:szCs w:val="1"/>
                <w:color w:val="auto"/>
              </w:rPr>
            </w:pPr>
          </w:p>
        </w:tc>
      </w:tr>
      <w:tr>
        <w:trPr>
          <w:trHeight w:val="145"/>
        </w:trPr>
        <w:tc>
          <w:tcPr>
            <w:tcW w:w="3700" w:type="dxa"/>
            <w:vAlign w:val="bottom"/>
            <w:shd w:val="clear" w:color="auto" w:fill="CCEEFF"/>
          </w:tcPr>
          <w:p>
            <w:pPr>
              <w:ind w:left="200"/>
              <w:spacing w:after="0" w:line="145" w:lineRule="exact"/>
              <w:rPr>
                <w:sz w:val="20"/>
                <w:szCs w:val="20"/>
                <w:color w:val="auto"/>
              </w:rPr>
            </w:pPr>
            <w:r>
              <w:rPr>
                <w:rFonts w:ascii="Times New Roman" w:cs="Times New Roman" w:eastAsia="Times New Roman" w:hAnsi="Times New Roman"/>
                <w:sz w:val="16"/>
                <w:szCs w:val="16"/>
                <w:color w:val="auto"/>
              </w:rPr>
              <w:t>Issuance of common stock under stock plans, less</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976,272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withholding</w:t>
            </w:r>
          </w:p>
        </w:tc>
        <w:tc>
          <w:tcPr>
            <w:tcW w:w="1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19,881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19,881</w:t>
            </w:r>
          </w:p>
        </w:tc>
        <w:tc>
          <w:tcPr>
            <w:tcW w:w="0" w:type="dxa"/>
            <w:vAlign w:val="bottom"/>
          </w:tcPr>
          <w:p>
            <w:pPr>
              <w:spacing w:after="0"/>
              <w:rPr>
                <w:sz w:val="1"/>
                <w:szCs w:val="1"/>
                <w:color w:val="auto"/>
              </w:rPr>
            </w:pPr>
          </w:p>
        </w:tc>
      </w:tr>
      <w:tr>
        <w:trPr>
          <w:trHeight w:val="165"/>
        </w:trPr>
        <w:tc>
          <w:tcPr>
            <w:tcW w:w="3700" w:type="dxa"/>
            <w:vAlign w:val="bottom"/>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Equity component of convertible senior notes, net of</w:t>
            </w:r>
          </w:p>
        </w:tc>
        <w:tc>
          <w:tcPr>
            <w:tcW w:w="1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3,089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3,089</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issuance costs</w:t>
            </w:r>
          </w:p>
        </w:tc>
        <w:tc>
          <w:tcPr>
            <w:tcW w:w="1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Unrealized investment loss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4,587</w:t>
            </w:r>
          </w:p>
        </w:tc>
        <w:tc>
          <w:tcPr>
            <w:tcW w:w="0" w:type="dxa"/>
            <w:vAlign w:val="bottom"/>
          </w:tcPr>
          <w:p>
            <w:pPr>
              <w:spacing w:after="0"/>
              <w:rPr>
                <w:sz w:val="1"/>
                <w:szCs w:val="1"/>
                <w:color w:val="auto"/>
              </w:rPr>
            </w:pPr>
          </w:p>
        </w:tc>
      </w:tr>
      <w:tr>
        <w:trPr>
          <w:trHeight w:val="213"/>
        </w:trPr>
        <w:tc>
          <w:tcPr>
            <w:tcW w:w="3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(47,071)</w:t>
            </w:r>
          </w:p>
        </w:tc>
        <w:tc>
          <w:tcPr>
            <w:tcW w:w="0" w:type="dxa"/>
            <w:vAlign w:val="bottom"/>
          </w:tcPr>
          <w:p>
            <w:pPr>
              <w:spacing w:after="0"/>
              <w:rPr>
                <w:sz w:val="1"/>
                <w:szCs w:val="1"/>
                <w:color w:val="auto"/>
              </w:rPr>
            </w:pPr>
          </w:p>
        </w:tc>
      </w:tr>
      <w:tr>
        <w:trPr>
          <w:trHeight w:val="234"/>
        </w:trPr>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2019</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100,784,960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598,525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(372,570)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219,491</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8X8,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3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c>
          <w:tcPr>
            <w:tcW w:w="760" w:type="dxa"/>
            <w:vAlign w:val="bottom"/>
            <w:tcBorders>
              <w:bottom w:val="single" w:sz="8" w:color="auto"/>
            </w:tcBorders>
          </w:tcPr>
          <w:p>
            <w:pPr>
              <w:spacing w:after="0"/>
              <w:rPr>
                <w:sz w:val="20"/>
                <w:szCs w:val="20"/>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760" w:type="dxa"/>
            <w:vAlign w:val="bottom"/>
            <w:tcBorders>
              <w:bottom w:val="single" w:sz="8" w:color="auto"/>
            </w:tcBorders>
          </w:tcPr>
          <w:p>
            <w:pPr>
              <w:spacing w:after="0"/>
              <w:rPr>
                <w:sz w:val="19"/>
                <w:szCs w:val="19"/>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loss</w:t>
            </w:r>
          </w:p>
        </w:tc>
        <w:tc>
          <w:tcPr>
            <w:tcW w:w="12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(120,551)</w:t>
            </w:r>
          </w:p>
        </w:tc>
        <w:tc>
          <w:tcPr>
            <w:tcW w:w="100" w:type="dxa"/>
            <w:vAlign w:val="bottom"/>
          </w:tcPr>
          <w:p>
            <w:pPr>
              <w:spacing w:after="0"/>
              <w:rPr>
                <w:sz w:val="19"/>
                <w:szCs w:val="19"/>
                <w:color w:val="auto"/>
              </w:rPr>
            </w:pPr>
          </w:p>
        </w:tc>
        <w:tc>
          <w:tcPr>
            <w:tcW w:w="12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(122,268)</w:t>
            </w:r>
          </w:p>
        </w:tc>
      </w:tr>
      <w:tr>
        <w:trPr>
          <w:trHeight w:val="216"/>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29"/>
        </w:trPr>
        <w:tc>
          <w:tcPr>
            <w:tcW w:w="70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Depreciation</w:t>
            </w:r>
          </w:p>
        </w:tc>
        <w:tc>
          <w:tcPr>
            <w:tcW w:w="1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8,529</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6,801</w:t>
            </w:r>
          </w:p>
        </w:tc>
      </w:tr>
      <w:tr>
        <w:trPr>
          <w:trHeight w:val="230"/>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6,149</w:t>
            </w:r>
          </w:p>
        </w:tc>
      </w:tr>
      <w:tr>
        <w:trPr>
          <w:trHeight w:val="229"/>
        </w:trPr>
        <w:tc>
          <w:tcPr>
            <w:tcW w:w="70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Amortization of capitalized software</w:t>
            </w:r>
          </w:p>
        </w:tc>
        <w:tc>
          <w:tcPr>
            <w:tcW w:w="1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20,021</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13,263</w:t>
            </w:r>
          </w:p>
        </w:tc>
      </w:tr>
      <w:tr>
        <w:trPr>
          <w:trHeight w:val="230"/>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Amortization of debt discount and issuance costs</w:t>
            </w: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12,574</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9,987</w:t>
            </w:r>
          </w:p>
        </w:tc>
      </w:tr>
      <w:tr>
        <w:trPr>
          <w:trHeight w:val="229"/>
        </w:trPr>
        <w:tc>
          <w:tcPr>
            <w:tcW w:w="70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Amortization of deferred sales commission costs</w:t>
            </w:r>
          </w:p>
        </w:tc>
        <w:tc>
          <w:tcPr>
            <w:tcW w:w="1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20,040</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13,805</w:t>
            </w:r>
          </w:p>
        </w:tc>
      </w:tr>
      <w:tr>
        <w:trPr>
          <w:trHeight w:val="229"/>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Allowance for credit losses</w:t>
            </w: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r>
      <w:tr>
        <w:trPr>
          <w:trHeight w:val="230"/>
        </w:trPr>
        <w:tc>
          <w:tcPr>
            <w:tcW w:w="70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Operating lease expense, net of accretion</w:t>
            </w:r>
          </w:p>
        </w:tc>
        <w:tc>
          <w:tcPr>
            <w:tcW w:w="1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11,469</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10,676</w:t>
            </w:r>
          </w:p>
        </w:tc>
      </w:tr>
      <w:tr>
        <w:trPr>
          <w:trHeight w:val="229"/>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Stock-based compensation</w:t>
            </w: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74,940</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50,305</w:t>
            </w:r>
          </w:p>
        </w:tc>
      </w:tr>
      <w:tr>
        <w:trPr>
          <w:trHeight w:val="229"/>
        </w:trPr>
        <w:tc>
          <w:tcPr>
            <w:tcW w:w="70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Other</w:t>
            </w:r>
          </w:p>
        </w:tc>
        <w:tc>
          <w:tcPr>
            <w:tcW w:w="1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r>
      <w:tr>
        <w:trPr>
          <w:trHeight w:val="216"/>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Changes in assets and liabilities:</w:t>
            </w:r>
          </w:p>
        </w:tc>
        <w:tc>
          <w:tcPr>
            <w:tcW w:w="1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29"/>
        </w:trPr>
        <w:tc>
          <w:tcPr>
            <w:tcW w:w="702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Accounts receivable, net</w:t>
            </w:r>
          </w:p>
        </w:tc>
        <w:tc>
          <w:tcPr>
            <w:tcW w:w="1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(13,277)</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(8,776)</w:t>
            </w:r>
          </w:p>
        </w:tc>
      </w:tr>
      <w:tr>
        <w:trPr>
          <w:trHeight w:val="229"/>
        </w:trPr>
        <w:tc>
          <w:tcPr>
            <w:tcW w:w="7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Deferred sales commission costs</w:t>
            </w: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(41,187)</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(33,651)</w:t>
            </w:r>
          </w:p>
        </w:tc>
      </w:tr>
      <w:tr>
        <w:trPr>
          <w:trHeight w:val="230"/>
        </w:trPr>
        <w:tc>
          <w:tcPr>
            <w:tcW w:w="702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Other current and non-current assets</w:t>
            </w:r>
          </w:p>
        </w:tc>
        <w:tc>
          <w:tcPr>
            <w:tcW w:w="1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(8,939)</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(24,780)</w:t>
            </w:r>
          </w:p>
        </w:tc>
      </w:tr>
      <w:tr>
        <w:trPr>
          <w:trHeight w:val="229"/>
        </w:trPr>
        <w:tc>
          <w:tcPr>
            <w:tcW w:w="7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Accounts payable and accruals</w:t>
            </w: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7,876</w:t>
            </w:r>
          </w:p>
        </w:tc>
      </w:tr>
      <w:tr>
        <w:trPr>
          <w:trHeight w:val="230"/>
        </w:trPr>
        <w:tc>
          <w:tcPr>
            <w:tcW w:w="702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7"/>
                <w:szCs w:val="17"/>
                <w:color w:val="auto"/>
              </w:rPr>
              <w:t>Deferred revenue</w:t>
            </w:r>
          </w:p>
        </w:tc>
        <w:tc>
          <w:tcPr>
            <w:tcW w:w="1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11,797</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5,106</w:t>
            </w:r>
          </w:p>
        </w:tc>
      </w:tr>
      <w:tr>
        <w:trPr>
          <w:trHeight w:val="223"/>
        </w:trPr>
        <w:tc>
          <w:tcPr>
            <w:tcW w:w="70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7"/>
                <w:szCs w:val="17"/>
                <w:b w:val="1"/>
                <w:bCs w:val="1"/>
                <w:color w:val="auto"/>
              </w:rPr>
              <w:t>Net cash used in operating activities</w:t>
            </w:r>
          </w:p>
        </w:tc>
        <w:tc>
          <w:tcPr>
            <w:tcW w:w="1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(14,865)</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(62,836)</w:t>
            </w:r>
          </w:p>
        </w:tc>
      </w:tr>
      <w:tr>
        <w:trPr>
          <w:trHeight w:val="196"/>
        </w:trPr>
        <w:tc>
          <w:tcPr>
            <w:tcW w:w="70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1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(22,853)</w:t>
            </w: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Purchase of businesses</w:t>
            </w: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(58,853)</w:t>
            </w: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Cost of capitalized software</w:t>
            </w:r>
          </w:p>
        </w:tc>
        <w:tc>
          <w:tcPr>
            <w:tcW w:w="1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(22,858)</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(22,784)</w:t>
            </w: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maturities of investments</w:t>
            </w: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40,771</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16,195</w:t>
            </w: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sales of investments</w:t>
            </w:r>
          </w:p>
        </w:tc>
        <w:tc>
          <w:tcPr>
            <w:tcW w:w="1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33,117</w:t>
            </w: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Purchases of investments</w:t>
            </w:r>
          </w:p>
        </w:tc>
        <w:tc>
          <w:tcPr>
            <w:tcW w:w="1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(36,840)</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(29,658)</w:t>
            </w:r>
          </w:p>
        </w:tc>
      </w:tr>
      <w:tr>
        <w:trPr>
          <w:trHeight w:val="223"/>
        </w:trPr>
        <w:tc>
          <w:tcPr>
            <w:tcW w:w="702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1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(27,142)</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(84,836)</w:t>
            </w:r>
          </w:p>
        </w:tc>
      </w:tr>
      <w:tr>
        <w:trPr>
          <w:trHeight w:val="196"/>
        </w:trPr>
        <w:tc>
          <w:tcPr>
            <w:tcW w:w="70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70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Finance lease payments</w:t>
            </w: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Tax-related withholding of common stock</w:t>
            </w:r>
          </w:p>
        </w:tc>
        <w:tc>
          <w:tcPr>
            <w:tcW w:w="1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(6,186)</w:t>
            </w: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issuance of common stock under employee stock plans</w:t>
            </w: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6,058</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7,035</w:t>
            </w: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Purchases of capped calls</w:t>
            </w:r>
          </w:p>
        </w:tc>
        <w:tc>
          <w:tcPr>
            <w:tcW w:w="1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(9,288)</w:t>
            </w: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proceeds from issuance of convertible senior notes</w:t>
            </w:r>
          </w:p>
        </w:tc>
        <w:tc>
          <w:tcPr>
            <w:tcW w:w="1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74,593</w:t>
            </w:r>
          </w:p>
        </w:tc>
      </w:tr>
      <w:tr>
        <w:trPr>
          <w:trHeight w:val="223"/>
        </w:trPr>
        <w:tc>
          <w:tcPr>
            <w:tcW w:w="702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7"/>
                <w:szCs w:val="17"/>
                <w:b w:val="1"/>
                <w:bCs w:val="1"/>
                <w:color w:val="auto"/>
              </w:rPr>
              <w:t>Net cash provided by financing activities</w:t>
            </w:r>
          </w:p>
        </w:tc>
        <w:tc>
          <w:tcPr>
            <w:tcW w:w="1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100" w:type="dxa"/>
            <w:vAlign w:val="bottom"/>
            <w:tcBorders>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65,842</w:t>
            </w:r>
          </w:p>
        </w:tc>
      </w:tr>
      <w:tr>
        <w:trPr>
          <w:trHeight w:val="196"/>
        </w:trPr>
        <w:tc>
          <w:tcPr>
            <w:tcW w:w="70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29"/>
        </w:trPr>
        <w:tc>
          <w:tcPr>
            <w:tcW w:w="70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Effects of currency exchange rates on cash, cash equivalent, and restricted cash</w:t>
            </w:r>
          </w:p>
        </w:tc>
        <w:tc>
          <w:tcPr>
            <w:tcW w:w="1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decrease in cash, cash equivalents, and restricted cash</w:t>
            </w: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(33,976)</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(80,872)</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the beginning of the period</w:t>
            </w:r>
          </w:p>
        </w:tc>
        <w:tc>
          <w:tcPr>
            <w:tcW w:w="1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156,411</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284,683</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the end of the period</w:t>
            </w:r>
          </w:p>
        </w:tc>
        <w:tc>
          <w:tcPr>
            <w:tcW w:w="1240" w:type="dxa"/>
            <w:vAlign w:val="bottom"/>
            <w:tcBorders>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122,435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203,811</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and non-cash disclosures:</w:t>
            </w:r>
          </w:p>
        </w:tc>
        <w:tc>
          <w:tcPr>
            <w:tcW w:w="1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Income taxes paid</w:t>
            </w:r>
          </w:p>
        </w:tc>
        <w:tc>
          <w:tcPr>
            <w:tcW w:w="12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Pr>
          <w:p>
            <w:pPr>
              <w:spacing w:after="0"/>
              <w:rPr>
                <w:sz w:val="19"/>
                <w:szCs w:val="19"/>
                <w:color w:val="auto"/>
              </w:rPr>
            </w:pPr>
          </w:p>
        </w:tc>
        <w:tc>
          <w:tcPr>
            <w:tcW w:w="12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paid</w:t>
            </w: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234"/>
        </w:trPr>
        <w:tc>
          <w:tcPr>
            <w:tcW w:w="70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Right of use assets obtained in exchange for new or modified operating lease liabilities</w:t>
            </w:r>
          </w:p>
        </w:tc>
        <w:tc>
          <w:tcPr>
            <w:tcW w:w="12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64,869</w:t>
            </w:r>
          </w:p>
        </w:tc>
      </w:tr>
    </w:tbl>
    <w:p>
      <w:pPr>
        <w:spacing w:after="0" w:line="200" w:lineRule="exact"/>
        <w:rPr>
          <w:sz w:val="20"/>
          <w:szCs w:val="20"/>
          <w:color w:val="auto"/>
        </w:rPr>
      </w:pPr>
    </w:p>
    <w:p>
      <w:pPr>
        <w:sectPr>
          <w:pgSz w:w="11900" w:h="16838" w:orient="portrait"/>
          <w:cols w:equalWidth="0" w:num="1">
            <w:col w:w="11200"/>
          </w:cols>
          <w:pgMar w:left="320" w:top="175" w:right="379" w:bottom="1440" w:gutter="0" w:footer="0" w:header="0"/>
        </w:sect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type w:val="continuous"/>
        </w:sectPr>
      </w:pPr>
    </w:p>
    <w:bookmarkStart w:id="10" w:name="page11"/>
    <w:bookmarkEnd w:id="1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cash, cash equivalents, and restricted cash to the condensed consolidated balance sheets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80" w:type="dxa"/>
            <w:vAlign w:val="bottom"/>
            <w:tcBorders>
              <w:bottom w:val="single" w:sz="8" w:color="auto"/>
            </w:tcBorders>
          </w:tcPr>
          <w:p>
            <w:pPr>
              <w:spacing w:after="0"/>
              <w:rPr>
                <w:sz w:val="20"/>
                <w:szCs w:val="20"/>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106,877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184,794</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current</w:t>
            </w: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6,996</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3,459</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1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8,562</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15,558</w:t>
            </w:r>
          </w:p>
        </w:tc>
      </w:tr>
      <w:tr>
        <w:trPr>
          <w:trHeight w:val="223"/>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28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122,435</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203,811</w:t>
            </w:r>
          </w:p>
        </w:tc>
      </w:tr>
      <w:tr>
        <w:trPr>
          <w:trHeight w:val="21"/>
        </w:trPr>
        <w:tc>
          <w:tcPr>
            <w:tcW w:w="70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8X8,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8x8, Inc. ("8x8" or the "Company") was incorporated in California in February 1987, and was reincorporated in Delaware in December 1996.</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a leading cloud provider of enterprise Software-as-a-Service ("SaaS") communications solutions that enable businesses of all sizes to communicate faster and smarter across voice, video meetings, chat, and contact centers, transforming both employee and customer experiences with communications that work simply, integrate seamlessly, and perform reliably. From one proprietary cloud technology platform, customers have access to unified communications, team collaboration, video conferencing, contact center, data and analytics, and other services. Substantially all revenue is generated from communication services subscriptions and platform usage. The Company also generates revenue from sales of hardware and professional services, which are complementary to the delivery of our integrated technology platform.</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accompanying condensed consolidated financial statements are unaudited and have been prepared in accordance with U.S. generally accepted accounting principles ("GAAP") and regulations of the Securities and Exchange Commission ("SEC") regarding interim financial reporting. The March 31, 2020 year-end condensed consolidated balance sheet disclosures in this document were derived from audited consolidated financial statements and do not include all disclosures required by GAAP. These condensed consolidated financial statements should be read in conjunction with the Company's audited consolidated financial statements as of and for the fiscal year ended March 31, 2020, and notes thereto included in the Company's fiscal 2020 Annual Report on Form 10-K ("Form 10-K"). There were no material changes during the three and nine months ended December 31, 2020, to our significant accounting policies as described in the Company's Form 10-K for the fiscal year ended March 31, 2020, except for the accounting policies described herein that were updated as a result of adopting Accounting Standards Update ("ASU") 2016-03, </w:t>
      </w:r>
      <w:r>
        <w:rPr>
          <w:rFonts w:ascii="Times New Roman" w:cs="Times New Roman" w:eastAsia="Times New Roman" w:hAnsi="Times New Roman"/>
          <w:sz w:val="18"/>
          <w:szCs w:val="18"/>
          <w:i w:val="1"/>
          <w:iCs w:val="1"/>
          <w:color w:val="auto"/>
        </w:rPr>
        <w:t>Financial Instruments—Credit Losses (Topic 326): Measurement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Credit Losses on Financial Instruments, </w:t>
      </w:r>
      <w:r>
        <w:rPr>
          <w:rFonts w:ascii="Times New Roman" w:cs="Times New Roman" w:eastAsia="Times New Roman" w:hAnsi="Times New Roman"/>
          <w:sz w:val="18"/>
          <w:szCs w:val="18"/>
          <w:color w:val="auto"/>
        </w:rPr>
        <w:t>further amended by various ASUs, and ASU 2018-15,</w:t>
      </w:r>
      <w:r>
        <w:rPr>
          <w:rFonts w:ascii="Times New Roman" w:cs="Times New Roman" w:eastAsia="Times New Roman" w:hAnsi="Times New Roman"/>
          <w:sz w:val="18"/>
          <w:szCs w:val="18"/>
          <w:i w:val="1"/>
          <w:iCs w:val="1"/>
          <w:color w:val="auto"/>
        </w:rPr>
        <w:t xml:space="preserve"> Intangibles-Goodwill and Other-Internal Use Software </w:t>
      </w:r>
      <w:r>
        <w:rPr>
          <w:rFonts w:ascii="Times New Roman" w:cs="Times New Roman" w:eastAsia="Times New Roman" w:hAnsi="Times New Roman"/>
          <w:sz w:val="18"/>
          <w:szCs w:val="18"/>
          <w:color w:val="auto"/>
        </w:rPr>
        <w:t>(Subtopic 350-40). The results of operations and cash flows for the periods included in these condensed consolidated financial statements are not necessarily indicative of the results to be expected for any future periods or the entire fiscal year.</w:t>
      </w:r>
    </w:p>
    <w:p>
      <w:pPr>
        <w:spacing w:after="0" w:line="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its wholly owned subsidiaries. All intercompany accounts and transactions have been eliminated in consolidation. The Company conducts its operations through one reportable segment.</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opinion of the Company's management, these condensed consolidated financial statements reflect all adjustments (consisting only of normal recurring adjustments) considered necessary for a fair statement of the Company's financial position, results of operations, and cash flows for the periods presented.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GAAP requires management to make estimates and assumptions that affect the reported amounts of assets, liabilities and equity, and disclosure of contingent assets and liabilities at the date of the condensed consolidated financial statements and the reported amounts of revenues and expenses during the reporting period. On an ongoing basis, the Company evaluates its estimates, including, but not limited to, those related to allowance for credit losses, returns reserve for expected customer credits or cancellations, fair value of and/or evaluation for impairment of goodwill and other long-lived assets, capitalization of internally developed software, benefit period for deferred sales commission costs, stock-based compensation expense, discount rate used to calculate operating lease liabilities, income and sales tax liabilities, fair value of convertible senior notes, litigation, and other contingencies. The Company bases its estimates on known facts and circumstances, historical experience, and various other assumptions. Actual results could differ from those estimates under different assumptions or conditions.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 AND OTHER CHANGES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fourth quarter of fiscal 2020, the Company determined that presenting service revenue as revenue from the Company's core communication services would provide transparency and clarity to the users of the financial statements. As such, the Company reclassified certain revenue and cost of revenue on its condensed consolidated statement of operations for the three and nine months ended December 31, 2019. Professional services revenue and cost of professional services revenue previously reported in service revenue and cost of service revenue are now reported in other revenue and cost of other revenue. Product revenue and cost of product revenue are also now reported in other revenue and cost of other revenue. The reclassifications did not have any impact on total revenue, consolidated net loss, or cash flows.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certain prior year amounts in the condensed consolidated statements of cash flows have been reclassified to conform with the current year presentation.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92" w:lineRule="exact"/>
        <w:rPr>
          <w:sz w:val="20"/>
          <w:szCs w:val="20"/>
          <w:color w:val="auto"/>
        </w:rPr>
      </w:pPr>
    </w:p>
    <w:p>
      <w:pPr>
        <w:jc w:val="both"/>
        <w:spacing w:after="0" w:line="221" w:lineRule="exact"/>
        <w:rPr>
          <w:sz w:val="20"/>
          <w:szCs w:val="20"/>
          <w:color w:val="auto"/>
        </w:rPr>
      </w:pPr>
      <w:r>
        <w:rPr>
          <w:rFonts w:ascii="Times New Roman" w:cs="Times New Roman" w:eastAsia="Times New Roman" w:hAnsi="Times New Roman"/>
          <w:sz w:val="18"/>
          <w:szCs w:val="18"/>
          <w:color w:val="auto"/>
        </w:rPr>
        <w:t>In June 2016, the Financial Accounting Standards Board ("FASB") issued ASU 2016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i w:val="1"/>
          <w:iCs w:val="1"/>
          <w:color w:val="auto"/>
        </w:rPr>
        <w:t>Financial Instruments—Credit Losses (Topic 326): Measurement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Credit Losses on Financial Instruments</w:t>
      </w:r>
      <w:r>
        <w:rPr>
          <w:rFonts w:ascii="Times New Roman" w:cs="Times New Roman" w:eastAsia="Times New Roman" w:hAnsi="Times New Roman"/>
          <w:sz w:val="18"/>
          <w:szCs w:val="18"/>
          <w:color w:val="auto"/>
        </w:rPr>
        <w:t>, as amended, which replaces the existing impairment model with a forward-looking expected loss method.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update, on initial recognition and at each reporting period, an entity is required to recognize an allowance that reflects the entity's current estimate of credit losses expected to be incurred over the life of the financial instrument. For trade receivables, loans, and other financial instruments, an entity is required to use a forward-looking expected loss model to recognize credit losses that are probable. The Company adopted ASU 2016-13 on a modified retrospective basis as of April 1, 2020, through a cumulative-effect adjustment to the Company's beginning accumulated deficit balance; the impact of the adoption was not material to the Company's consolidated financial statements. Credit losses are not expected to be significant based on historical collection trends, the financial condition of the Company’s customers, and external market factors, including those related to the COVID-19 pandemic. The Company will continue to actively monitor the impact of the recent COVID-19 pandemic on expected credit losses.</w:t>
      </w:r>
    </w:p>
    <w:p>
      <w:pPr>
        <w:spacing w:after="0" w:line="9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212529"/>
        </w:rPr>
        <w:t xml:space="preserve">In August 2018, the FASB issued ASU 2018-13, </w:t>
      </w:r>
      <w:r>
        <w:rPr>
          <w:rFonts w:ascii="Times New Roman" w:cs="Times New Roman" w:eastAsia="Times New Roman" w:hAnsi="Times New Roman"/>
          <w:sz w:val="18"/>
          <w:szCs w:val="18"/>
          <w:i w:val="1"/>
          <w:iCs w:val="1"/>
          <w:color w:val="212529"/>
        </w:rPr>
        <w:t>Fair Value Measurement</w:t>
      </w:r>
      <w:r>
        <w:rPr>
          <w:rFonts w:ascii="Times New Roman" w:cs="Times New Roman" w:eastAsia="Times New Roman" w:hAnsi="Times New Roman"/>
          <w:sz w:val="18"/>
          <w:szCs w:val="18"/>
          <w:color w:val="212529"/>
        </w:rPr>
        <w:t xml:space="preserve"> (Topic 820), which makes modifications to disclosure requirements on fair value measurements. </w:t>
      </w:r>
      <w:r>
        <w:rPr>
          <w:rFonts w:ascii="Times New Roman" w:cs="Times New Roman" w:eastAsia="Times New Roman" w:hAnsi="Times New Roman"/>
          <w:sz w:val="18"/>
          <w:szCs w:val="18"/>
          <w:color w:val="000000"/>
        </w:rPr>
        <w:t>The Company adopted ASU 2018-13 on April 1, 2020. The impact of the adoption was immaterial to the Company's consolidated financial</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statements.</w:t>
      </w:r>
    </w:p>
    <w:p>
      <w:pPr>
        <w:spacing w:after="0" w:line="6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August 2018, the FASB issued ASU 2018-15, </w:t>
      </w:r>
      <w:r>
        <w:rPr>
          <w:rFonts w:ascii="Times New Roman" w:cs="Times New Roman" w:eastAsia="Times New Roman" w:hAnsi="Times New Roman"/>
          <w:sz w:val="18"/>
          <w:szCs w:val="18"/>
          <w:i w:val="1"/>
          <w:iCs w:val="1"/>
          <w:color w:val="auto"/>
        </w:rPr>
        <w:t>Intangibles-Goodwill and Other-Internal Use Software</w:t>
      </w:r>
      <w:r>
        <w:rPr>
          <w:rFonts w:ascii="Times New Roman" w:cs="Times New Roman" w:eastAsia="Times New Roman" w:hAnsi="Times New Roman"/>
          <w:sz w:val="18"/>
          <w:szCs w:val="18"/>
          <w:color w:val="auto"/>
        </w:rPr>
        <w:t xml:space="preserve"> (Subtopic 350-40), which reduces complexity for the accounting for costs of implementing a cloud computing service arrangement. The Company adopted this guidance on a prospective basis effective April 1, 2020. The impact of the adoption was immaterial to the Company's consolidated financial statements.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(Topic 740), which enhances and simplifies various aspects of the income tax accounting guidance, including requirements such as tax basis step-up in goodwill obtained in a transaction that is not a business combination, ownership changes in investments, and interim-period accounting for enacted changes in tax law. The amendment will be effective for public companies with fiscal years beginning after December 15, 2020, which is fiscal 2022 for the Company; early adoption is permitted. The Company is currently assessing the impact of this pronouncement to its consolidated financial statements.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August 2020, the FASB issued ASU 2020-06, </w:t>
      </w:r>
      <w:r>
        <w:rPr>
          <w:rFonts w:ascii="Times New Roman" w:cs="Times New Roman" w:eastAsia="Times New Roman" w:hAnsi="Times New Roman"/>
          <w:sz w:val="18"/>
          <w:szCs w:val="18"/>
          <w:i w:val="1"/>
          <w:iCs w:val="1"/>
          <w:color w:val="auto"/>
        </w:rPr>
        <w:t>Debt - Debt with Conversion and Other Options</w:t>
      </w:r>
      <w:r>
        <w:rPr>
          <w:rFonts w:ascii="Times New Roman" w:cs="Times New Roman" w:eastAsia="Times New Roman" w:hAnsi="Times New Roman"/>
          <w:sz w:val="18"/>
          <w:szCs w:val="18"/>
          <w:color w:val="auto"/>
        </w:rPr>
        <w:t xml:space="preserve"> (Subtopic 470-20) and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in Entity’s Own Equity </w:t>
      </w:r>
      <w:r>
        <w:rPr>
          <w:rFonts w:ascii="Times New Roman" w:cs="Times New Roman" w:eastAsia="Times New Roman" w:hAnsi="Times New Roman"/>
          <w:sz w:val="18"/>
          <w:szCs w:val="18"/>
          <w:color w:val="auto"/>
        </w:rPr>
        <w:t>(Subtopic 815-40), which simplifies accounting for convertible instruments by eliminating two of the three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models available for convertible debt instruments and convertible preferred stock. The guidance also addresses how convertible instruments are accounted for in the diluted earnings per share calculation. The guidance is effective for fiscal years beginning after December 15, 2021, which is fiscal 2023 for the Company; early adoption is permitted. The Company is currently assessing the impact of this pronouncement to its consolidated financial statements.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presents disaggregated revenue by geographic regions in Note 13. </w:t>
      </w:r>
      <w:r>
        <w:rPr>
          <w:rFonts w:ascii="Times New Roman" w:cs="Times New Roman" w:eastAsia="Times New Roman" w:hAnsi="Times New Roman"/>
          <w:sz w:val="18"/>
          <w:szCs w:val="18"/>
          <w:i w:val="1"/>
          <w:iCs w:val="1"/>
          <w:color w:val="auto"/>
        </w:rPr>
        <w:t>Geographical Information.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receivables, contract assets, and deferred revenues from contracts with customers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300" w:type="dxa"/>
            <w:vAlign w:val="bottom"/>
          </w:tcPr>
          <w:p>
            <w:pPr>
              <w:spacing w:after="0"/>
              <w:rPr>
                <w:sz w:val="20"/>
                <w:szCs w:val="20"/>
                <w:color w:val="auto"/>
              </w:rPr>
            </w:pPr>
          </w:p>
        </w:tc>
        <w:tc>
          <w:tcPr>
            <w:tcW w:w="18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March 31, 2020</w:t>
            </w:r>
          </w:p>
        </w:tc>
      </w:tr>
      <w:tr>
        <w:trPr>
          <w:trHeight w:val="223"/>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3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37,811</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 current, net (included in Other current assets)</w:t>
            </w:r>
          </w:p>
        </w:tc>
        <w:tc>
          <w:tcPr>
            <w:tcW w:w="15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10,425</w:t>
            </w: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non-current, net (included in Other assets)</w:t>
            </w:r>
          </w:p>
        </w:tc>
        <w:tc>
          <w:tcPr>
            <w:tcW w:w="15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13,698</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current</w:t>
            </w:r>
          </w:p>
        </w:tc>
        <w:tc>
          <w:tcPr>
            <w:tcW w:w="15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7,105</w:t>
            </w: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non-current (included in Other liabilities, non-current)</w:t>
            </w:r>
          </w:p>
        </w:tc>
        <w:tc>
          <w:tcPr>
            <w:tcW w:w="15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r>
      <w:tr>
        <w:trPr>
          <w:trHeight w:val="850"/>
        </w:trPr>
        <w:tc>
          <w:tcPr>
            <w:tcW w:w="5400" w:type="dxa"/>
            <w:vAlign w:val="bottom"/>
          </w:tcPr>
          <w:p>
            <w:pPr>
              <w:spacing w:after="0"/>
              <w:rPr>
                <w:sz w:val="24"/>
                <w:szCs w:val="24"/>
                <w:color w:val="auto"/>
              </w:rPr>
            </w:pPr>
          </w:p>
        </w:tc>
        <w:tc>
          <w:tcPr>
            <w:tcW w:w="13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23"/>
        </w:trPr>
        <w:tc>
          <w:tcPr>
            <w:tcW w:w="5400" w:type="dxa"/>
            <w:vAlign w:val="bottom"/>
            <w:tcBorders>
              <w:bottom w:val="single" w:sz="8" w:color="9A9A9A"/>
            </w:tcBorders>
          </w:tcPr>
          <w:p>
            <w:pPr>
              <w:spacing w:after="0"/>
              <w:rPr>
                <w:sz w:val="19"/>
                <w:szCs w:val="19"/>
                <w:color w:val="auto"/>
              </w:rPr>
            </w:pPr>
          </w:p>
        </w:tc>
        <w:tc>
          <w:tcPr>
            <w:tcW w:w="132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198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88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contract assets and deferred revenue balances during the nine months ended December 31, 2020 are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340" w:type="dxa"/>
            <w:vAlign w:val="bottom"/>
          </w:tcPr>
          <w:p>
            <w:pPr>
              <w:spacing w:after="0"/>
              <w:rPr>
                <w:sz w:val="20"/>
                <w:szCs w:val="20"/>
                <w:color w:val="auto"/>
              </w:rPr>
            </w:pPr>
          </w:p>
        </w:tc>
        <w:tc>
          <w:tcPr>
            <w:tcW w:w="20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March 31, 2020</w:t>
            </w:r>
          </w:p>
        </w:tc>
        <w:tc>
          <w:tcPr>
            <w:tcW w:w="380" w:type="dxa"/>
            <w:vAlign w:val="bottom"/>
          </w:tcPr>
          <w:p>
            <w:pPr>
              <w:spacing w:after="0"/>
              <w:rPr>
                <w:sz w:val="20"/>
                <w:szCs w:val="20"/>
                <w:color w:val="auto"/>
              </w:rPr>
            </w:pPr>
          </w:p>
        </w:tc>
        <w:tc>
          <w:tcPr>
            <w:tcW w:w="15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w:t>
            </w:r>
          </w:p>
        </w:tc>
      </w:tr>
      <w:tr>
        <w:trPr>
          <w:trHeight w:val="234"/>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20,783</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8,224</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12,559</w:t>
            </w:r>
          </w:p>
        </w:tc>
      </w:tr>
    </w:tbl>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contract assets was primarily driven by the recognition of revenue that had not yet been billed, net of amounts billed during the period, and the reserve for credit losses. The increase in deferred revenue was due to billings in advance of performance obligations being satisfied, net of revenue recognized for services rendered during the period. Revenue of $0.7 million and $5.7 million was recognized during the three and nine months ended December 31, 2020, respectively, which was included in the deferred revenue balance at the beginning of the period.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subscription terms typically range from one to five years. Contract revenue from remaining performance obligations that had not yet been recognized as of December 31, 2020, was approximately $365 million. This excludes contracts with an original expected length of one year or less. The Company expects to recognize revenue on most of the remaining performance obligations over the next 36 months.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Sales Commission Costs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Amortization of deferred sales commission costs was $7.3 million and $5.1 million for the three months ended December 31, 2020 and 2019, respectively, and $20.1 million and $13.8 million, for the nine months ended December 31, 2020 and 2019, respectively. There were no material write-offs of deferred sales commission costs during these periods.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restricted cash, and available-for-sale investments are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180" w:type="dxa"/>
            <w:vAlign w:val="bottom"/>
          </w:tcPr>
          <w:p>
            <w:pPr>
              <w:spacing w:after="0"/>
              <w:rPr>
                <w:sz w:val="11"/>
                <w:szCs w:val="11"/>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Cash and</w:t>
            </w:r>
          </w:p>
        </w:tc>
        <w:tc>
          <w:tcPr>
            <w:tcW w:w="108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Cash (Current</w:t>
            </w:r>
          </w:p>
        </w:tc>
        <w:tc>
          <w:tcPr>
            <w:tcW w:w="160" w:type="dxa"/>
            <w:vAlign w:val="bottom"/>
          </w:tcPr>
          <w:p>
            <w:pPr>
              <w:spacing w:after="0"/>
              <w:rPr>
                <w:sz w:val="11"/>
                <w:szCs w:val="11"/>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160" w:type="dxa"/>
            <w:vAlign w:val="bottom"/>
          </w:tcPr>
          <w:p>
            <w:pPr>
              <w:spacing w:after="0"/>
              <w:rPr>
                <w:sz w:val="11"/>
                <w:szCs w:val="11"/>
                <w:color w:val="auto"/>
              </w:rPr>
            </w:pPr>
          </w:p>
        </w:tc>
        <w:tc>
          <w:tcPr>
            <w:tcW w:w="1000" w:type="dxa"/>
            <w:vAlign w:val="bottom"/>
            <w:vMerge w:val="restart"/>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0" w:type="dxa"/>
            <w:vAlign w:val="bottom"/>
          </w:tcPr>
          <w:p>
            <w:pPr>
              <w:spacing w:after="0"/>
              <w:rPr>
                <w:sz w:val="1"/>
                <w:szCs w:val="1"/>
                <w:color w:val="auto"/>
              </w:rPr>
            </w:pPr>
          </w:p>
        </w:tc>
      </w:tr>
      <w:tr>
        <w:trPr>
          <w:trHeight w:val="135"/>
        </w:trPr>
        <w:tc>
          <w:tcPr>
            <w:tcW w:w="2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As of December 31, 2020</w:t>
            </w: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&amp; Non-</w:t>
            </w:r>
          </w:p>
        </w:tc>
        <w:tc>
          <w:tcPr>
            <w:tcW w:w="1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12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20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Cash Equivalents</w:t>
            </w: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6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60" w:type="dxa"/>
            <w:vAlign w:val="bottom"/>
          </w:tcPr>
          <w:p>
            <w:pPr>
              <w:spacing w:after="0"/>
              <w:rPr>
                <w:sz w:val="16"/>
                <w:szCs w:val="16"/>
                <w:color w:val="auto"/>
              </w:rPr>
            </w:pPr>
          </w:p>
        </w:tc>
        <w:tc>
          <w:tcPr>
            <w:tcW w:w="1000" w:type="dxa"/>
            <w:vAlign w:val="bottom"/>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197"/>
        </w:trPr>
        <w:tc>
          <w:tcPr>
            <w:tcW w:w="19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Cash</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40,656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40,656</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33,739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6,917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Level 1:</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Money market funds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71,232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71,232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71,232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Treasury securities</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6,181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6,223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6,223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8"/>
        </w:trPr>
        <w:tc>
          <w:tcPr>
            <w:tcW w:w="208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Subtotal</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118,069</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118,111</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104,971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6,917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6,223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Level 2:</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Certificate of deposit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8,641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8,641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8,641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Commercial paper</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16,194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2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16,193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14,893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2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Corporate debt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25,028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25,106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20,622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3,878</w:t>
            </w:r>
          </w:p>
        </w:tc>
        <w:tc>
          <w:tcPr>
            <w:tcW w:w="0" w:type="dxa"/>
            <w:vAlign w:val="bottom"/>
          </w:tcPr>
          <w:p>
            <w:pPr>
              <w:spacing w:after="0"/>
              <w:rPr>
                <w:sz w:val="1"/>
                <w:szCs w:val="1"/>
                <w:color w:val="auto"/>
              </w:rPr>
            </w:pPr>
          </w:p>
        </w:tc>
      </w:tr>
      <w:tr>
        <w:trPr>
          <w:trHeight w:val="194"/>
        </w:trPr>
        <w:tc>
          <w:tcPr>
            <w:tcW w:w="20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5"/>
                <w:szCs w:val="15"/>
                <w:color w:val="auto"/>
              </w:rPr>
              <w:t>Subtotal</w:t>
            </w:r>
          </w:p>
        </w:tc>
        <w:tc>
          <w:tcPr>
            <w:tcW w:w="1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49,863</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79</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49,940</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1,906</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8,641</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35,515</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3,878</w:t>
            </w:r>
          </w:p>
        </w:tc>
        <w:tc>
          <w:tcPr>
            <w:tcW w:w="0" w:type="dxa"/>
            <w:vAlign w:val="bottom"/>
          </w:tcPr>
          <w:p>
            <w:pPr>
              <w:spacing w:after="0"/>
              <w:rPr>
                <w:sz w:val="1"/>
                <w:szCs w:val="1"/>
                <w:color w:val="auto"/>
              </w:rPr>
            </w:pPr>
          </w:p>
        </w:tc>
      </w:tr>
      <w:tr>
        <w:trPr>
          <w:trHeight w:val="223"/>
        </w:trPr>
        <w:tc>
          <w:tcPr>
            <w:tcW w:w="20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167,932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168,051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106,877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15,558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41,738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3,878</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180" w:type="dxa"/>
            <w:vAlign w:val="bottom"/>
          </w:tcPr>
          <w:p>
            <w:pPr>
              <w:spacing w:after="0"/>
              <w:rPr>
                <w:sz w:val="11"/>
                <w:szCs w:val="11"/>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Cash and</w:t>
            </w:r>
          </w:p>
        </w:tc>
        <w:tc>
          <w:tcPr>
            <w:tcW w:w="108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Cash (Current</w:t>
            </w:r>
          </w:p>
        </w:tc>
        <w:tc>
          <w:tcPr>
            <w:tcW w:w="160" w:type="dxa"/>
            <w:vAlign w:val="bottom"/>
          </w:tcPr>
          <w:p>
            <w:pPr>
              <w:spacing w:after="0"/>
              <w:rPr>
                <w:sz w:val="11"/>
                <w:szCs w:val="11"/>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160" w:type="dxa"/>
            <w:vAlign w:val="bottom"/>
          </w:tcPr>
          <w:p>
            <w:pPr>
              <w:spacing w:after="0"/>
              <w:rPr>
                <w:sz w:val="11"/>
                <w:szCs w:val="11"/>
                <w:color w:val="auto"/>
              </w:rPr>
            </w:pPr>
          </w:p>
        </w:tc>
        <w:tc>
          <w:tcPr>
            <w:tcW w:w="1000" w:type="dxa"/>
            <w:vAlign w:val="bottom"/>
            <w:vMerge w:val="restart"/>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0" w:type="dxa"/>
            <w:vAlign w:val="bottom"/>
          </w:tcPr>
          <w:p>
            <w:pPr>
              <w:spacing w:after="0"/>
              <w:rPr>
                <w:sz w:val="1"/>
                <w:szCs w:val="1"/>
                <w:color w:val="auto"/>
              </w:rPr>
            </w:pPr>
          </w:p>
        </w:tc>
      </w:tr>
      <w:tr>
        <w:trPr>
          <w:trHeight w:val="135"/>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As of March 31, 2020</w:t>
            </w: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&amp; Non-</w:t>
            </w:r>
          </w:p>
        </w:tc>
        <w:tc>
          <w:tcPr>
            <w:tcW w:w="1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12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20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Cash Equivalents</w:t>
            </w: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6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60" w:type="dxa"/>
            <w:vAlign w:val="bottom"/>
          </w:tcPr>
          <w:p>
            <w:pPr>
              <w:spacing w:after="0"/>
              <w:rPr>
                <w:sz w:val="16"/>
                <w:szCs w:val="16"/>
                <w:color w:val="auto"/>
              </w:rPr>
            </w:pPr>
          </w:p>
        </w:tc>
        <w:tc>
          <w:tcPr>
            <w:tcW w:w="1000" w:type="dxa"/>
            <w:vAlign w:val="bottom"/>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197"/>
        </w:trPr>
        <w:tc>
          <w:tcPr>
            <w:tcW w:w="20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Cash</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31,378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31,378</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21,002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10,376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2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Level 1:</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Money market funds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110,796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110,796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110,796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20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Treasury securities</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6,192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6,308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6,308</w:t>
            </w:r>
          </w:p>
        </w:tc>
        <w:tc>
          <w:tcPr>
            <w:tcW w:w="0" w:type="dxa"/>
            <w:vAlign w:val="bottom"/>
          </w:tcPr>
          <w:p>
            <w:pPr>
              <w:spacing w:after="0"/>
              <w:rPr>
                <w:sz w:val="1"/>
                <w:szCs w:val="1"/>
                <w:color w:val="auto"/>
              </w:rPr>
            </w:pPr>
          </w:p>
        </w:tc>
      </w:tr>
      <w:tr>
        <w:trPr>
          <w:trHeight w:val="198"/>
        </w:trPr>
        <w:tc>
          <w:tcPr>
            <w:tcW w:w="20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Subtotal</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148,366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148,482</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131,798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10,376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6,308</w:t>
            </w:r>
          </w:p>
        </w:tc>
        <w:tc>
          <w:tcPr>
            <w:tcW w:w="0" w:type="dxa"/>
            <w:vAlign w:val="bottom"/>
          </w:tcPr>
          <w:p>
            <w:pPr>
              <w:spacing w:after="0"/>
              <w:rPr>
                <w:sz w:val="1"/>
                <w:szCs w:val="1"/>
                <w:color w:val="auto"/>
              </w:rPr>
            </w:pP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Level 2:</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Certificate of deposit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8,641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8,641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8,641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20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Commercial paper</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14,979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14,985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5,596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9,389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2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Corporate debt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34,153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33,844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24,069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9,775</w:t>
            </w:r>
          </w:p>
        </w:tc>
        <w:tc>
          <w:tcPr>
            <w:tcW w:w="0" w:type="dxa"/>
            <w:vAlign w:val="bottom"/>
          </w:tcPr>
          <w:p>
            <w:pPr>
              <w:spacing w:after="0"/>
              <w:rPr>
                <w:sz w:val="1"/>
                <w:szCs w:val="1"/>
                <w:color w:val="auto"/>
              </w:rPr>
            </w:pPr>
          </w:p>
        </w:tc>
      </w:tr>
      <w:tr>
        <w:trPr>
          <w:trHeight w:val="194"/>
        </w:trPr>
        <w:tc>
          <w:tcPr>
            <w:tcW w:w="2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5"/>
                <w:szCs w:val="15"/>
                <w:color w:val="auto"/>
              </w:rPr>
              <w:t>Subtotal</w:t>
            </w:r>
          </w:p>
        </w:tc>
        <w:tc>
          <w:tcPr>
            <w:tcW w:w="1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57,773</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(341)</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57,470</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5,596</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8,641</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33,458</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9,775</w:t>
            </w:r>
          </w:p>
        </w:tc>
        <w:tc>
          <w:tcPr>
            <w:tcW w:w="0" w:type="dxa"/>
            <w:vAlign w:val="bottom"/>
          </w:tcPr>
          <w:p>
            <w:pPr>
              <w:spacing w:after="0"/>
              <w:rPr>
                <w:sz w:val="1"/>
                <w:szCs w:val="1"/>
                <w:color w:val="auto"/>
              </w:rPr>
            </w:pPr>
          </w:p>
        </w:tc>
      </w:tr>
      <w:tr>
        <w:trPr>
          <w:trHeight w:val="223"/>
        </w:trPr>
        <w:tc>
          <w:tcPr>
            <w:tcW w:w="2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206,139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205,952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137,394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19,017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33,458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16,083</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Certificate of deposit represents the Company's letter of credits securing leases for office facilities, the balance of which is included in </w:t>
      </w:r>
      <w:r>
        <w:rPr>
          <w:rFonts w:ascii="Times New Roman" w:cs="Times New Roman" w:eastAsia="Times New Roman" w:hAnsi="Times New Roman"/>
          <w:sz w:val="18"/>
          <w:szCs w:val="18"/>
          <w:i w:val="1"/>
          <w:iCs w:val="1"/>
          <w:color w:val="auto"/>
        </w:rPr>
        <w:t>Restricted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current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Restricted cash, non-current </w:t>
      </w:r>
      <w:r>
        <w:rPr>
          <w:rFonts w:ascii="Times New Roman" w:cs="Times New Roman" w:eastAsia="Times New Roman" w:hAnsi="Times New Roman"/>
          <w:sz w:val="18"/>
          <w:szCs w:val="18"/>
          <w:color w:val="auto"/>
        </w:rPr>
        <w:t>on the Company's Condensed Consolidated Balance Sheet.</w:t>
      </w:r>
    </w:p>
    <w:p>
      <w:pPr>
        <w:spacing w:after="0" w:line="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its investments available to support its current operations and has classified all investments as available-for-sale securities. The Company does not intend to sell any of its investments that are in unrealized loss positions and, as of December 31, 2020, has determined that it is not more likely than not that it will be required to sell any of these investments before recovery of the entire amortized cost basis.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regularly reviews the changes to the rating of its securities at the individual security level by rating agencies and reasonably monitors the surrounding economic conditions to assess the risk of expected credit losses. As of December 31, 2020, the Company did not have any risk of expected credit losses.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2020, the estimated fair value of the Company's outstanding convertible senior notes (the "Notes") was $527.8 million, which was determined based on the closing price for the Notes on the last trading day of the reporting period. The estimated fair value is categorized within Level 2 of the fair value hierarchy due to limited trading activity of the Notes.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BUSINESS COMBINATIONS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2019, the Company purchased all of the outstanding shares and equity interests of Wavecell, Pte. Ltd. As of September 30, 2020 the fair value of all assets acquired and liabilities assumed in the transaction were finalized. Of the $10.4 million cash and 394,515 shares (equivalent to $8.5 million at acquisition) that were held back, the Company released $3.5 million of cash and 116,505 shares on the one-year anniversary of the acquisition. The remaining balance was released in January 2021.</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INTANGIBLE ASSETS AND GOODWILL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of intangible assets consisted of the following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March 31, 2020</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80" w:type="dxa"/>
            <w:vAlign w:val="bottom"/>
          </w:tcPr>
          <w:p>
            <w:pPr>
              <w:spacing w:after="0"/>
              <w:rPr>
                <w:sz w:val="13"/>
                <w:szCs w:val="13"/>
                <w:color w:val="auto"/>
              </w:rPr>
            </w:pPr>
          </w:p>
        </w:tc>
        <w:tc>
          <w:tcPr>
            <w:tcW w:w="13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3"/>
                <w:szCs w:val="13"/>
                <w:color w:val="auto"/>
              </w:rPr>
            </w:pPr>
          </w:p>
        </w:tc>
        <w:tc>
          <w:tcPr>
            <w:tcW w:w="960" w:type="dxa"/>
            <w:vAlign w:val="bottom"/>
          </w:tcPr>
          <w:p>
            <w:pPr>
              <w:jc w:val="center"/>
              <w:ind w:right="94"/>
              <w:spacing w:after="0" w:line="158" w:lineRule="exact"/>
              <w:rPr>
                <w:sz w:val="20"/>
                <w:szCs w:val="20"/>
                <w:color w:val="auto"/>
              </w:rPr>
            </w:pPr>
            <w:r>
              <w:rPr>
                <w:rFonts w:ascii="Times New Roman" w:cs="Times New Roman" w:eastAsia="Times New Roman" w:hAnsi="Times New Roman"/>
                <w:sz w:val="16"/>
                <w:szCs w:val="16"/>
                <w:b w:val="1"/>
                <w:bCs w:val="1"/>
                <w:color w:val="auto"/>
              </w:rPr>
              <w:t>Net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40" w:type="dxa"/>
            <w:vAlign w:val="bottom"/>
          </w:tcPr>
          <w:p>
            <w:pPr>
              <w:spacing w:after="0"/>
              <w:rPr>
                <w:sz w:val="13"/>
                <w:szCs w:val="13"/>
                <w:color w:val="auto"/>
              </w:rPr>
            </w:pPr>
          </w:p>
        </w:tc>
        <w:tc>
          <w:tcPr>
            <w:tcW w:w="13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3"/>
                <w:szCs w:val="13"/>
                <w:color w:val="auto"/>
              </w:rPr>
            </w:pPr>
          </w:p>
        </w:tc>
        <w:tc>
          <w:tcPr>
            <w:tcW w:w="980" w:type="dxa"/>
            <w:vAlign w:val="bottom"/>
          </w:tcPr>
          <w:p>
            <w:pPr>
              <w:jc w:val="center"/>
              <w:ind w:right="94"/>
              <w:spacing w:after="0" w:line="158"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8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Carrying</w:t>
            </w:r>
          </w:p>
        </w:tc>
        <w:tc>
          <w:tcPr>
            <w:tcW w:w="180" w:type="dxa"/>
            <w:vAlign w:val="bottom"/>
          </w:tcPr>
          <w:p>
            <w:pPr>
              <w:spacing w:after="0"/>
              <w:rPr>
                <w:sz w:val="14"/>
                <w:szCs w:val="14"/>
                <w:color w:val="auto"/>
              </w:rPr>
            </w:pPr>
          </w:p>
        </w:tc>
        <w:tc>
          <w:tcPr>
            <w:tcW w:w="108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94"/>
              <w:spacing w:after="0" w:line="162"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0" w:type="dxa"/>
            <w:vAlign w:val="bottom"/>
          </w:tcPr>
          <w:p>
            <w:pPr>
              <w:spacing w:after="0"/>
              <w:rPr>
                <w:sz w:val="1"/>
                <w:szCs w:val="1"/>
                <w:color w:val="auto"/>
              </w:rPr>
            </w:pPr>
          </w:p>
        </w:tc>
      </w:tr>
      <w:tr>
        <w:trPr>
          <w:trHeight w:val="214"/>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80" w:type="dxa"/>
            <w:vAlign w:val="bottom"/>
          </w:tcPr>
          <w:p>
            <w:pPr>
              <w:spacing w:after="0"/>
              <w:rPr>
                <w:sz w:val="18"/>
                <w:szCs w:val="18"/>
                <w:color w:val="auto"/>
              </w:rPr>
            </w:pPr>
          </w:p>
        </w:tc>
        <w:tc>
          <w:tcPr>
            <w:tcW w:w="98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0" w:type="dxa"/>
            <w:vAlign w:val="bottom"/>
          </w:tcPr>
          <w:p>
            <w:pPr>
              <w:spacing w:after="0"/>
              <w:rPr>
                <w:sz w:val="1"/>
                <w:szCs w:val="1"/>
                <w:color w:val="auto"/>
              </w:rPr>
            </w:pPr>
          </w:p>
        </w:tc>
      </w:tr>
      <w:tr>
        <w:trPr>
          <w:trHeight w:val="225"/>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17,620</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5,997</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and domain names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155"/>
        </w:trPr>
        <w:tc>
          <w:tcPr>
            <w:tcW w:w="3240" w:type="dxa"/>
            <w:vAlign w:val="bottom"/>
          </w:tcPr>
          <w:p>
            <w:pPr>
              <w:ind w:left="240"/>
              <w:spacing w:after="0" w:line="156" w:lineRule="exact"/>
              <w:rPr>
                <w:sz w:val="20"/>
                <w:szCs w:val="20"/>
                <w:color w:val="auto"/>
              </w:rPr>
            </w:pPr>
            <w:r>
              <w:rPr>
                <w:rFonts w:ascii="Times New Roman" w:cs="Times New Roman" w:eastAsia="Times New Roman" w:hAnsi="Times New Roman"/>
                <w:sz w:val="18"/>
                <w:szCs w:val="18"/>
                <w:color w:val="auto"/>
              </w:rPr>
              <w:t>Total acquired identifiable intangible</w:t>
            </w: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46,885</w:t>
            </w:r>
          </w:p>
        </w:tc>
        <w:tc>
          <w:tcPr>
            <w:tcW w:w="100" w:type="dxa"/>
            <w:vAlign w:val="bottom"/>
          </w:tcPr>
          <w:p>
            <w:pPr>
              <w:spacing w:after="0"/>
              <w:rPr>
                <w:sz w:val="13"/>
                <w:szCs w:val="13"/>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(28,459)</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18,426</w:t>
            </w:r>
          </w:p>
        </w:tc>
        <w:tc>
          <w:tcPr>
            <w:tcW w:w="120" w:type="dxa"/>
            <w:vAlign w:val="bottom"/>
          </w:tcPr>
          <w:p>
            <w:pPr>
              <w:spacing w:after="0"/>
              <w:rPr>
                <w:sz w:val="13"/>
                <w:szCs w:val="13"/>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46,324</w:t>
            </w:r>
          </w:p>
        </w:tc>
        <w:tc>
          <w:tcPr>
            <w:tcW w:w="10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(22,323)</w:t>
            </w:r>
          </w:p>
        </w:tc>
        <w:tc>
          <w:tcPr>
            <w:tcW w:w="100" w:type="dxa"/>
            <w:vAlign w:val="bottom"/>
          </w:tcPr>
          <w:p>
            <w:pPr>
              <w:spacing w:after="0"/>
              <w:rPr>
                <w:sz w:val="13"/>
                <w:szCs w:val="13"/>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24,001</w:t>
            </w:r>
          </w:p>
        </w:tc>
        <w:tc>
          <w:tcPr>
            <w:tcW w:w="0" w:type="dxa"/>
            <w:vAlign w:val="bottom"/>
          </w:tcPr>
          <w:p>
            <w:pPr>
              <w:spacing w:after="0"/>
              <w:rPr>
                <w:sz w:val="1"/>
                <w:szCs w:val="1"/>
                <w:color w:val="auto"/>
              </w:rPr>
            </w:pPr>
          </w:p>
        </w:tc>
      </w:tr>
      <w:tr>
        <w:trPr>
          <w:trHeight w:val="208"/>
        </w:trPr>
        <w:tc>
          <w:tcPr>
            <w:tcW w:w="3240" w:type="dxa"/>
            <w:vAlign w:val="bottom"/>
          </w:tcPr>
          <w:p>
            <w:pPr>
              <w:ind w:left="240"/>
              <w:spacing w:after="0" w:line="202" w:lineRule="exact"/>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2020, the weighted average remaining useful life of developed technology and customer relationships was 4.7 years and 5.5 years, respectively.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2020, the expected future amortization expense of the intangible assets was as follows (in thousands):</w:t>
            </w:r>
          </w:p>
        </w:tc>
        <w:tc>
          <w:tcPr>
            <w:tcW w:w="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9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2021</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0" w:type="dxa"/>
            <w:vAlign w:val="bottom"/>
          </w:tcPr>
          <w:p>
            <w:pPr>
              <w:spacing w:after="0"/>
              <w:rPr>
                <w:sz w:val="1"/>
                <w:szCs w:val="1"/>
                <w:color w:val="auto"/>
              </w:rPr>
            </w:pPr>
          </w:p>
        </w:tc>
      </w:tr>
      <w:tr>
        <w:trPr>
          <w:trHeight w:val="229"/>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6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0" w:type="dxa"/>
            <w:vAlign w:val="bottom"/>
          </w:tcPr>
          <w:p>
            <w:pPr>
              <w:spacing w:after="0"/>
              <w:rPr>
                <w:sz w:val="1"/>
                <w:szCs w:val="1"/>
                <w:color w:val="auto"/>
              </w:rPr>
            </w:pPr>
          </w:p>
        </w:tc>
      </w:tr>
      <w:tr>
        <w:trPr>
          <w:trHeight w:val="230"/>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0" w:type="dxa"/>
            <w:vAlign w:val="bottom"/>
          </w:tcPr>
          <w:p>
            <w:pPr>
              <w:spacing w:after="0"/>
              <w:rPr>
                <w:sz w:val="1"/>
                <w:szCs w:val="1"/>
                <w:color w:val="auto"/>
              </w:rPr>
            </w:pPr>
          </w:p>
        </w:tc>
      </w:tr>
      <w:tr>
        <w:trPr>
          <w:trHeight w:val="229"/>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0" w:type="dxa"/>
            <w:vAlign w:val="bottom"/>
          </w:tcPr>
          <w:p>
            <w:pPr>
              <w:spacing w:after="0"/>
              <w:rPr>
                <w:sz w:val="1"/>
                <w:szCs w:val="1"/>
                <w:color w:val="auto"/>
              </w:rPr>
            </w:pPr>
          </w:p>
        </w:tc>
      </w:tr>
      <w:tr>
        <w:trPr>
          <w:trHeight w:val="22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0" w:type="dxa"/>
            <w:vAlign w:val="bottom"/>
          </w:tcPr>
          <w:p>
            <w:pPr>
              <w:spacing w:after="0"/>
              <w:rPr>
                <w:sz w:val="1"/>
                <w:szCs w:val="1"/>
                <w:color w:val="auto"/>
              </w:rPr>
            </w:pPr>
          </w:p>
        </w:tc>
      </w:tr>
      <w:tr>
        <w:trPr>
          <w:trHeight w:val="230"/>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0" w:type="dxa"/>
            <w:vAlign w:val="bottom"/>
          </w:tcPr>
          <w:p>
            <w:pPr>
              <w:spacing w:after="0"/>
              <w:rPr>
                <w:sz w:val="1"/>
                <w:szCs w:val="1"/>
                <w:color w:val="auto"/>
              </w:rPr>
            </w:pPr>
          </w:p>
        </w:tc>
      </w:tr>
      <w:tr>
        <w:trPr>
          <w:trHeight w:val="248"/>
        </w:trPr>
        <w:tc>
          <w:tcPr>
            <w:tcW w:w="93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18,426</w:t>
            </w:r>
          </w:p>
        </w:tc>
        <w:tc>
          <w:tcPr>
            <w:tcW w:w="0" w:type="dxa"/>
            <w:vAlign w:val="bottom"/>
          </w:tcPr>
          <w:p>
            <w:pPr>
              <w:spacing w:after="0"/>
              <w:rPr>
                <w:sz w:val="1"/>
                <w:szCs w:val="1"/>
                <w:color w:val="auto"/>
              </w:rPr>
            </w:pPr>
          </w:p>
        </w:tc>
      </w:tr>
      <w:tr>
        <w:trPr>
          <w:trHeight w:val="20"/>
        </w:trPr>
        <w:tc>
          <w:tcPr>
            <w:tcW w:w="93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934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provides a summary of the change in the carrying amount of goodwill (in thousands):</w:t>
            </w: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9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2020</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128,300</w:t>
            </w:r>
          </w:p>
        </w:tc>
        <w:tc>
          <w:tcPr>
            <w:tcW w:w="0" w:type="dxa"/>
            <w:vAlign w:val="bottom"/>
          </w:tcPr>
          <w:p>
            <w:pPr>
              <w:spacing w:after="0"/>
              <w:rPr>
                <w:sz w:val="1"/>
                <w:szCs w:val="1"/>
                <w:color w:val="auto"/>
              </w:rPr>
            </w:pPr>
          </w:p>
        </w:tc>
      </w:tr>
      <w:tr>
        <w:trPr>
          <w:trHeight w:val="230"/>
        </w:trPr>
        <w:tc>
          <w:tcPr>
            <w:tcW w:w="93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0" w:type="dxa"/>
            <w:vAlign w:val="bottom"/>
          </w:tcPr>
          <w:p>
            <w:pPr>
              <w:spacing w:after="0"/>
              <w:rPr>
                <w:sz w:val="1"/>
                <w:szCs w:val="1"/>
                <w:color w:val="auto"/>
              </w:rPr>
            </w:pPr>
          </w:p>
        </w:tc>
      </w:tr>
      <w:tr>
        <w:trPr>
          <w:trHeight w:val="248"/>
        </w:trPr>
        <w:tc>
          <w:tcPr>
            <w:tcW w:w="9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132,067</w:t>
            </w:r>
          </w:p>
        </w:tc>
        <w:tc>
          <w:tcPr>
            <w:tcW w:w="0" w:type="dxa"/>
            <w:vAlign w:val="bottom"/>
          </w:tcPr>
          <w:p>
            <w:pPr>
              <w:spacing w:after="0"/>
              <w:rPr>
                <w:sz w:val="1"/>
                <w:szCs w:val="1"/>
                <w:color w:val="auto"/>
              </w:rPr>
            </w:pP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primarily leases facilities for office and data center space for its U.S. and international locations under non-cancellable operating leases. The leases expire at various dates through 2030.</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balance sheet information related to leases as of December 31, 2020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4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240" w:type="dxa"/>
            <w:vAlign w:val="bottom"/>
            <w:tcBorders>
              <w:bottom w:val="single" w:sz="8" w:color="CCEEFF"/>
            </w:tcBorders>
          </w:tcPr>
          <w:p>
            <w:pPr>
              <w:spacing w:after="0"/>
              <w:rPr>
                <w:sz w:val="20"/>
                <w:szCs w:val="20"/>
                <w:color w:val="auto"/>
              </w:rPr>
            </w:pPr>
          </w:p>
        </w:tc>
        <w:tc>
          <w:tcPr>
            <w:tcW w:w="228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March 31, 2020</w:t>
            </w: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900" w:type="dxa"/>
            <w:vAlign w:val="bottom"/>
          </w:tcPr>
          <w:p>
            <w:pPr>
              <w:spacing w:after="0"/>
              <w:rPr>
                <w:sz w:val="19"/>
                <w:szCs w:val="19"/>
                <w:color w:val="auto"/>
              </w:rPr>
            </w:pPr>
          </w:p>
        </w:tc>
        <w:tc>
          <w:tcPr>
            <w:tcW w:w="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70,443</w:t>
            </w:r>
          </w:p>
        </w:tc>
        <w:tc>
          <w:tcPr>
            <w:tcW w:w="102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78,963</w:t>
            </w:r>
          </w:p>
        </w:tc>
        <w:tc>
          <w:tcPr>
            <w:tcW w:w="0" w:type="dxa"/>
            <w:vAlign w:val="bottom"/>
          </w:tcPr>
          <w:p>
            <w:pPr>
              <w:spacing w:after="0"/>
              <w:rPr>
                <w:sz w:val="1"/>
                <w:szCs w:val="1"/>
                <w:color w:val="auto"/>
              </w:rPr>
            </w:pPr>
          </w:p>
        </w:tc>
      </w:tr>
      <w:tr>
        <w:trPr>
          <w:trHeight w:val="270"/>
        </w:trPr>
        <w:tc>
          <w:tcPr>
            <w:tcW w:w="5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9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12,691</w:t>
            </w:r>
          </w:p>
        </w:tc>
        <w:tc>
          <w:tcPr>
            <w:tcW w:w="102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9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85,379</w:t>
            </w:r>
          </w:p>
        </w:tc>
        <w:tc>
          <w:tcPr>
            <w:tcW w:w="24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92,452</w:t>
            </w:r>
          </w:p>
        </w:tc>
        <w:tc>
          <w:tcPr>
            <w:tcW w:w="0" w:type="dxa"/>
            <w:vAlign w:val="bottom"/>
          </w:tcPr>
          <w:p>
            <w:pPr>
              <w:spacing w:after="0"/>
              <w:rPr>
                <w:sz w:val="1"/>
                <w:szCs w:val="1"/>
                <w:color w:val="auto"/>
              </w:rPr>
            </w:pPr>
          </w:p>
        </w:tc>
      </w:tr>
      <w:tr>
        <w:trPr>
          <w:trHeight w:val="248"/>
        </w:trPr>
        <w:tc>
          <w:tcPr>
            <w:tcW w:w="53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98,070</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98,327</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tc>
        <w:tc>
          <w:tcPr>
            <w:tcW w:w="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3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340" w:type="dxa"/>
            <w:vAlign w:val="bottom"/>
          </w:tcPr>
          <w:p>
            <w:pPr>
              <w:spacing w:after="0"/>
              <w:rPr>
                <w:sz w:val="24"/>
                <w:szCs w:val="24"/>
                <w:color w:val="auto"/>
              </w:rPr>
            </w:pPr>
          </w:p>
        </w:tc>
        <w:tc>
          <w:tcPr>
            <w:tcW w:w="28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88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3,886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10,677</w:t>
            </w:r>
          </w:p>
        </w:tc>
        <w:tc>
          <w:tcPr>
            <w:tcW w:w="0" w:type="dxa"/>
            <w:vAlign w:val="bottom"/>
          </w:tcPr>
          <w:p>
            <w:pPr>
              <w:spacing w:after="0"/>
              <w:rPr>
                <w:sz w:val="1"/>
                <w:szCs w:val="1"/>
                <w:color w:val="auto"/>
              </w:rPr>
            </w:pPr>
          </w:p>
        </w:tc>
      </w:tr>
      <w:tr>
        <w:trPr>
          <w:trHeight w:val="234"/>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expense</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8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5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lease expense was immaterial for the three and nine months ended December 31, 2020 and 2019.</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outflows from operating leases were $6.3 million and $7.2 million, respectively, for the nine months ended December 31, 2020 and 2019.</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supplemental information for the nine months ended December 31, 2020 (in thousands, except for weighted average):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7020" w:type="dxa"/>
            <w:vAlign w:val="bottom"/>
            <w:shd w:val="clear" w:color="auto" w:fill="CCEEFF"/>
          </w:tcPr>
          <w:p>
            <w:pPr>
              <w:jc w:val="center"/>
              <w:ind w:left="4890"/>
              <w:spacing w:after="0"/>
              <w:rPr>
                <w:sz w:val="20"/>
                <w:szCs w:val="20"/>
                <w:color w:val="auto"/>
              </w:rPr>
            </w:pPr>
            <w:r>
              <w:rPr>
                <w:rFonts w:ascii="Times New Roman" w:cs="Times New Roman" w:eastAsia="Times New Roman" w:hAnsi="Times New Roman"/>
                <w:sz w:val="18"/>
                <w:szCs w:val="18"/>
                <w:color w:val="auto"/>
                <w:w w:val="98"/>
              </w:rPr>
              <w:t>8.5 years</w:t>
            </w:r>
          </w:p>
        </w:tc>
        <w:tc>
          <w:tcPr>
            <w:tcW w:w="20" w:type="dxa"/>
            <w:vAlign w:val="bottom"/>
          </w:tcPr>
          <w:p>
            <w:pPr>
              <w:spacing w:after="0"/>
              <w:rPr>
                <w:sz w:val="19"/>
                <w:szCs w:val="19"/>
                <w:color w:val="auto"/>
              </w:rPr>
            </w:pPr>
          </w:p>
        </w:tc>
      </w:tr>
      <w:tr>
        <w:trPr>
          <w:trHeight w:val="234"/>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70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20"/>
                <w:szCs w:val="20"/>
                <w:color w:val="auto"/>
              </w:rPr>
            </w:pPr>
          </w:p>
        </w:tc>
      </w:tr>
      <w:tr>
        <w:trPr>
          <w:trHeight w:val="846"/>
        </w:trPr>
        <w:tc>
          <w:tcPr>
            <w:tcW w:w="4200" w:type="dxa"/>
            <w:vAlign w:val="bottom"/>
          </w:tcPr>
          <w:p>
            <w:pPr>
              <w:spacing w:after="0"/>
              <w:rPr>
                <w:sz w:val="24"/>
                <w:szCs w:val="24"/>
                <w:color w:val="auto"/>
              </w:rPr>
            </w:pPr>
          </w:p>
        </w:tc>
        <w:tc>
          <w:tcPr>
            <w:tcW w:w="7020" w:type="dxa"/>
            <w:vAlign w:val="bottom"/>
          </w:tcPr>
          <w:p>
            <w:pPr>
              <w:jc w:val="right"/>
              <w:ind w:right="541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4"/>
                <w:szCs w:val="24"/>
                <w:color w:val="auto"/>
              </w:rPr>
            </w:pPr>
          </w:p>
        </w:tc>
      </w:tr>
      <w:tr>
        <w:trPr>
          <w:trHeight w:val="223"/>
        </w:trPr>
        <w:tc>
          <w:tcPr>
            <w:tcW w:w="4200" w:type="dxa"/>
            <w:vAlign w:val="bottom"/>
            <w:tcBorders>
              <w:bottom w:val="single" w:sz="8" w:color="9A9A9A"/>
            </w:tcBorders>
          </w:tcPr>
          <w:p>
            <w:pPr>
              <w:spacing w:after="0"/>
              <w:rPr>
                <w:sz w:val="19"/>
                <w:szCs w:val="19"/>
                <w:color w:val="auto"/>
              </w:rPr>
            </w:pPr>
          </w:p>
        </w:tc>
        <w:tc>
          <w:tcPr>
            <w:tcW w:w="70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future payments of lease liabilities under the Company's non-cancellable operating leases as of December 31, 2020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2021</w:t>
            </w: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w:t>
            </w:r>
          </w:p>
        </w:tc>
      </w:tr>
      <w:tr>
        <w:trPr>
          <w:trHeight w:val="229"/>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16,382</w:t>
            </w:r>
          </w:p>
        </w:tc>
      </w:tr>
      <w:tr>
        <w:trPr>
          <w:trHeight w:val="230"/>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15,182</w:t>
            </w:r>
          </w:p>
        </w:tc>
      </w:tr>
      <w:tr>
        <w:trPr>
          <w:trHeight w:val="229"/>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11,835</w:t>
            </w:r>
          </w:p>
        </w:tc>
      </w:tr>
      <w:tr>
        <w:trPr>
          <w:trHeight w:val="229"/>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11,497</w:t>
            </w:r>
          </w:p>
        </w:tc>
      </w:tr>
      <w:tr>
        <w:trPr>
          <w:trHeight w:val="230"/>
        </w:trPr>
        <w:tc>
          <w:tcPr>
            <w:tcW w:w="9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58,190</w:t>
            </w:r>
          </w:p>
        </w:tc>
      </w:tr>
      <w:tr>
        <w:trPr>
          <w:trHeight w:val="223"/>
        </w:trPr>
        <w:tc>
          <w:tcPr>
            <w:tcW w:w="9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payments</w:t>
            </w: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116,672</w:t>
            </w:r>
          </w:p>
        </w:tc>
      </w:tr>
      <w:tr>
        <w:trPr>
          <w:trHeight w:val="230"/>
        </w:trPr>
        <w:tc>
          <w:tcPr>
            <w:tcW w:w="9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(18,602)</w:t>
            </w:r>
          </w:p>
        </w:tc>
      </w:tr>
      <w:tr>
        <w:trPr>
          <w:trHeight w:val="248"/>
        </w:trPr>
        <w:tc>
          <w:tcPr>
            <w:tcW w:w="9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98,070</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Assignment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fourth quarter of fiscal 2018, the Company entered into a 132-month lease agreement (the "Agreement") with CAP Phase I, a Delaware limited liability company (the "Landlord"), to rent approximately 162,000 square feet of office space in a new building in San Jose, California. The lease term began on January 1, 2019. On April 30, 2019, the Company entered into an assignment and assumption (the "Assignment") of the Agreement with the Landlord, and Roku Inc., a Delaware corporation ("Roku"), whereby the Company assigned to Roku the Agreement. Pursuant to the Assignment, the Company expects to be released from all of its obligations under the lease and related standby letter of credit by the end of the Company’s fiscal year ending March 31, 2022, or shortly thereafter. The Company also expects to receive the reimbursement of base rent and direct expenses from Roku by the end of the Company’s fiscal year ending March 31, 2021, in accordance with the Assignment.</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Amounts related to the Agreement are not included in the right-of-use asset or lease liabilities as of December 31, 2020 or March 31, 2020. The remaining obligations related to the Assignment of $2.8 million and the termination fee of $0.8 million are recorded in </w:t>
      </w:r>
      <w:r>
        <w:rPr>
          <w:rFonts w:ascii="Times New Roman" w:cs="Times New Roman" w:eastAsia="Times New Roman" w:hAnsi="Times New Roman"/>
          <w:sz w:val="18"/>
          <w:szCs w:val="18"/>
          <w:i w:val="1"/>
          <w:iCs w:val="1"/>
          <w:color w:val="auto"/>
        </w:rPr>
        <w:t>Other accrued liabilities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non-current</w:t>
      </w:r>
      <w:r>
        <w:rPr>
          <w:rFonts w:ascii="Times New Roman" w:cs="Times New Roman" w:eastAsia="Times New Roman" w:hAnsi="Times New Roman"/>
          <w:sz w:val="18"/>
          <w:szCs w:val="18"/>
          <w:color w:val="auto"/>
        </w:rPr>
        <w:t>, respectively, and the expected receivable of $6.4 million due in February 2021 is recorded in</w:t>
      </w:r>
      <w:r>
        <w:rPr>
          <w:rFonts w:ascii="Times New Roman" w:cs="Times New Roman" w:eastAsia="Times New Roman" w:hAnsi="Times New Roman"/>
          <w:sz w:val="18"/>
          <w:szCs w:val="18"/>
          <w:i w:val="1"/>
          <w:iCs w:val="1"/>
          <w:color w:val="auto"/>
        </w:rPr>
        <w:t xml:space="preserve"> Other current assets, </w:t>
      </w:r>
      <w:r>
        <w:rPr>
          <w:rFonts w:ascii="Times New Roman" w:cs="Times New Roman" w:eastAsia="Times New Roman" w:hAnsi="Times New Roman"/>
          <w:sz w:val="18"/>
          <w:szCs w:val="18"/>
          <w:color w:val="auto"/>
        </w:rPr>
        <w:t>on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Condensed Consolidated Balance Sheets as of both December 31, 2020 and March 31, 2020.</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Indemnifications, and Contingencies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the Company receives inquiries from federal and various state and municipal taxing agencies with respect to the remittance of sales, use, telecommunications, excise, payroll, and income taxes. Several jurisdictions are currently conducting tax audits of the Company's records. The Company collects taxes from its customers or has accrued for taxes that it believes are required to be remitted. Amounts that have been remitted have historically been within the accruals established by the Company. The Company adjusts its accrued taxes when facts relating to specific exposures warrant such adjustment. The Company continues to conduct periodic review of the taxability of certain of its services that may be subject to sales, use, telecommunications, or other similar indirect taxes in certain jurisdictions. As of December 31, 2020 and March 31, 2020, the Company had accrued contingent indirect tax liabilities of $4.6 million and $4.5 million,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from time to time, may be involved in a variety of claims, lawsuits, investigations, and other proceedings, including patent infringement claims, employment litigation, regulatory compliance matters, and contractual disputes, that can arise in the normal course of the Company's operations. The Company recognizes a provision when management believes information available prior to the issuance of the financial statements indicates it is probable a loss has been incurred as of the date of the financial statements and the amount of loss can be reasonably estimated. The Company adjusts the amount of the provision to reflect the impact of negotiations, settlements, rulings, advice of legal counsel, and other information and events pertaining to a particular case. Legal costs are expensed as incurred.</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2020, the Company does not have any material provisions for any such lawsuits, claims and proceedings and believes it is not probable that a loss had been incurred. Litigation is inherently unpredictable and subject to significant uncertainties. While there can be no assurances that favorable final outcomes will be obtained, the Company believes it has valid defenses with respect to legal matters pending against it. Future litigation could be costly to defend, could impose significant burdens on employees and cause the diversion of management's attention, and could, upon resolution, have a material adverse effect on the Company's business, results of operations, financial condition, and cash flows.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CONVERTIBLE SENIOR NOTES AND CAPPED CALL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2019, the Company issued $287.5 million aggregate principal amount of 0.50% convertible senior notes (the "Initial Notes") due 2024 in a private placement, including the exercise in full of the initial purchasers' option to purchase additional notes. The total net proceeds from the debt offering, after deducting initial purchase discounts, debt issuance costs, and costs of the capped call transactions described below, were approximately $245.8 million.</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2019, the Company issued an additional $75.0 million aggregate principal amount of 0.50% convertible senior notes (the "Additional Notes," and together with the Initial Notes, the "Notes") due 2024 in a registered offering under the same indenture as the Initial Notes. The total net proceeds from the Additional Notes, after deducting underwriting discounts, debt issuance costs, and costs of the capped call transactions described below, were approximately $64.6 million. The Additional Notes constitute a further issuance of, and form a single series with, the Initial Notes. Immediately after giving effect to the issuance of the Additional Notes, the Company had $362.5 million aggregate principal amount of convertible senior notes.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Notes are senior unsecured obligations of the Company and interest is payable semiannually in arrears on February 1 and August 1 of each year, beginning on February 1, 2020. The Notes will mature on February 1, 2024, unless earlier repurchased, redeemed, or converted.</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$1,000 principal amount of the Notes are initially convertible into 38.9484 shares of the Company’s common stock, par value $0.001, which is equivalent to an initial conversion price of approximately $25.68 per share. The conversion rate is subject to adjustment upon the occurrence of certain specified events but will not be adjusted for any accrued and unpaid interest. In addition, upon the occurrence of certain corporate events that occur prior to the maturity date or following the Company's issuance of a notice of redemption, in each case as described in the Indenture, the Company will, in certain circumstances, increase the conversion rate for a holder that elects to convert its Notes in connection with such a corporate event or during the relevant redemption period.</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Prior to the close of business on the business day immediately preceding October 1, 2023, the Notes will be convertible at the option of the holders only under the following circumstances:</w:t>
      </w:r>
    </w:p>
    <w:p>
      <w:pPr>
        <w:spacing w:after="0" w:line="54" w:lineRule="exact"/>
        <w:rPr>
          <w:sz w:val="20"/>
          <w:szCs w:val="20"/>
          <w:color w:val="auto"/>
        </w:rPr>
      </w:pPr>
    </w:p>
    <w:p>
      <w:pPr>
        <w:ind w:left="660" w:right="12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during any calendar quarter commencing after the fiscal quarter ending on June 30, 2019 (and only during such calendar quarter), if the last reported sale price of the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w:t>
      </w:r>
    </w:p>
    <w:p>
      <w:pPr>
        <w:spacing w:after="0" w:line="71"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immediately after any ten consecutive trading day period (the measurement period), if the trading price per $1,000 principal amount of the Notes for each trading day of the measurement period was less than 98% of the product of the last reported sale price of the common stock on each such trading day and the conversion rate on each such trading day;</w:t>
      </w:r>
    </w:p>
    <w:p>
      <w:pPr>
        <w:spacing w:after="0" w:line="6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any or all of the Notes for redemption, at any time prior to the close of business on the scheduled trading day immediately preceding the redemption date; or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 (as set forth in the indenture governing the Notes).</w:t>
      </w:r>
    </w:p>
    <w:p>
      <w:pPr>
        <w:spacing w:after="0" w:line="11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or after October 1, 2023, until the close of business on the second scheduled trading day immediately preceding the maturity date, holders may convert all or any portion of their Notes, regardless of the foregoing circumstances. Upon conversion, the Company will satisfy its conversion obligation by paying or delivering, as the case may be, cash, shares of common stock, or a combination of cash and shares of common stock, at the Company's discretion. The Company’s current intent is to settle the principal amount of the Notes in cash upon conversion. During the nine months ended December 31, 2020, the conditions permitting conversion of the Notes were not met.</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may not redeem the Notes prior to February 4, 2022. On or after February 4, 2022, the Company may redeem for cash all or part of the Notes, at the redemption price equal to 100% of the principal amount thereof, plus accrued and unpaid interest, if the last reported sale price of the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redemption notice. If a fundamental change (as defined in the indenture governing the notes) occurs at any time, holders of Notes may require the Company to repurchase for cash all or any portion of their Notes at a repurchase price equal to 100% of the principal amount of the Notes to be repurchased, plus accrued and unpaid interest to, but excluding, the fundamental change repurchase date.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Notes are senior unsecured obligations and will rank senior in right of payment to any of the Company’s indebtedness that is expressly subordinated in right of payment to the Notes, equal in right of payment with the Company’s existing and future liabilities that are not so subordinated, effectively junior in right of payment to any of the Company’s secured indebtedness to the extent of the value of the assets securing such indebtedness, and structurally junior to all indebtedness and other liabilities (including trade payables) of current or future subsidiaries of the Company.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carrying amount of the liability component of the Notes was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340" w:type="dxa"/>
            <w:vAlign w:val="bottom"/>
          </w:tcPr>
          <w:p>
            <w:pPr>
              <w:spacing w:after="0"/>
              <w:rPr>
                <w:sz w:val="20"/>
                <w:szCs w:val="20"/>
                <w:color w:val="auto"/>
              </w:rPr>
            </w:pPr>
          </w:p>
        </w:tc>
        <w:tc>
          <w:tcPr>
            <w:tcW w:w="1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March 31, 2020</w:t>
            </w:r>
          </w:p>
        </w:tc>
        <w:tc>
          <w:tcPr>
            <w:tcW w:w="0" w:type="dxa"/>
            <w:vAlign w:val="bottom"/>
          </w:tcPr>
          <w:p>
            <w:pPr>
              <w:spacing w:after="0"/>
              <w:rPr>
                <w:sz w:val="1"/>
                <w:szCs w:val="1"/>
                <w:color w:val="auto"/>
              </w:rPr>
            </w:pPr>
          </w:p>
        </w:tc>
      </w:tr>
      <w:tr>
        <w:trPr>
          <w:trHeight w:val="223"/>
        </w:trPr>
        <w:tc>
          <w:tcPr>
            <w:tcW w:w="6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362,500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362,500</w:t>
            </w:r>
          </w:p>
        </w:tc>
        <w:tc>
          <w:tcPr>
            <w:tcW w:w="0" w:type="dxa"/>
            <w:vAlign w:val="bottom"/>
          </w:tcPr>
          <w:p>
            <w:pPr>
              <w:spacing w:after="0"/>
              <w:rPr>
                <w:sz w:val="1"/>
                <w:szCs w:val="1"/>
                <w:color w:val="auto"/>
              </w:rPr>
            </w:pPr>
          </w:p>
        </w:tc>
      </w:tr>
      <w:tr>
        <w:trPr>
          <w:trHeight w:val="22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(69,987)</w:t>
            </w:r>
          </w:p>
        </w:tc>
        <w:tc>
          <w:tcPr>
            <w:tcW w:w="0" w:type="dxa"/>
            <w:vAlign w:val="bottom"/>
          </w:tcPr>
          <w:p>
            <w:pPr>
              <w:spacing w:after="0"/>
              <w:rPr>
                <w:sz w:val="1"/>
                <w:szCs w:val="1"/>
                <w:color w:val="auto"/>
              </w:rPr>
            </w:pPr>
          </w:p>
        </w:tc>
      </w:tr>
      <w:tr>
        <w:trPr>
          <w:trHeight w:val="23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issuance costs</w:t>
            </w:r>
          </w:p>
        </w:tc>
        <w:tc>
          <w:tcPr>
            <w:tcW w:w="2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23"/>
        </w:trPr>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carrying amount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304,111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291,537</w:t>
            </w:r>
          </w:p>
        </w:tc>
        <w:tc>
          <w:tcPr>
            <w:tcW w:w="0" w:type="dxa"/>
            <w:vAlign w:val="bottom"/>
          </w:tcPr>
          <w:p>
            <w:pPr>
              <w:spacing w:after="0"/>
              <w:rPr>
                <w:sz w:val="1"/>
                <w:szCs w:val="1"/>
                <w:color w:val="auto"/>
              </w:rPr>
            </w:pPr>
          </w:p>
        </w:tc>
      </w:tr>
      <w:tr>
        <w:trPr>
          <w:trHeight w:val="21"/>
        </w:trPr>
        <w:tc>
          <w:tcPr>
            <w:tcW w:w="6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Interest expense related to the Notes was as follows (in thousands):</w:t>
            </w: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6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p>
        </w:tc>
        <w:tc>
          <w:tcPr>
            <w:tcW w:w="298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20" w:type="dxa"/>
            <w:vAlign w:val="bottom"/>
          </w:tcPr>
          <w:p>
            <w:pPr>
              <w:spacing w:after="0"/>
              <w:rPr>
                <w:sz w:val="20"/>
                <w:szCs w:val="20"/>
                <w:color w:val="auto"/>
              </w:rPr>
            </w:pPr>
          </w:p>
        </w:tc>
        <w:tc>
          <w:tcPr>
            <w:tcW w:w="27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Nine Months Ended December 31,</w:t>
            </w:r>
          </w:p>
        </w:tc>
      </w:tr>
      <w:tr>
        <w:trPr>
          <w:trHeight w:val="223"/>
        </w:trPr>
        <w:tc>
          <w:tcPr>
            <w:tcW w:w="538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r>
      <w:tr>
        <w:trPr>
          <w:trHeight w:val="22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4,198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9,926</w:t>
            </w: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3"/>
        </w:trPr>
        <w:tc>
          <w:tcPr>
            <w:tcW w:w="5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interest expense</w:t>
            </w:r>
          </w:p>
        </w:tc>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4,710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13,932</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11,137</w:t>
            </w:r>
          </w:p>
        </w:tc>
      </w:tr>
      <w:tr>
        <w:trPr>
          <w:trHeight w:val="21"/>
        </w:trPr>
        <w:tc>
          <w:tcPr>
            <w:tcW w:w="5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Capped Call</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pricing of the Initial Notes and Additional Notes, the Company entered into privately negotiated capped call transactions ("Capped Calls") with certain counterparties. The Capped Calls each have an initial strike price of approximately $25.68 per share, subject to certain adjustments, which corresponds to the initial conversion price of the Notes. The Capped Calls have initial cap prices of $39.50 per share, subject to certain adjustments. The Capped Calls are expected to partially offset the potential dilution to the Company’s Common Stock upon any conversion of the Notes, with such offset subject to a cap based on the cap price. The Capped Calls cover, subject to anti-dilution adjustments, approximately 14.1 million shares of the Company’s Common Stock. The Capped Calls are subject to adjustment upon the occurrence of specified extraordinary events affecting the Company, including merger events, tender offers and announcement events. In addition, the Capped Calls are subject to certain specified additional disruption events that may give rise to a termination of the Capped Calls, including nationalization, insolvency or delisting, changes in law, failures to deliver, insolvency filings, and hedging disruptions. For accounting purposes, the Capped Calls are separate transactions and not part of the terms of the Notes. The Capped Calls meet certain accounting criteria to be recorded in stockholders' equity and are not accounted for as derivatives. The costs of the Capped Calls, $33.7 million in connection with the Initial Notes and $9.3 million in connection with the Additional Notes, were recorded as a reduction to additional paid-in capital and will not be remeasured.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information pertaining to the stock-based compensation expense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tcPr>
          <w:p>
            <w:pPr>
              <w:spacing w:after="0"/>
              <w:rPr>
                <w:sz w:val="20"/>
                <w:szCs w:val="20"/>
                <w:color w:val="auto"/>
              </w:rPr>
            </w:pPr>
          </w:p>
        </w:tc>
        <w:tc>
          <w:tcPr>
            <w:tcW w:w="300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00" w:type="dxa"/>
            <w:vAlign w:val="bottom"/>
          </w:tcPr>
          <w:p>
            <w:pPr>
              <w:spacing w:after="0"/>
              <w:rPr>
                <w:sz w:val="20"/>
                <w:szCs w:val="20"/>
                <w:color w:val="auto"/>
              </w:rPr>
            </w:pPr>
          </w:p>
        </w:tc>
        <w:tc>
          <w:tcPr>
            <w:tcW w:w="278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r>
      <w:tr>
        <w:trPr>
          <w:trHeight w:val="223"/>
        </w:trPr>
        <w:tc>
          <w:tcPr>
            <w:tcW w:w="53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w:t>
            </w: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other revenue</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w:t>
            </w: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13,616</w:t>
            </w: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14,458</w:t>
            </w: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6,359</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16,335</w:t>
            </w:r>
          </w:p>
        </w:tc>
      </w:tr>
      <w:tr>
        <w:trPr>
          <w:trHeight w:val="223"/>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26,839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19,317</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74,940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50,305</w:t>
            </w:r>
          </w:p>
        </w:tc>
      </w:tr>
      <w:tr>
        <w:trPr>
          <w:trHeight w:val="20"/>
        </w:trPr>
        <w:tc>
          <w:tcPr>
            <w:tcW w:w="5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844"/>
        </w:trPr>
        <w:tc>
          <w:tcPr>
            <w:tcW w:w="5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3"/>
        </w:trPr>
        <w:tc>
          <w:tcPr>
            <w:tcW w:w="536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24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2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(RSU) and Performance Stock Units (PSU)</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activities related to RSU and PSU, collectively Stock Awards (in thousands, except weighted-average grant-date fair value and recognition period):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40" w:type="dxa"/>
            <w:vAlign w:val="bottom"/>
          </w:tcPr>
          <w:p>
            <w:pPr>
              <w:spacing w:after="0"/>
              <w:rPr>
                <w:sz w:val="20"/>
                <w:szCs w:val="20"/>
                <w:color w:val="auto"/>
              </w:rPr>
            </w:pPr>
          </w:p>
        </w:tc>
        <w:tc>
          <w:tcPr>
            <w:tcW w:w="3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c>
          <w:tcPr>
            <w:tcW w:w="740" w:type="dxa"/>
            <w:vAlign w:val="bottom"/>
            <w:tcBorders>
              <w:bottom w:val="single" w:sz="8" w:color="auto"/>
            </w:tcBorders>
          </w:tcPr>
          <w:p>
            <w:pPr>
              <w:spacing w:after="0"/>
              <w:rPr>
                <w:sz w:val="20"/>
                <w:szCs w:val="20"/>
                <w:color w:val="auto"/>
              </w:rPr>
            </w:pPr>
          </w:p>
        </w:tc>
      </w:tr>
      <w:tr>
        <w:trPr>
          <w:trHeight w:val="223"/>
        </w:trPr>
        <w:tc>
          <w:tcPr>
            <w:tcW w:w="694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740" w:type="dxa"/>
            <w:vAlign w:val="bottom"/>
            <w:tcBorders>
              <w:bottom w:val="single" w:sz="8" w:color="auto"/>
            </w:tcBorders>
          </w:tcPr>
          <w:p>
            <w:pPr>
              <w:spacing w:after="0"/>
              <w:rPr>
                <w:sz w:val="19"/>
                <w:szCs w:val="19"/>
                <w:color w:val="auto"/>
              </w:rPr>
            </w:pPr>
          </w:p>
        </w:tc>
      </w:tr>
      <w:tr>
        <w:trPr>
          <w:trHeight w:val="22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Awards outstanding at the beginning of the period:</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7,820</w:t>
            </w:r>
          </w:p>
        </w:tc>
      </w:tr>
      <w:tr>
        <w:trPr>
          <w:trHeight w:val="229"/>
        </w:trPr>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Awards granted</w:t>
            </w:r>
          </w:p>
        </w:tc>
        <w:tc>
          <w:tcPr>
            <w:tcW w:w="1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6,742</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5,886</w:t>
            </w:r>
          </w:p>
        </w:tc>
      </w:tr>
      <w:tr>
        <w:trPr>
          <w:trHeight w:val="230"/>
        </w:trPr>
        <w:tc>
          <w:tcPr>
            <w:tcW w:w="6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 Awards vested</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w:t>
            </w:r>
          </w:p>
        </w:tc>
      </w:tr>
      <w:tr>
        <w:trPr>
          <w:trHeight w:val="229"/>
        </w:trPr>
        <w:tc>
          <w:tcPr>
            <w:tcW w:w="69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Stock Awards canceled and forfeited</w:t>
            </w:r>
          </w:p>
        </w:tc>
        <w:tc>
          <w:tcPr>
            <w:tcW w:w="1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w:t>
            </w:r>
          </w:p>
        </w:tc>
      </w:tr>
      <w:tr>
        <w:trPr>
          <w:trHeight w:val="248"/>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Awards outstanding at the end of the period:</w:t>
            </w:r>
          </w:p>
        </w:tc>
        <w:tc>
          <w:tcPr>
            <w:tcW w:w="13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9,790</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fair value of grants during the period</w:t>
            </w:r>
          </w:p>
        </w:tc>
        <w:tc>
          <w:tcPr>
            <w:tcW w:w="130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recognition period (in years)</w:t>
            </w:r>
          </w:p>
        </w:tc>
        <w:tc>
          <w:tcPr>
            <w:tcW w:w="1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unrecognized compensation expense at period-end</w:t>
            </w:r>
          </w:p>
        </w:tc>
        <w:tc>
          <w:tcPr>
            <w:tcW w:w="130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157,416</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128,463</w:t>
            </w: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December 31, 2020, the Company granted 5.7 million shares of RSU and 1.0 million shares of PSU, of which, 28,467 shares of PSU vested based on market based conditions during the period.</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PSU awards granted during the nine months ended December 31, 2020 are based on Total Shareholder Return ("TSR") as measured relative to the S&amp;P Software Services Select Industry Index over performance periods ranging from one to three years. All PSU awards vest 100% at the end of the respective performance periods. A number of shares equal to 100% of the target opportunity will be earned in the event that the Company’s performance matches that of the specified index during the relevant period. A 2x multiplier will be applied for each percentage point of positive or negative relative TSR, such that the number of shares of common stock earned will increase or decrease by 2% of the target number of shares, subject to a maximum of 200% of the target number of shares. In the event that the Company’s relative TSR performance is less than negative 30%, relative to the specified index, no shares will be earned for the applicable performance period. The PSU were valued for compensation expense purposes at $29.07 per weighted average share as determined by Monte Carlo simulations using volatility factors ranging from 55.66% to 60.68% and risk-free rates ranging from 0.15% to 0.18%.</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RSU awarded during the nine months ended December 31, 2020 were valued at $17.12 per weighted average share based on the closing sales price of the Company's stock on the grant date.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activities related to Stock Options (in thousands, except weighted-average grant-date fair value and recognition period):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40" w:type="dxa"/>
            <w:vAlign w:val="bottom"/>
          </w:tcPr>
          <w:p>
            <w:pPr>
              <w:spacing w:after="0"/>
              <w:rPr>
                <w:sz w:val="20"/>
                <w:szCs w:val="20"/>
                <w:color w:val="auto"/>
              </w:rPr>
            </w:pPr>
          </w:p>
        </w:tc>
        <w:tc>
          <w:tcPr>
            <w:tcW w:w="362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c>
          <w:tcPr>
            <w:tcW w:w="640" w:type="dxa"/>
            <w:vAlign w:val="bottom"/>
            <w:tcBorders>
              <w:bottom w:val="single" w:sz="8" w:color="auto"/>
            </w:tcBorders>
          </w:tcPr>
          <w:p>
            <w:pPr>
              <w:spacing w:after="0"/>
              <w:rPr>
                <w:sz w:val="20"/>
                <w:szCs w:val="20"/>
                <w:color w:val="auto"/>
              </w:rPr>
            </w:pPr>
          </w:p>
        </w:tc>
      </w:tr>
      <w:tr>
        <w:trPr>
          <w:trHeight w:val="223"/>
        </w:trPr>
        <w:tc>
          <w:tcPr>
            <w:tcW w:w="694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40" w:type="dxa"/>
            <w:vAlign w:val="bottom"/>
            <w:tcBorders>
              <w:bottom w:val="single" w:sz="8" w:color="auto"/>
            </w:tcBorders>
          </w:tcPr>
          <w:p>
            <w:pPr>
              <w:spacing w:after="0"/>
              <w:rPr>
                <w:sz w:val="19"/>
                <w:szCs w:val="19"/>
                <w:color w:val="auto"/>
              </w:rPr>
            </w:pPr>
          </w:p>
        </w:tc>
      </w:tr>
      <w:tr>
        <w:trPr>
          <w:trHeight w:val="22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outstanding at the beginning of the period:</w:t>
            </w:r>
          </w:p>
        </w:tc>
        <w:tc>
          <w:tcPr>
            <w:tcW w:w="1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w:t>
            </w:r>
          </w:p>
        </w:tc>
      </w:tr>
      <w:tr>
        <w:trPr>
          <w:trHeight w:val="230"/>
        </w:trPr>
        <w:tc>
          <w:tcPr>
            <w:tcW w:w="6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Options exercised</w:t>
            </w:r>
          </w:p>
        </w:tc>
        <w:tc>
          <w:tcPr>
            <w:tcW w:w="1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29"/>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Options canceled and forfeited</w:t>
            </w:r>
          </w:p>
        </w:tc>
        <w:tc>
          <w:tcPr>
            <w:tcW w:w="13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outstanding at the end of the period:</w:t>
            </w:r>
          </w:p>
        </w:tc>
        <w:tc>
          <w:tcPr>
            <w:tcW w:w="1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20" w:type="dxa"/>
            <w:vAlign w:val="bottom"/>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2,668</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37"/>
        </w:trPr>
        <w:tc>
          <w:tcPr>
            <w:tcW w:w="69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intrinsic value of options exercised during the period</w:t>
            </w:r>
          </w:p>
        </w:tc>
        <w:tc>
          <w:tcPr>
            <w:tcW w:w="138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20" w:type="dxa"/>
            <w:vAlign w:val="bottom"/>
          </w:tcPr>
          <w:p>
            <w:pPr>
              <w:spacing w:after="0"/>
              <w:rPr>
                <w:sz w:val="19"/>
                <w:szCs w:val="19"/>
                <w:color w:val="auto"/>
              </w:rPr>
            </w:pPr>
          </w:p>
        </w:tc>
        <w:tc>
          <w:tcPr>
            <w:tcW w:w="146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4,844</w:t>
            </w: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recognition period (in years)</w:t>
            </w:r>
          </w:p>
        </w:tc>
        <w:tc>
          <w:tcPr>
            <w:tcW w:w="1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34"/>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unrecognized compensation expense at period-end</w:t>
            </w:r>
          </w:p>
        </w:tc>
        <w:tc>
          <w:tcPr>
            <w:tcW w:w="138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20" w:type="dxa"/>
            <w:vAlign w:val="bottom"/>
          </w:tcPr>
          <w:p>
            <w:pPr>
              <w:spacing w:after="0"/>
              <w:rPr>
                <w:sz w:val="20"/>
                <w:szCs w:val="20"/>
                <w:color w:val="auto"/>
              </w:rPr>
            </w:pPr>
          </w:p>
        </w:tc>
        <w:tc>
          <w:tcPr>
            <w:tcW w:w="146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 (ESPP)</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2020, 329,430 shares were purchased and issued under the ESPP. As of December 31, 2020, there was a total of $1.5 million of unrecognized compensation, net of estimated forfeitures, which will be amortized on a straight line basis over the remaining weighted-average vesting period of 0.32 years. As of December 31, 2020, a total of 3,252,882 shares were available for issuance under the ESPP.</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2017, the Company's board of directors authorized the 2017 Repurchase Plan under which the Company could purchase up to $25.0 million of its common stock. The remaining amount available at December 31, 2020 was approximately $7.1 million. There were no stock repurchases during the three and nine months ended December 31, 2020 and 2019.</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effective tax rate was (0.8)% and (0.6)% for the three months ended December 31, 2020 and 2019, respectively, and (0.6)% for the nine months ended December 31, 2020 and 2019. The difference in the effective tax rate and the U.S. federal statutory rate was primarily due to the full valuation allowance the Company continues to maintain against its deferred tax assets. The effective tax rate is calculated by dividing the income tax provision by net loss before income tax expense.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computation of basic and diluted net loss per share (in thousands, except per share data):</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300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20" w:type="dxa"/>
            <w:vAlign w:val="bottom"/>
          </w:tcPr>
          <w:p>
            <w:pPr>
              <w:spacing w:after="0"/>
              <w:rPr>
                <w:sz w:val="20"/>
                <w:szCs w:val="20"/>
                <w:color w:val="auto"/>
              </w:rPr>
            </w:pPr>
          </w:p>
        </w:tc>
        <w:tc>
          <w:tcPr>
            <w:tcW w:w="280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r>
      <w:tr>
        <w:trPr>
          <w:trHeight w:val="223"/>
        </w:trPr>
        <w:tc>
          <w:tcPr>
            <w:tcW w:w="53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(122,268)</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3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Weighted average common shares outstanding - basic and diluted</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106,641</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99,922</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104,961</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99,082</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5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 and diluted</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shares attributable to outstanding stock options and stock awards were excluded from the calculation of diluted earnings per share because their inclusion would have been anti-dilutive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40" w:type="dxa"/>
            <w:vAlign w:val="bottom"/>
          </w:tcPr>
          <w:p>
            <w:pPr>
              <w:spacing w:after="0"/>
              <w:rPr>
                <w:sz w:val="20"/>
                <w:szCs w:val="20"/>
                <w:color w:val="auto"/>
              </w:rPr>
            </w:pPr>
          </w:p>
        </w:tc>
        <w:tc>
          <w:tcPr>
            <w:tcW w:w="30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29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r>
      <w:tr>
        <w:trPr>
          <w:trHeight w:val="223"/>
        </w:trPr>
        <w:tc>
          <w:tcPr>
            <w:tcW w:w="5340" w:type="dxa"/>
            <w:vAlign w:val="bottom"/>
            <w:tcBorders>
              <w:bottom w:val="single" w:sz="8" w:color="CCEEFF"/>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w:t>
            </w:r>
          </w:p>
        </w:tc>
      </w:tr>
      <w:tr>
        <w:trPr>
          <w:trHeight w:val="22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awards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11,434</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9,790</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11,434</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9,790</w:t>
            </w: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Potential shares to be issued from ESPP</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23"/>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anti-dilutive shares</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14,034</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12,845</w:t>
            </w: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14,034</w:t>
            </w:r>
          </w:p>
        </w:tc>
        <w:tc>
          <w:tcPr>
            <w:tcW w:w="12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12,845</w:t>
            </w:r>
          </w:p>
        </w:tc>
      </w:tr>
      <w:tr>
        <w:trPr>
          <w:trHeight w:val="21"/>
        </w:trPr>
        <w:tc>
          <w:tcPr>
            <w:tcW w:w="53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GEOGRAPHICAL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information by geographic area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40" w:type="dxa"/>
            <w:vAlign w:val="bottom"/>
          </w:tcPr>
          <w:p>
            <w:pPr>
              <w:spacing w:after="0"/>
              <w:rPr>
                <w:sz w:val="20"/>
                <w:szCs w:val="20"/>
                <w:color w:val="auto"/>
              </w:rPr>
            </w:pPr>
          </w:p>
        </w:tc>
        <w:tc>
          <w:tcPr>
            <w:tcW w:w="300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20" w:type="dxa"/>
            <w:vAlign w:val="bottom"/>
          </w:tcPr>
          <w:p>
            <w:pPr>
              <w:spacing w:after="0"/>
              <w:rPr>
                <w:sz w:val="20"/>
                <w:szCs w:val="20"/>
                <w:color w:val="auto"/>
              </w:rPr>
            </w:pPr>
          </w:p>
        </w:tc>
        <w:tc>
          <w:tcPr>
            <w:tcW w:w="278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Nine Months Ended December 31,</w:t>
            </w:r>
          </w:p>
        </w:tc>
      </w:tr>
      <w:tr>
        <w:trPr>
          <w:trHeight w:val="223"/>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geographic area:</w:t>
            </w: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258,847</w:t>
            </w:r>
          </w:p>
        </w:tc>
      </w:tr>
      <w:tr>
        <w:trPr>
          <w:trHeight w:val="230"/>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37,766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28,396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99,357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65,912</w:t>
            </w:r>
          </w:p>
        </w:tc>
      </w:tr>
      <w:tr>
        <w:trPr>
          <w:trHeight w:val="248"/>
        </w:trPr>
        <w:tc>
          <w:tcPr>
            <w:tcW w:w="5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324,759</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by geographic area:</w:t>
            </w:r>
          </w:p>
        </w:tc>
        <w:tc>
          <w:tcPr>
            <w:tcW w:w="260" w:type="dxa"/>
            <w:vAlign w:val="bottom"/>
          </w:tcPr>
          <w:p>
            <w:pPr>
              <w:spacing w:after="0"/>
              <w:rPr>
                <w:sz w:val="20"/>
                <w:szCs w:val="20"/>
                <w:color w:val="auto"/>
              </w:rPr>
            </w:pPr>
          </w:p>
        </w:tc>
        <w:tc>
          <w:tcPr>
            <w:tcW w:w="2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340" w:type="dxa"/>
            <w:vAlign w:val="bottom"/>
          </w:tcPr>
          <w:p>
            <w:pPr>
              <w:spacing w:after="0"/>
              <w:rPr>
                <w:sz w:val="20"/>
                <w:szCs w:val="20"/>
                <w:color w:val="auto"/>
              </w:rPr>
            </w:pPr>
          </w:p>
        </w:tc>
        <w:tc>
          <w:tcPr>
            <w:tcW w:w="1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March 31, 2020</w:t>
            </w:r>
          </w:p>
        </w:tc>
      </w:tr>
      <w:tr>
        <w:trPr>
          <w:trHeight w:val="223"/>
        </w:trPr>
        <w:tc>
          <w:tcPr>
            <w:tcW w:w="6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89,063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87,673</w:t>
            </w:r>
          </w:p>
        </w:tc>
      </w:tr>
      <w:tr>
        <w:trPr>
          <w:trHeight w:val="230"/>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6,709</w:t>
            </w:r>
          </w:p>
        </w:tc>
      </w:tr>
      <w:tr>
        <w:trPr>
          <w:trHeight w:val="248"/>
        </w:trPr>
        <w:tc>
          <w:tcPr>
            <w:tcW w:w="6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94,382</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As discussed in the section titled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discussed below and elsewhere in this report, particularly those set forth under the section entitled "Risk Factors" in our Annual Report on Form 10-K ("Form 10-K") for the fiscal year ended March 31, 2020, as modified by those in Part II, Item 1A of our Quarterly Report for the three months ended June 30, 2020 on Form 10-Q under the heading "Risk Factors."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leading software-as-a-service ("SaaS") provider of voice, video, chat, contact center, and enterprise-class application programming interface ("API") solutions powered by one global cloud communications platform. From our proprietary cloud technology platform, organizations across all their locations and employees globally have access to unified communications, team collaboration, video conferencing, contact center, data and analytics, communication APIs, and other services, enabling them to be more productive and responsive to their customers.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customers represent companies ranging from small businesses to large multinational enterprises, and their users are spread across more than 150 countries. In recent years, we have increased our focus on the mid-market and enterprise customer categories.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portfolio of cloud-based offerings made available at different rates varying by the specific functionalities, services, and number of users. We generate service revenue from communication services subscriptions and platform usage. We generate other revenues from the sales and rentals of office phones and other hardware equipment, and professional services. We define a “customer” as one or more legal entities to which we provide services pursuant to a single contractual arrangement. In some cases, we may have multiple billing relationships with a single customer (for example, where we establish separate billing accounts for a parent company and each of its subsidiaries).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flagship service is our 8x8 X Series, a next generation suite of unified communications as a service ("UCaaS") and contact center as a service ("CCaaS") solutions, which consist of service plans of increasing functionality designated X1, X2, etc., through X8. With 8x8 X Series, we provide enterprise-grade voice, unified communications, video meetings, team collaboration, and contact center functionalities from a single platform. We also offer standalone SaaS services for contact center, video meetings, and enterprise communication APIs. Through our July 2019 acquisition of Wavecell Pte. Ltd., an Asia-based global communication platform as a service ("CPaaS") provider of SMS, messaging, voice and video APIs to enterprises, we expanded our API offerings both geographically and functionally. We expect to continue integrating these services into our platform, as we believe in the value of the collective solutions.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2020, over 90% of our customers have been migrated to the 8x8 X Series platform and we intend to migrate substantially all of our remaining customers through the end of the fiscal year. These migrations may require us to incur professional services and related engineering costs. While we may not be able to recover these costs from our customers, we believe that we will realize other benefits including reducing the number of platforms that we are required to support and improved customer retention.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AND OUTLOOK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third quarter of fiscal 2021, our total service revenue grew 15.2% year-over-year to $127.1 million. We continued to show an increase in our average annualized service revenue per customer, which grew to $8,705 in the third quarter of fiscal 2021, compared with $8,248 in the same period of fiscal 2020, as we are selling more to mid-market and enterprise customers. Service revenue from mid-market and enterprise customers represented 48% of total service revenue and grew 25% compared to the same three-month period in the prior year. We increased the number of bundled deals where customers purchase our integrated communications and contact center solutions.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continued business focus is on achieving improved operating efficiencies while delivering revenue growth. We continue to make important investments in our products and technology platform, and focus on key areas of spend in our go-to-market strategy. Additionally, we aim to drive efficiencies in our small business customer acquisition and operations, and are focused on expanding our business upmarket with mid-market and enterprise customers. We believe that effective execution will enable the Company to grow and capture market share, during this phase of industry disruption, in a cost-effective way and support the Company in pursuit of its path to profitability and operating cash flow improvement.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remainder of fiscal 2021, we plan to continue making investments in activities to acquire more customers, including global expansion and investing in our direct marketing efforts, sales force, e-commerce, and outbound marketing efforts. We also intend to continue investing in our indirect channel programs to acquire more third-party selling agents to help sell our solutions, including investments in our value added resellers ("VARs") and master agent programs. Should these investments not result in additional revenue from new or existing customers, including as result of adverse impacts from the COVID-19 pandemic, and/or these cost reduction and efficiency efforts do not result in meaningful savings, our operating results may be adversely impacted.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CEO APPOINTMENT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10, 2020, we appointed David Sipes as Chief Executive Officer and a member of the board of directors.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IMPACTS OF COVID-19</w:t>
      </w:r>
    </w:p>
    <w:p>
      <w:pPr>
        <w:spacing w:after="0" w:line="12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full extent of the impact of the COVID-19 pandemic on our business, operations and financial results will depend on numerous evolving factors that we may not be able to accurately predict, including those set forth under the section entitled "Risk Factors" in our Form 10-K for the fiscal year ended March 31, 2020, as modified by the "Risk Factors" section of our Quarterly Report on Form 10-Q for the three months ended June 30, 2020. In an effort to contain COVID-19 or slow its spread, governments around the world have enacted various measures, some of which have been subsequently rescinded, modified or reinstated, including orders to close non-essential businesses, isolate residents to their homes, and practice social distancing. To protect the health and safety of our employees, our workforce continues to spend a significant amount of time working from home with many of our offices around the world remaining closed and travel being curtailed for our employees, as well as our customers, as the number of COVID-19 cases continues to surge and retreat in various locations globally. These restrictions have altered the ways we conduct sales activities and market to current and prospective customers and how we conduct our ongoing business operations, resulting in reductions in travel related expenses and, by some measures, has resulted in improved employee productivity in certain areas. Small business and mid-size customers have been more impacted by the COVID-19 pandemic than enterprise customers, which has necessitated greater flexibility and responsiveness to our customers' evolving needs. While we anticipate that the global health crisis caused by COVID-19, including any resurgences, and the measures enacted to slow its spread will negatively impact certain business activity across the globe combined with the limited availability of vaccines, to date, it has not resulted in as significant a negative impact on our business, as initially anticipated. We continue to proactively and closely monitor the health of our customers and suppliers and other impacts of the pandemic to determine whether risks of loss or other negative impacts upon our business exist. The effects of COVID-19 have also been considered in management's judgments around credit loss impairments.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Revenue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Service revenue consists of communication services subscriptions, platform usage revenue, and related fees from our UCaaS, CCaaS, and CPaaS offerings. We plan to continue to drive our business to increase service revenue through a combination of increased sales and marketing efforts, geographic expansion of our customer base outside the United States, innovation in product and technology, and through strategic partnerships and other business development.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Revenue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revenue consists primarily of revenues from sales and rentals of IP telephones in conjunction with our cloud telephony service, and revenues from professional services, primarily in support of deployment of our solutions and/or platform. Other revenue is dependent on the number of customers who choose to purchase or rent an IP telephone in conjunction with our service instead of using the solution on their cell phone, computer, or other compatible device, and/or choose to engage our services for implementation and deployment of our cloud services.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 Revenue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 of service revenue consists primarily of costs associated with network operations and related personnel, technology licenses, amortization of internally developed software, other communication origination and termination services provided by third-party carriers and outsourced customer service call center operations, and other costs such as customer service, and technical support costs. We allocate overhead costs such as IT and facilities to cost of service revenue, as well as to each of the operating expense categories, generally based on relative headcount. Our IT costs include costs for IT infrastructure and personnel. Facilities costs primarily consist of office leases and related expenses.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Other Revenue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other revenue consists primarily of direct and indirect costs associated with the purchasing of IP telephones as well as the scheduling, shipping and handling, personnel costs and related expenditures incurred in connection with the professional services associated with the deployment and implementation of our products, and allocated IT and facilities costs.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 and related costs, third-party development and related work, software and equipment costs necessary for us to conduct our product and platform development and engineering efforts, and allocated IT and facilities costs.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and marketing expenses consist primarily of personnel and related costs, sales commissions, trade shows, advertising and other marketing, demand generation, channel costs, promotional expenses, and allocated IT and facilities costs.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and related costs, professional services fees, human resources, legal, employee recruiting, general management, and allocated IT and facilities costs.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expense, net consists primarily of interest expense related to the convertible notes, offset by income earned on our cash, cash equivalents, and investments, and foreign exchange gains/losses.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Provision for income taxes consists primarily of state minimum taxes in the United States and foreign income taxes. As we expand the scale of our international business activities, any changes in the U.S. and foreign taxation of such activities may increase our overall provision for income taxes in the future. We have a valuation allowance for our U.S. deferred tax assets, including federal and state net operating loss carryforwards, or NOLs. We expect to maintain this valuation allowance until it becomes more likely than not that the benefit of our federal and state deferred tax assets will be realized by way of expected future taxable income in the United States.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condensed consolidated financial statements and the notes thereto. All dollar amounts herein are in thousands unless otherwise noted.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Service revenue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60" w:type="dxa"/>
            <w:vAlign w:val="bottom"/>
          </w:tcPr>
          <w:p>
            <w:pPr>
              <w:spacing w:after="0"/>
              <w:rPr>
                <w:sz w:val="20"/>
                <w:szCs w:val="20"/>
                <w:color w:val="auto"/>
              </w:rPr>
            </w:pPr>
          </w:p>
        </w:tc>
      </w:tr>
      <w:tr>
        <w:trPr>
          <w:trHeight w:val="223"/>
        </w:trPr>
        <w:tc>
          <w:tcPr>
            <w:tcW w:w="3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9"/>
              </w:rPr>
              <w:t>127,107</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5"/>
              </w:rPr>
              <w:t>110,363</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16,744</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r>
      <w:tr>
        <w:trPr>
          <w:trHeight w:val="23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93.0 %</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93.1 %</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70"/>
        </w:trPr>
        <w:tc>
          <w:tcPr>
            <w:tcW w:w="3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3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Nine months ended December 31,</w:t>
            </w:r>
          </w:p>
        </w:tc>
        <w:tc>
          <w:tcPr>
            <w:tcW w:w="12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362,232</w:t>
            </w:r>
          </w:p>
        </w:tc>
        <w:tc>
          <w:tcPr>
            <w:tcW w:w="100" w:type="dxa"/>
            <w:vAlign w:val="bottom"/>
          </w:tcPr>
          <w:p>
            <w:pPr>
              <w:spacing w:after="0"/>
              <w:rPr>
                <w:sz w:val="19"/>
                <w:szCs w:val="19"/>
                <w:color w:val="auto"/>
              </w:rPr>
            </w:pPr>
          </w:p>
        </w:tc>
        <w:tc>
          <w:tcPr>
            <w:tcW w:w="12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5"/>
              </w:rPr>
              <w:t>301,547</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60,685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20.1 %</w:t>
            </w:r>
          </w:p>
        </w:tc>
      </w:tr>
      <w:tr>
        <w:trPr>
          <w:trHeight w:val="230"/>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bl>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Service revenue increased for the three and nine months ended December 31, 2020, compared with the same period of the previous fiscal year primarily due to a net increase in our customer base, expanded offerings to existing customers, and growth in related usage; service revenue from new customers was primarily driven by sales of standalone and bundled UCaaS and CCaaS deals, globally, to our mid-market and enterprise customers. The increase in service revenue was also attributable to growth in usage revenue generated by our CPaaS products primarily in the APAC region.</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expect total service revenue to grow over time with our expanding platform offering as our business continues to expand globally and across broader customer categories.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revenue</w:t>
            </w:r>
          </w:p>
        </w:tc>
        <w:tc>
          <w:tcPr>
            <w:tcW w:w="460" w:type="dxa"/>
            <w:vAlign w:val="bottom"/>
          </w:tcPr>
          <w:p>
            <w:pPr>
              <w:spacing w:after="0"/>
              <w:rPr>
                <w:sz w:val="20"/>
                <w:szCs w:val="20"/>
                <w:color w:val="auto"/>
              </w:rPr>
            </w:pPr>
          </w:p>
        </w:tc>
        <w:tc>
          <w:tcPr>
            <w:tcW w:w="154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4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3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9,578</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8,204</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1,374</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20" w:type="dxa"/>
            <w:vAlign w:val="bottom"/>
          </w:tcPr>
          <w:p>
            <w:pPr>
              <w:spacing w:after="0"/>
              <w:rPr>
                <w:sz w:val="19"/>
                <w:szCs w:val="19"/>
                <w:color w:val="auto"/>
              </w:rPr>
            </w:pPr>
          </w:p>
        </w:tc>
      </w:tr>
      <w:tr>
        <w:trPr>
          <w:trHeight w:val="230"/>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0"/>
        </w:trPr>
        <w:tc>
          <w:tcPr>
            <w:tcW w:w="3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29"/>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Nine months ended December 31,</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25,393</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23,212</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2,181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20" w:type="dxa"/>
            <w:vAlign w:val="bottom"/>
          </w:tcPr>
          <w:p>
            <w:pPr>
              <w:spacing w:after="0"/>
              <w:rPr>
                <w:sz w:val="19"/>
                <w:szCs w:val="19"/>
                <w:color w:val="auto"/>
              </w:rPr>
            </w:pPr>
          </w:p>
        </w:tc>
      </w:tr>
      <w:tr>
        <w:trPr>
          <w:trHeight w:val="230"/>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864"/>
        </w:trPr>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396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460" w:type="dxa"/>
            <w:vAlign w:val="bottom"/>
            <w:tcBorders>
              <w:bottom w:val="single" w:sz="8" w:color="9A9A9A"/>
            </w:tcBorders>
          </w:tcPr>
          <w:p>
            <w:pPr>
              <w:spacing w:after="0"/>
              <w:rPr>
                <w:sz w:val="19"/>
                <w:szCs w:val="19"/>
                <w:color w:val="auto"/>
              </w:rPr>
            </w:pPr>
          </w:p>
        </w:tc>
        <w:tc>
          <w:tcPr>
            <w:tcW w:w="154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460" w:type="dxa"/>
            <w:vAlign w:val="bottom"/>
            <w:tcBorders>
              <w:bottom w:val="single" w:sz="8" w:color="9A9A9A"/>
            </w:tcBorders>
          </w:tcPr>
          <w:p>
            <w:pPr>
              <w:spacing w:after="0"/>
              <w:rPr>
                <w:sz w:val="19"/>
                <w:szCs w:val="19"/>
                <w:color w:val="auto"/>
              </w:rPr>
            </w:pPr>
          </w:p>
        </w:tc>
        <w:tc>
          <w:tcPr>
            <w:tcW w:w="154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460" w:type="dxa"/>
            <w:vAlign w:val="bottom"/>
            <w:tcBorders>
              <w:bottom w:val="single" w:sz="8" w:color="9A9A9A"/>
            </w:tcBorders>
          </w:tcPr>
          <w:p>
            <w:pPr>
              <w:spacing w:after="0"/>
              <w:rPr>
                <w:sz w:val="19"/>
                <w:szCs w:val="19"/>
                <w:color w:val="auto"/>
              </w:rPr>
            </w:pPr>
          </w:p>
        </w:tc>
        <w:tc>
          <w:tcPr>
            <w:tcW w:w="1580" w:type="dxa"/>
            <w:vAlign w:val="bottom"/>
            <w:tcBorders>
              <w:bottom w:val="single" w:sz="8" w:color="9A9A9A"/>
            </w:tcBorders>
          </w:tcPr>
          <w:p>
            <w:pPr>
              <w:spacing w:after="0"/>
              <w:rPr>
                <w:sz w:val="19"/>
                <w:szCs w:val="19"/>
                <w:color w:val="auto"/>
              </w:rPr>
            </w:pPr>
          </w:p>
        </w:tc>
        <w:tc>
          <w:tcPr>
            <w:tcW w:w="86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revenue increased during the three months and nine months ended December 31, 2020, compared with the same period in the prior fiscal year. The increase was driven by professional services revenue resulting from the overall growth in our business and customer base, partially offset by a decrease in product revenue as a result of shift towards hardware rental program.</w:t>
      </w:r>
    </w:p>
    <w:p>
      <w:pPr>
        <w:spacing w:after="0" w:line="68" w:lineRule="exact"/>
        <w:rPr>
          <w:sz w:val="20"/>
          <w:szCs w:val="20"/>
          <w:color w:val="auto"/>
        </w:rPr>
      </w:pPr>
    </w:p>
    <w:p>
      <w:pPr>
        <w:ind w:right="1140"/>
        <w:spacing w:after="0" w:line="391" w:lineRule="auto"/>
        <w:rPr>
          <w:sz w:val="20"/>
          <w:szCs w:val="20"/>
          <w:color w:val="auto"/>
        </w:rPr>
      </w:pPr>
      <w:r>
        <w:rPr>
          <w:rFonts w:ascii="Times New Roman" w:cs="Times New Roman" w:eastAsia="Times New Roman" w:hAnsi="Times New Roman"/>
          <w:sz w:val="18"/>
          <w:szCs w:val="18"/>
          <w:color w:val="auto"/>
        </w:rPr>
        <w:t xml:space="preserve">We expect other revenue to grow over time, while we focus on delivering higher margin platform offerings to existing and new customers. No customer represented greater than 10% of the Company's total revenue for the three and nine months ended December 31, 2020 or 2019. </w:t>
      </w:r>
      <w:r>
        <w:rPr>
          <w:rFonts w:ascii="Times New Roman" w:cs="Times New Roman" w:eastAsia="Times New Roman" w:hAnsi="Times New Roman"/>
          <w:sz w:val="18"/>
          <w:szCs w:val="18"/>
          <w:b w:val="1"/>
          <w:bCs w:val="1"/>
          <w:i w:val="1"/>
          <w:iCs w:val="1"/>
          <w:u w:val="single" w:color="auto"/>
          <w:color w:val="auto"/>
        </w:rPr>
        <w:t>Cost of Revenue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Cost of service revenue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Pr>
          <w:p>
            <w:pPr>
              <w:spacing w:after="0"/>
              <w:rPr>
                <w:sz w:val="20"/>
                <w:szCs w:val="20"/>
                <w:color w:val="auto"/>
              </w:rPr>
            </w:pPr>
          </w:p>
        </w:tc>
      </w:tr>
      <w:tr>
        <w:trPr>
          <w:trHeight w:val="223"/>
        </w:trPr>
        <w:tc>
          <w:tcPr>
            <w:tcW w:w="3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47,044</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40,786</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6,258</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15.3 %</w:t>
            </w:r>
          </w:p>
        </w:tc>
      </w:tr>
      <w:tr>
        <w:trPr>
          <w:trHeight w:val="23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service revenue</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37.0 %</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37.0 %</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70"/>
        </w:trPr>
        <w:tc>
          <w:tcPr>
            <w:tcW w:w="3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29"/>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Nine months ended December 31,</w:t>
            </w:r>
          </w:p>
        </w:tc>
        <w:tc>
          <w:tcPr>
            <w:tcW w:w="12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132,843</w:t>
            </w:r>
          </w:p>
        </w:tc>
        <w:tc>
          <w:tcPr>
            <w:tcW w:w="100" w:type="dxa"/>
            <w:vAlign w:val="bottom"/>
          </w:tcPr>
          <w:p>
            <w:pPr>
              <w:spacing w:after="0"/>
              <w:rPr>
                <w:sz w:val="19"/>
                <w:szCs w:val="19"/>
                <w:color w:val="auto"/>
              </w:rPr>
            </w:pPr>
          </w:p>
        </w:tc>
        <w:tc>
          <w:tcPr>
            <w:tcW w:w="12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101,899</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30,944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30.4 %</w:t>
            </w:r>
          </w:p>
        </w:tc>
      </w:tr>
      <w:tr>
        <w:trPr>
          <w:trHeight w:val="230"/>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Percentage of service revenue</w:t>
            </w: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bl>
    <w:p>
      <w:pPr>
        <w:spacing w:after="0" w:line="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 of service revenue for the three months ended December 31, 2020, increased compared to the same period in the prior fiscal year period, primarily due to a $5.1 million increase in communication infrastructure costs incurred to deliver our services resulting from growth in usage across our platform including those in connection with CPaaS, a $1.7 million increase in amortization of capitalized software, and a $1.1 million increase in stock-based compensation expense. These increases were partially offset by a $0.8 million decrease in depreciation and amortization of intangible assets and a $0.6 million decrease in employee and consulting related expenditures.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 of service revenue for the nine months ended December 31, 2020, increased over the same prior fiscal year period, primarily due to $25.4 million increase in communication infrastructure costs incurred to deliver our services, primarily due to growth in usage across our platform including those in connection with CPaaS, a $5.6 million increase in amortization of capitalized software, and a $3.1 million increase in stock-based compensation expense. These increases were partially offset by a decrease of $1.7 million in employee and consulting related expenditures and a decrease of $1.5 million in depreciation and amortization of intangible assets.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that cost of service revenue will increase in absolute dollars over time as revenue continues to grow.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Cost of other revenue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80" w:type="dxa"/>
            <w:vAlign w:val="bottom"/>
          </w:tcPr>
          <w:p>
            <w:pPr>
              <w:spacing w:after="0"/>
              <w:rPr>
                <w:sz w:val="20"/>
                <w:szCs w:val="20"/>
                <w:color w:val="auto"/>
              </w:rPr>
            </w:pPr>
          </w:p>
        </w:tc>
      </w:tr>
      <w:tr>
        <w:trPr>
          <w:trHeight w:val="223"/>
        </w:trPr>
        <w:tc>
          <w:tcPr>
            <w:tcW w:w="3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13,364</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15,433</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(2,069)</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3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other revenue</w:t>
            </w:r>
          </w:p>
        </w:tc>
        <w:tc>
          <w:tcPr>
            <w:tcW w:w="1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139.5 %</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70"/>
        </w:trPr>
        <w:tc>
          <w:tcPr>
            <w:tcW w:w="3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29"/>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Nine months ended December 31,</w:t>
            </w:r>
          </w:p>
        </w:tc>
        <w:tc>
          <w:tcPr>
            <w:tcW w:w="12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36,194</w:t>
            </w:r>
          </w:p>
        </w:tc>
        <w:tc>
          <w:tcPr>
            <w:tcW w:w="100" w:type="dxa"/>
            <w:vAlign w:val="bottom"/>
          </w:tcPr>
          <w:p>
            <w:pPr>
              <w:spacing w:after="0"/>
              <w:rPr>
                <w:sz w:val="19"/>
                <w:szCs w:val="19"/>
                <w:color w:val="auto"/>
              </w:rPr>
            </w:pPr>
          </w:p>
        </w:tc>
        <w:tc>
          <w:tcPr>
            <w:tcW w:w="12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41,708</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(5,514)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30"/>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Percentage of product revenue</w:t>
            </w:r>
          </w:p>
        </w:tc>
        <w:tc>
          <w:tcPr>
            <w:tcW w:w="1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other revenue for the three and nine months ended December 31, 2020, decreased compared to the same periods in the prior fiscal year, primarily due to a decrease in cost of products as a result of decrease in hardware shipment volume, improved pricing, and increase in our hardware rental program, which has better margins than hardware sales.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79"/>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Research and development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Pr>
          <w:p>
            <w:pPr>
              <w:spacing w:after="0"/>
              <w:rPr>
                <w:sz w:val="24"/>
                <w:szCs w:val="24"/>
                <w:color w:val="auto"/>
              </w:rPr>
            </w:pPr>
          </w:p>
        </w:tc>
      </w:tr>
      <w:tr>
        <w:trPr>
          <w:trHeight w:val="223"/>
        </w:trPr>
        <w:tc>
          <w:tcPr>
            <w:tcW w:w="39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23,702</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19,870</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3,832</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19.3 %</w:t>
            </w:r>
          </w:p>
        </w:tc>
      </w:tr>
      <w:tr>
        <w:trPr>
          <w:trHeight w:val="229"/>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70"/>
        </w:trPr>
        <w:tc>
          <w:tcPr>
            <w:tcW w:w="3900" w:type="dxa"/>
            <w:vAlign w:val="bottom"/>
            <w:gridSpan w:val="2"/>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30"/>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Nine months ended December 31,</w:t>
            </w:r>
          </w:p>
        </w:tc>
        <w:tc>
          <w:tcPr>
            <w:tcW w:w="124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66,763</w:t>
            </w:r>
          </w:p>
        </w:tc>
        <w:tc>
          <w:tcPr>
            <w:tcW w:w="100" w:type="dxa"/>
            <w:vAlign w:val="bottom"/>
          </w:tcPr>
          <w:p>
            <w:pPr>
              <w:spacing w:after="0"/>
              <w:rPr>
                <w:sz w:val="19"/>
                <w:szCs w:val="19"/>
                <w:color w:val="auto"/>
              </w:rPr>
            </w:pPr>
          </w:p>
        </w:tc>
        <w:tc>
          <w:tcPr>
            <w:tcW w:w="12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57,635</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9,128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15.8 %</w:t>
            </w:r>
          </w:p>
        </w:tc>
      </w:tr>
      <w:tr>
        <w:trPr>
          <w:trHeight w:val="229"/>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bl>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December 31, 2020, increased compared to the same prior fiscal year period, primarily due to a $2.7 million increase in stock-based compensation expense, a $1.7 million lower allocation to capitalized software costs, and a $0.4 million increase in amortization of capitalized software. These increases were partially offset by a $0.4 million decrease in employee and consulting related expenditures, a $0.4 million decrease in travel related costs, and a $0.2 million decrease in facility related costs.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for the nine months ended December 31, 2020, increased compared to the same prior fiscal year period, primarily due to a $9.5 million increase in stock-based compensation expense, a $1.1 million increase in public cloud expenses, and a $0.9 million increase in amortization of capitalized software. These increases were partially offset by a $1.4 million decrease in travel related costs, a $0.6 million decrease in the cost for computer supplies, and an increase in the capitalization of internally developed software costs of $0.3 million.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plan to continue to invest in research and development to support our efforts to expand the capabilities and scope of our platform and to enhance the user experience. While we expect to continue to improve our cost structure and achieve operational efficiencies, we expect that research and development expenses will increase in absolute dollars in future periods as we continue to invest in our development efforts, and vary from period-to-period as a percentage of revenue.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Sales and marketing</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0" w:type="dxa"/>
            <w:vAlign w:val="bottom"/>
          </w:tcPr>
          <w:p>
            <w:pPr>
              <w:spacing w:after="0"/>
              <w:rPr>
                <w:sz w:val="20"/>
                <w:szCs w:val="20"/>
                <w:color w:val="auto"/>
              </w:rPr>
            </w:pPr>
          </w:p>
        </w:tc>
      </w:tr>
      <w:tr>
        <w:trPr>
          <w:trHeight w:val="223"/>
        </w:trPr>
        <w:tc>
          <w:tcPr>
            <w:tcW w:w="3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63,986</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63,099</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887</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46.8 %</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53.2 %</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70"/>
        </w:trPr>
        <w:tc>
          <w:tcPr>
            <w:tcW w:w="3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29"/>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Nine months ended December 31,</w:t>
            </w:r>
          </w:p>
        </w:tc>
        <w:tc>
          <w:tcPr>
            <w:tcW w:w="12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185,535</w:t>
            </w:r>
          </w:p>
        </w:tc>
        <w:tc>
          <w:tcPr>
            <w:tcW w:w="100" w:type="dxa"/>
            <w:vAlign w:val="bottom"/>
          </w:tcPr>
          <w:p>
            <w:pPr>
              <w:spacing w:after="0"/>
              <w:rPr>
                <w:sz w:val="19"/>
                <w:szCs w:val="19"/>
                <w:color w:val="auto"/>
              </w:rPr>
            </w:pPr>
          </w:p>
        </w:tc>
        <w:tc>
          <w:tcPr>
            <w:tcW w:w="12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174,593</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10,942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30"/>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and marketing expenses for the three months ended December 31, 2020, increased slightly over the same prior fiscal year period, primarily due to a $4.2 million increase in stock-based compensation expense, a $3.4 million increase in channel commissions, and a $2.2 million increase in amortization of deferred sales commission costs. These increases were partially offset by a net decrease of $8.8 million in marketing program and public cloud expenses due to gained efficiencies in lead generation and brand awareness, travel related costs, and employee and consulting related expenditures.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and marketing expenses for the nine months ended December 31, 2020, increased over the same prior fiscal year period, primarily due to a $9.5 million increase in channel commissions, a $7.7 million increase in stock-based compensation expense, a $6.2 million increase in amortization of deferred sales commission costs, and a $4.8 million increase in employee and consulting related expenditures, and a $2.3 million increase in marketing software and application costs. These increases were partially offset by a net decrease of $19.9 million in marketing program and public cloud expenses due to gained efficiencies in lead generation and brand awareness and travel related costs.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plan to continue investing in sales and marketing to attract and retain customers on our platform and to increase our brand awareness. While we expect to continue to improve our cost structure and achieve operational efficiencies, we expect that sales and marketing expenses will increase in absolute dollars in future periods and vary from period-to-period as a percentage of revenue.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Pr>
          <w:p>
            <w:pPr>
              <w:spacing w:after="0"/>
              <w:rPr>
                <w:sz w:val="20"/>
                <w:szCs w:val="20"/>
                <w:color w:val="auto"/>
              </w:rPr>
            </w:pPr>
          </w:p>
        </w:tc>
      </w:tr>
      <w:tr>
        <w:trPr>
          <w:trHeight w:val="223"/>
        </w:trPr>
        <w:tc>
          <w:tcPr>
            <w:tcW w:w="3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23,844</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22,547</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1,297</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30"/>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6"/>
        </w:trPr>
        <w:tc>
          <w:tcPr>
            <w:tcW w:w="3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0"/>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Nine months ended December 31,</w:t>
            </w:r>
          </w:p>
        </w:tc>
        <w:tc>
          <w:tcPr>
            <w:tcW w:w="12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72,403</w:t>
            </w:r>
          </w:p>
        </w:tc>
        <w:tc>
          <w:tcPr>
            <w:tcW w:w="100" w:type="dxa"/>
            <w:vAlign w:val="bottom"/>
          </w:tcPr>
          <w:p>
            <w:pPr>
              <w:spacing w:after="0"/>
              <w:rPr>
                <w:sz w:val="19"/>
                <w:szCs w:val="19"/>
                <w:color w:val="auto"/>
              </w:rPr>
            </w:pPr>
          </w:p>
        </w:tc>
        <w:tc>
          <w:tcPr>
            <w:tcW w:w="12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62,589</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9,814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15.7 %</w:t>
            </w:r>
          </w:p>
        </w:tc>
      </w:tr>
      <w:tr>
        <w:trPr>
          <w:trHeight w:val="229"/>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26" w:name="page27"/>
    <w:bookmarkEnd w:id="2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December 31, 2020, increased as compared to the same prior fiscal year period, primarily due to a $1.8 million increase in employee and consulting related expenditures, including CEO succession costs, and $0.6 million higher allowance for credit losses, partially in response to external market factors and uncertainties in connection with the COVID-19 pandemic. These increases were partially offset by a $0.8 million decrease in stock-based compensation expense and a $0.5 million decrease in acquisition and integration costs.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for the nine months ended December 31, 2020, increased over the same prior fiscal year period, primarily due to a $3.6 million increase in stock-based compensation expense, a $3.4 million increase in employee and consulting related expenditures, including CEO succession costs, $2.6 million higher allowance for credit losses, partially in response to external market factors and uncertainties in connection with the COVID-19 pandemic, a $2.3 million increase in tax related expense, and a $1.5 million increase in depreciation expense. These increases were partially offset by a $2.0 million decrease in acquisition and integration costs and a $1.5 million decrease in contract termination costs.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continue improving our cost structure and achieve operational efficiencies, and therefore also expect that general and administrative expenses as a percentage of total revenue will decline over time.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Pr>
          <w:p>
            <w:pPr>
              <w:spacing w:after="0"/>
              <w:rPr>
                <w:sz w:val="20"/>
                <w:szCs w:val="20"/>
                <w:color w:val="auto"/>
              </w:rPr>
            </w:pPr>
          </w:p>
        </w:tc>
      </w:tr>
      <w:tr>
        <w:trPr>
          <w:trHeight w:val="223"/>
        </w:trPr>
        <w:tc>
          <w:tcPr>
            <w:tcW w:w="3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4,669</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3,623</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1,046</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28.9 %</w:t>
            </w:r>
          </w:p>
        </w:tc>
      </w:tr>
      <w:tr>
        <w:trPr>
          <w:trHeight w:val="229"/>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70"/>
        </w:trPr>
        <w:tc>
          <w:tcPr>
            <w:tcW w:w="3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3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Nine months ended December 31,</w:t>
            </w:r>
          </w:p>
        </w:tc>
        <w:tc>
          <w:tcPr>
            <w:tcW w:w="124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13,772</w:t>
            </w:r>
          </w:p>
        </w:tc>
        <w:tc>
          <w:tcPr>
            <w:tcW w:w="100" w:type="dxa"/>
            <w:vAlign w:val="bottom"/>
          </w:tcPr>
          <w:p>
            <w:pPr>
              <w:spacing w:after="0"/>
              <w:rPr>
                <w:sz w:val="19"/>
                <w:szCs w:val="19"/>
                <w:color w:val="auto"/>
              </w:rPr>
            </w:pPr>
          </w:p>
        </w:tc>
        <w:tc>
          <w:tcPr>
            <w:tcW w:w="13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7,919</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5,853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73.9 %</w:t>
            </w:r>
          </w:p>
        </w:tc>
      </w:tr>
      <w:tr>
        <w:trPr>
          <w:trHeight w:val="229"/>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bl>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expense, net of other income increased for the three months ended December 31, 2020, over the same prior fiscal year period, primarily due to $0.7 million of lower interest income and a $0.7 million increase in expense related to contractual interest, amortization of debt discount, and amortization of issuance costs associated with additional convertible notes issued in November 2019. These increases were partially offset by a $0.2 million increase in other income and impacts from fluctuations in foreign exchange rates.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expense, net of other income for the nine months ended December 31, 2020, increased over the same prior fiscal year period, primarily due to $3.4 million of lower interest income and a $2.8 million increase in expense related to contractual interest, amortization of debt discount, and amortization of issuance costs associated with additional convertible notes issued in November 2019. These increases were partially offset by $0.5 million of higher other income.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the recognition of interest expense and amortization of debt discount and issuance costs in connection with our convertible senior notes, we expect to continue to be in a net expense position for the foreseeable future.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0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Pr>
          <w:p>
            <w:pPr>
              <w:spacing w:after="0"/>
              <w:rPr>
                <w:sz w:val="20"/>
                <w:szCs w:val="20"/>
                <w:color w:val="auto"/>
              </w:rPr>
            </w:pPr>
          </w:p>
        </w:tc>
      </w:tr>
      <w:tr>
        <w:trPr>
          <w:trHeight w:val="223"/>
        </w:trPr>
        <w:tc>
          <w:tcPr>
            <w:tcW w:w="3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21</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3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loss before provision for income taxes</w:t>
            </w:r>
          </w:p>
        </w:tc>
        <w:tc>
          <w:tcPr>
            <w:tcW w:w="1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70"/>
        </w:trPr>
        <w:tc>
          <w:tcPr>
            <w:tcW w:w="3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3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Nine months ended December 31,</w:t>
            </w:r>
          </w:p>
        </w:tc>
        <w:tc>
          <w:tcPr>
            <w:tcW w:w="134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Pr>
          <w:p>
            <w:pPr>
              <w:spacing w:after="0"/>
              <w:rPr>
                <w:sz w:val="19"/>
                <w:szCs w:val="19"/>
                <w:color w:val="auto"/>
              </w:rPr>
            </w:pPr>
          </w:p>
        </w:tc>
        <w:tc>
          <w:tcPr>
            <w:tcW w:w="134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(18)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Percentage of loss before provision for income taxes</w:t>
            </w:r>
          </w:p>
        </w:tc>
        <w:tc>
          <w:tcPr>
            <w:tcW w:w="1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estimate our annual effective tax rate at the end of each quarter. In estimating the annual effective tax rate, we consider, among other things, annual pre-tax income, permanent tax differences, the geographic mix of pre-tax income and the application and interpretations of existing tax laws. We record the tax effect of certain discrete items, which are unusual or occur infrequently, in the interim period in which they occur, including changes in judgment about deferred tax valuation allowances. The determination of the effective tax rate reflects tax expense and benefit generated in certain domestic and foreign jurisdictions. However, jurisdictions with a year-to-date loss where no tax benefit can be recognized are excluded from the annual effective tax rate.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2020, we had $152.5 million of cash, cash equivalents, and investments. In addition, as of December 31, 2020, we had restricted cash including $8.6 million in support of letter of credits securing leases for office facilities and $6.9 million held in escrow for our acquisition of Wavecell in July 2019, pursuant to the terms of the acquisition agreement.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2020, $3.5 million of restricted cash was released, and the remaining amount of $6.9 million held in escrow for our acquisition of Wavecell was released in January 2021. By comparison, at March 31, 2020, we had $186.9 million of cash, cash equivalents, and investments and $19.0 million of restricted cash.</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Act (the "CARES Act") was passed into law, which amended portions of relevant tax laws and provided relief to certain qualifying entities. In connection with the CARES Act, the Company elected to defer certain employer payroll taxes, which reduced cash usage by $5.0 million through December 31, 2020. The amounts deferred will be remitted to tax authorities during the third quarter of fiscal 2022 and fiscal 2023, respectively, when they become due. Other jurisdictions around the world have also provided similar tax relief, which the Company has elected to receive, where applicable; these benefits have a lesser impact to our expected cash flows during fiscal 2021.</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2020, the Company offered its employees a limited opportunity to receive a portion of their cash salary in shares of the Company's common stock. Based on employee elected participation, we expect lower cash usage from payroll compensation of over $4 million during fiscal 2021. In addition, for fiscal 2021, the Company's executives received performance share units in place of a cash bonus plan. The timing of bonus payments for all other eligible employees was changed to semi-annually (in the third and first quarter of each fiscal year) from quarterly as in prior fiscal years.</w:t>
      </w:r>
    </w:p>
    <w:p>
      <w:pPr>
        <w:spacing w:after="0" w:line="7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During the fourth quarter of fiscal 2021, we expect to receive $6.4 million of operating cash inflows from our Lease Assignment. Refer to Note 7.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in our accompanying condensed consolidated financial statements in Item 1 of this Form 10-Q.</w:t>
      </w:r>
    </w:p>
    <w:p>
      <w:pPr>
        <w:spacing w:after="0" w:line="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our existing cash, cash equivalents, and investment balances, and our anticipated cash flows from operations will be sufficient to meet our working capital and expenditure requirements for the next 12 months.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Period-over-Period Changes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December 31, 2020, was $14.9 million, compared with $62.8 million in the nine months ended December 31, 2019. Cash used in operating activities was affected by:</w:t>
      </w:r>
    </w:p>
    <w:p>
      <w:pPr>
        <w:spacing w:after="0" w:line="54"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net income or loss;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depreciation and amortization;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amortization associated with deferred sales commissions, debt discount and issuance costs;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associated with stock-based compensation;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working capital accounts, particularly in the timing of collections from receivable and payments of obligations, such as commissions.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December 31, 2020, net cash used in operating activities was primarily related to the net loss of $120.6 million, net cash outflow from sales commissions of $21.1 million, which were partially offset by non-cash charges such as stock-based compensation expense of $74.9 million, depreciation and amortization of $34.1 million, amortization of debt discount of $12.6 million, and operating lease expenses of $11.5 million.</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$27.1 million in the nine months ended December 31, 2020, compared with $84.8 million in the nine months ended December 31, 2019. The cash used in investing activities during the nine months ended December 31, 2020, was related to capitalized internal software development costs of $22.9 million, purchases of $5.0 million of property and equipment, and $3.5 million release of cash held in escrow associated with an acquisition during the second quarter of fiscal 2020, partially offset by $4.2 million of proceeds from maturities and sales of investments, net of purchase.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$5.9 million in the nine months ended December 31, 2020, compared with $65.8 million in the nine months ended December 31, 2019. Cash provided by financing activities for the nine months ended December 31, 2020 was primarily related to the proceeds from issuance of common stock under the ESPP.</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&amp; ESTIMATES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upon our condensed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 and expenses, and related disclosures of assets and liabilities. On an on-going basis, we evaluate our critical accounting policies and estimates.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the exception of changes described within Part I, Item 1, Note 2, "Summary of Significant Accounting Policies", due to the adoption of ASU 2016-03, there have been no significant changes during the three months ended December 31, 2020, to our critical accounting policies and estimates previously disclosed in our Form 10-K for the fiscal year ended March 31, 2020.</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discussion of recently adopted accounting pronouncements and recent accounting pronouncements not yet adopted, see Item 1 of Part I, "Notes to Unaudited Condensed Consolidated Financial Statements - Note 2 - Summary of Significant Accounting Policies."</w:t>
      </w:r>
    </w:p>
    <w:p>
      <w:pPr>
        <w:spacing w:after="0" w:line="50" w:lineRule="exact"/>
        <w:rPr>
          <w:sz w:val="20"/>
          <w:szCs w:val="20"/>
          <w:color w:val="auto"/>
        </w:rPr>
      </w:pPr>
    </w:p>
    <w:p>
      <w:pPr>
        <w:ind w:right="4080"/>
        <w:spacing w:after="0" w:line="378" w:lineRule="auto"/>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 Interest Rate Fluctuation Risk</w:t>
      </w:r>
    </w:p>
    <w:p>
      <w:pPr>
        <w:jc w:val="both"/>
        <w:spacing w:after="0" w:line="256" w:lineRule="auto"/>
        <w:rPr>
          <w:sz w:val="20"/>
          <w:szCs w:val="20"/>
          <w:color w:val="auto"/>
        </w:rPr>
      </w:pPr>
      <w:r>
        <w:rPr>
          <w:rFonts w:ascii="Times New Roman" w:cs="Times New Roman" w:eastAsia="Times New Roman" w:hAnsi="Times New Roman"/>
          <w:sz w:val="18"/>
          <w:szCs w:val="18"/>
          <w:color w:val="auto"/>
        </w:rPr>
        <w:t>We had cash, cash equivalents, restricted cash, and investments totaling $168.0 million as of December 31, 2020. Cash equivalents and investments were invested primarily in money market funds, U.S. treasury, commercial paper, and corporate bonds. Our investment policy is focused on the preservation of capital and supporting our liquidity needs. Under the policy, we invest in highly rated securities, while limiting the amount of credit exposure to any one issuer other than the U.S. government. We do not invest in financial instruments for trading or speculative purposes, nor do we use leveraged financial instruments. We utilize external investment managers who adhere to the guidelines of our investment policy. A hypothetical 10% change in interest rates would not have a material impact on the value of our cash, cash equivalents, or available-for-sale investments.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2020, the Company had $362.5 million or aggregate principal amount of convertible senior notes outstanding, which had an estimated fair value was $527.8 million. The fair value of the convertible senior notes is subject to interest rate risk, market risk, and other factors due to the conversion feature. The fair value of the convertible senior notes will generally increase as our common stock price increases and will generally decrease as our common stock price declines. The interest and market value changes affect the fair value of the convertible senior notes but do not impact our financial position, cash flows, or results of operations due to the fixed nature of the debt obligation. Additionally, we carry the convertible senior notes at face value less unamortized discount on our consolidated balance sheets, and we present the fair value for required disclosure purposes only.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foreign currency risks related to our revenue and operating expenses denominated in currencies other than the U.S. dollar, primarily the British Pound, causing both our revenue and our operating results to be impacted by fluctuations in the exchange rates.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Gains or losses from the revaluation of certain cash balances, accounts receivable balances, and intercompany balances that are denominated in these currencies impact our net income (loss). A hypothetical decrease in all foreign currencies against the US dollar of 10% would not result in a material foreign currency loss on foreign-denominated balances for the three and nine months ended December 31, 2020. As our foreign operations expand, our results may be more impacted by fluctuations in the exchange rates of the currencies in which we do business.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this time, we do not, but we may in the future, enter into financial instruments to hedge our foreign currency exchange risk.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Effectiveness of Disclosure Controls and Procedures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15d-15(e) under the Securities Exchange Act of 1934 (Disclosure Controls) that are designed to ensure that information we are required to disclose in reports filed or submitted under the Securities and Exchange Act of 1934 is accumulated and communicated to management, including our principal executive and principal financial officers, as appropriate, to allow timely decisions regarding required disclosure, and that such information is recorded, processed, summarized and reported within the time periods specified in Securities and Exchange Commission rules and forms.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under the supervision of our Chief Executive Officer and our Chief Financial Officer, we evaluated the effectiveness of our Disclosure Controls. Based on this evaluation, our Chief Executive Officer and our Chief Financial Officer have concluded that our Disclosure Controls were effective as of December 31, 2020.</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including the Chief Executive Officer and Chief Financial Officer, do not expect that our Disclosure Controls or internal control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considered relative to their costs. Because of the inherent limitations in all control systems, no evaluation of controls can provide absolute assurance that all control issues and instances of fraud, if any, have been detected.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third quarter of fiscal year 2021, there were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Note 8, “Legal Proceedings” of Notes to Unaudited Condensed Consolidated Financial Statements under ITEM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of PART I is incorporated by reference in response to this item.</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our Form 10-K for the fiscal year ended March 31, 2020, and on our quarterly report on Form 10-Q for the three months ended June 30, 2020.</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20" w:type="dxa"/>
            <w:vAlign w:val="bottom"/>
            <w:gridSpan w:val="11"/>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29"/>
        </w:trPr>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20" w:type="dxa"/>
            <w:vAlign w:val="bottom"/>
            <w:gridSpan w:val="11"/>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46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720" w:type="dxa"/>
            <w:vAlign w:val="bottom"/>
            <w:tcBorders>
              <w:top w:val="single" w:sz="8" w:color="auto"/>
            </w:tcBorders>
            <w:gridSpan w:val="16"/>
          </w:tcPr>
          <w:p>
            <w:pPr>
              <w:spacing w:after="0" w:line="182"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Restated Certificate of Incorporation of Registrant, dated August 22, 2012 (incorporated by reference to Exhibit 3.1 to the Annual</w:t>
              </w:r>
            </w:hyperlink>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Report on Form 10-K filed May 27, 2013).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20" w:type="dxa"/>
            <w:vAlign w:val="bottom"/>
            <w:gridSpan w:val="16"/>
          </w:tcPr>
          <w:p>
            <w:pPr>
              <w:spacing w:after="0"/>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Amended and Restated By-Laws of 8x8, Inc. (incorporated by reference to Exhibit 3.2 to the Current Report on Form 8-K filed July</w:t>
              </w:r>
            </w:hyperlink>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Borders>
              <w:top w:val="single" w:sz="8" w:color="0000FF"/>
            </w:tcBorders>
            <w:gridSpan w:val="2"/>
          </w:tcPr>
          <w:p>
            <w:pPr>
              <w:spacing w:after="0" w:line="156"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28, 2015).</w:t>
              </w:r>
            </w:hyperlink>
          </w:p>
        </w:tc>
        <w:tc>
          <w:tcPr>
            <w:tcW w:w="170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6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20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20" w:type="dxa"/>
            <w:vAlign w:val="bottom"/>
            <w:gridSpan w:val="16"/>
          </w:tcPr>
          <w:p>
            <w:pPr>
              <w:spacing w:after="0"/>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Indenture, dated as of February 19, 2019, between 8x8, Inc. and Wilmington Trust, National Association, as trustee (including form</w:t>
              </w:r>
            </w:hyperlink>
          </w:p>
        </w:tc>
        <w:tc>
          <w:tcPr>
            <w:tcW w:w="0" w:type="dxa"/>
            <w:vAlign w:val="bottom"/>
          </w:tcPr>
          <w:p>
            <w:pPr>
              <w:spacing w:after="0"/>
              <w:rPr>
                <w:sz w:val="1"/>
                <w:szCs w:val="1"/>
                <w:color w:val="auto"/>
              </w:rPr>
            </w:pPr>
          </w:p>
        </w:tc>
      </w:tr>
      <w:tr>
        <w:trPr>
          <w:trHeight w:val="191"/>
        </w:trPr>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40" w:type="dxa"/>
            <w:vAlign w:val="bottom"/>
            <w:tcBorders>
              <w:top w:val="single" w:sz="8" w:color="0000FF"/>
            </w:tcBorders>
            <w:gridSpan w:val="12"/>
          </w:tcPr>
          <w:p>
            <w:pPr>
              <w:spacing w:after="0" w:line="191" w:lineRule="exact"/>
              <w:rPr>
                <w:rFonts w:ascii="Times New Roman" w:cs="Times New Roman" w:eastAsia="Times New Roman" w:hAnsi="Times New Roman"/>
                <w:sz w:val="18"/>
                <w:szCs w:val="18"/>
                <w:u w:val="single" w:color="auto"/>
                <w:color w:val="0000FF"/>
              </w:rPr>
            </w:pPr>
            <w:hyperlink r:id="rId50">
              <w:r>
                <w:rPr>
                  <w:rFonts w:ascii="Times New Roman" w:cs="Times New Roman" w:eastAsia="Times New Roman" w:hAnsi="Times New Roman"/>
                  <w:sz w:val="18"/>
                  <w:szCs w:val="18"/>
                  <w:u w:val="single" w:color="auto"/>
                  <w:color w:val="0000FF"/>
                </w:rPr>
                <w:t>of Note) (incorporated by reference to Exhibit 4.1 to the Current Report on Form 8-K filed February 19, 2019).</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4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20" w:type="dxa"/>
            <w:vAlign w:val="bottom"/>
            <w:gridSpan w:val="16"/>
          </w:tcPr>
          <w:p>
            <w:pPr>
              <w:spacing w:after="0" w:line="194"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Employment Agreement dated December 9, 2020, between 8x8, Inc. and David Sipes (incorporated by reference to Exhibit 10.1 to</w:t>
              </w:r>
            </w:hyperlink>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the Current Report on Form 8-K filed December 10, 2020)</w:t>
              </w:r>
              <w:r>
                <w:rPr>
                  <w:rFonts w:ascii="Times New Roman" w:cs="Times New Roman" w:eastAsia="Times New Roman" w:hAnsi="Times New Roman"/>
                  <w:sz w:val="18"/>
                  <w:szCs w:val="18"/>
                  <w:u w:val="single" w:color="auto"/>
                  <w:color w:val="0000FF"/>
                </w:rPr>
                <w:t>.*</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20" w:type="dxa"/>
            <w:vAlign w:val="bottom"/>
            <w:gridSpan w:val="16"/>
          </w:tcPr>
          <w:p>
            <w:pPr>
              <w:spacing w:after="0"/>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u w:val="single" w:color="auto"/>
                  <w:color w:val="0000FF"/>
                </w:rPr>
                <w:t>Separation, Transition, and General Release Agreement dated December 9, 2020,</w:t>
              </w:r>
              <w:r>
                <w:rPr>
                  <w:rFonts w:ascii="Times New Roman" w:cs="Times New Roman" w:eastAsia="Times New Roman" w:hAnsi="Times New Roman"/>
                  <w:sz w:val="18"/>
                  <w:szCs w:val="18"/>
                  <w:color w:val="0000FF"/>
                </w:rPr>
                <w:t xml:space="preserve"> between 8x8, Inc. and Vikram Verma</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gridSpan w:val="10"/>
          </w:tcPr>
          <w:p>
            <w:pPr>
              <w:spacing w:after="0" w:line="156"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(incorporated by reference to Exhibit 10.2 to the Current Report on Form 8-K filed December 10, 2020)</w:t>
              </w:r>
              <w:r>
                <w:rPr>
                  <w:rFonts w:ascii="Times New Roman" w:cs="Times New Roman" w:eastAsia="Times New Roman" w:hAnsi="Times New Roman"/>
                  <w:sz w:val="18"/>
                  <w:szCs w:val="18"/>
                  <w:u w:val="single" w:color="auto"/>
                  <w:color w:val="0000FF"/>
                </w:rPr>
                <w:t>.*</w:t>
              </w:r>
            </w:hyperlink>
          </w:p>
        </w:tc>
        <w:tc>
          <w:tcPr>
            <w:tcW w:w="2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80" w:type="dxa"/>
            <w:vAlign w:val="bottom"/>
            <w:tcBorders>
              <w:top w:val="single" w:sz="8" w:color="0000FF"/>
            </w:tcBorders>
            <w:gridSpan w:val="7"/>
          </w:tcPr>
          <w:p>
            <w:pPr>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8x8, Inc. Amended and Restated 1996 Employee Stock Purchase Plan, effective August 10, 2020.*+</w:t>
              </w:r>
            </w:hyperlink>
          </w:p>
        </w:tc>
        <w:tc>
          <w:tcPr>
            <w:tcW w:w="2240" w:type="dxa"/>
            <w:vAlign w:val="bottom"/>
            <w:gridSpan w:val="9"/>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20" w:type="dxa"/>
            <w:vAlign w:val="bottom"/>
            <w:gridSpan w:val="16"/>
          </w:tcPr>
          <w:p>
            <w:pPr>
              <w:spacing w:after="0"/>
              <w:rPr>
                <w:rFonts w:ascii="Times New Roman" w:cs="Times New Roman" w:eastAsia="Times New Roman" w:hAnsi="Times New Roman"/>
                <w:sz w:val="18"/>
                <w:szCs w:val="18"/>
                <w:u w:val="single" w:color="auto"/>
                <w:color w:val="0000FF"/>
              </w:rPr>
            </w:pPr>
            <w:hyperlink w:anchor="page43">
              <w:r>
                <w:rPr>
                  <w:rFonts w:ascii="Times New Roman" w:cs="Times New Roman" w:eastAsia="Times New Roman" w:hAnsi="Times New Roman"/>
                  <w:sz w:val="18"/>
                  <w:szCs w:val="18"/>
                  <w:u w:val="single" w:color="auto"/>
                  <w:color w:val="0000FF"/>
                </w:rPr>
                <w:t>Employment Agreement, dated October 23, 2019, between 8x8, Inc. and Germaine Cota.*+</w:t>
              </w:r>
            </w:hyperlink>
          </w:p>
        </w:tc>
        <w:tc>
          <w:tcPr>
            <w:tcW w:w="0" w:type="dxa"/>
            <w:vAlign w:val="bottom"/>
          </w:tcPr>
          <w:p>
            <w:pPr>
              <w:spacing w:after="0"/>
              <w:rPr>
                <w:sz w:val="1"/>
                <w:szCs w:val="1"/>
                <w:color w:val="auto"/>
              </w:rPr>
            </w:pPr>
          </w:p>
        </w:tc>
      </w:tr>
      <w:tr>
        <w:trPr>
          <w:trHeight w:val="194"/>
        </w:trPr>
        <w:tc>
          <w:tcPr>
            <w:tcW w:w="14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20" w:type="dxa"/>
            <w:vAlign w:val="bottom"/>
            <w:gridSpan w:val="16"/>
          </w:tcPr>
          <w:p>
            <w:pPr>
              <w:spacing w:after="0" w:line="194" w:lineRule="exact"/>
              <w:rPr>
                <w:rFonts w:ascii="Times New Roman" w:cs="Times New Roman" w:eastAsia="Times New Roman" w:hAnsi="Times New Roman"/>
                <w:sz w:val="18"/>
                <w:szCs w:val="18"/>
                <w:color w:val="0000FF"/>
              </w:rPr>
            </w:pPr>
            <w:hyperlink w:anchor="page48">
              <w:r>
                <w:rPr>
                  <w:rFonts w:ascii="Times New Roman" w:cs="Times New Roman" w:eastAsia="Times New Roman" w:hAnsi="Times New Roman"/>
                  <w:sz w:val="18"/>
                  <w:szCs w:val="18"/>
                  <w:color w:val="0000FF"/>
                </w:rPr>
                <w:t>Certification of Chief Executive Officer pursuant to Rules 13a-14 and 15d-14 under the Securities Exchange Act of 1934, as adopted</w:t>
              </w:r>
            </w:hyperlink>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0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w:anchor="page48">
              <w:r>
                <w:rPr>
                  <w:rFonts w:ascii="Times New Roman" w:cs="Times New Roman" w:eastAsia="Times New Roman" w:hAnsi="Times New Roman"/>
                  <w:sz w:val="18"/>
                  <w:szCs w:val="18"/>
                  <w:color w:val="0000FF"/>
                  <w:w w:val="99"/>
                </w:rPr>
                <w:t>pursuant to Section 302 of the Sarbanes-Oxley Act of 2002.</w:t>
              </w:r>
            </w:hyperlink>
          </w:p>
        </w:tc>
        <w:tc>
          <w:tcPr>
            <w:tcW w:w="536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20" w:type="dxa"/>
            <w:vAlign w:val="bottom"/>
            <w:gridSpan w:val="16"/>
          </w:tcPr>
          <w:p>
            <w:pPr>
              <w:spacing w:after="0"/>
              <w:rPr>
                <w:rFonts w:ascii="Times New Roman" w:cs="Times New Roman" w:eastAsia="Times New Roman" w:hAnsi="Times New Roman"/>
                <w:sz w:val="18"/>
                <w:szCs w:val="18"/>
                <w:color w:val="0000FF"/>
              </w:rPr>
            </w:pPr>
            <w:hyperlink w:anchor="page49">
              <w:r>
                <w:rPr>
                  <w:rFonts w:ascii="Times New Roman" w:cs="Times New Roman" w:eastAsia="Times New Roman" w:hAnsi="Times New Roman"/>
                  <w:sz w:val="18"/>
                  <w:szCs w:val="18"/>
                  <w:color w:val="0000FF"/>
                </w:rPr>
                <w:t>Certification of Chief Financial Officer pursuant to Rules 13a-14 and 15d-14 under the Securities Exchange Act of 1934, as adopted</w:t>
              </w:r>
            </w:hyperlink>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0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w:anchor="page49">
              <w:r>
                <w:rPr>
                  <w:rFonts w:ascii="Times New Roman" w:cs="Times New Roman" w:eastAsia="Times New Roman" w:hAnsi="Times New Roman"/>
                  <w:sz w:val="18"/>
                  <w:szCs w:val="18"/>
                  <w:color w:val="0000FF"/>
                  <w:w w:val="99"/>
                </w:rPr>
                <w:t>pursuant to Section 302 of the Sarbanes-Oxley Act of 2002.</w:t>
              </w:r>
            </w:hyperlink>
          </w:p>
        </w:tc>
        <w:tc>
          <w:tcPr>
            <w:tcW w:w="540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20" w:type="dxa"/>
            <w:vAlign w:val="bottom"/>
            <w:gridSpan w:val="16"/>
          </w:tcPr>
          <w:p>
            <w:pPr>
              <w:spacing w:after="0"/>
              <w:rPr>
                <w:rFonts w:ascii="Times New Roman" w:cs="Times New Roman" w:eastAsia="Times New Roman" w:hAnsi="Times New Roman"/>
                <w:sz w:val="18"/>
                <w:szCs w:val="18"/>
                <w:color w:val="0000FF"/>
              </w:rPr>
            </w:pPr>
            <w:hyperlink w:anchor="page50">
              <w:r>
                <w:rPr>
                  <w:rFonts w:ascii="Times New Roman" w:cs="Times New Roman" w:eastAsia="Times New Roman" w:hAnsi="Times New Roman"/>
                  <w:sz w:val="18"/>
                  <w:szCs w:val="18"/>
                  <w:color w:val="0000FF"/>
                </w:rPr>
                <w:t>Certification of Chief Executive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w:anchor="page50">
              <w:r>
                <w:rPr>
                  <w:rFonts w:ascii="Times New Roman" w:cs="Times New Roman" w:eastAsia="Times New Roman" w:hAnsi="Times New Roman"/>
                  <w:sz w:val="18"/>
                  <w:szCs w:val="18"/>
                  <w:color w:val="0000FF"/>
                </w:rPr>
                <w:t>Oxley Act of 2002.</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830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20" w:type="dxa"/>
            <w:vAlign w:val="bottom"/>
            <w:gridSpan w:val="16"/>
          </w:tcPr>
          <w:p>
            <w:pPr>
              <w:spacing w:after="0"/>
              <w:rPr>
                <w:rFonts w:ascii="Times New Roman" w:cs="Times New Roman" w:eastAsia="Times New Roman" w:hAnsi="Times New Roman"/>
                <w:sz w:val="18"/>
                <w:szCs w:val="18"/>
                <w:color w:val="0000FF"/>
              </w:rPr>
            </w:pPr>
            <w:hyperlink w:anchor="page51">
              <w:r>
                <w:rPr>
                  <w:rFonts w:ascii="Times New Roman" w:cs="Times New Roman" w:eastAsia="Times New Roman" w:hAnsi="Times New Roman"/>
                  <w:sz w:val="18"/>
                  <w:szCs w:val="18"/>
                  <w:color w:val="0000FF"/>
                </w:rPr>
                <w:t>Certification of Chief Financial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w:anchor="page51">
              <w:r>
                <w:rPr>
                  <w:rFonts w:ascii="Times New Roman" w:cs="Times New Roman" w:eastAsia="Times New Roman" w:hAnsi="Times New Roman"/>
                  <w:sz w:val="18"/>
                  <w:szCs w:val="18"/>
                  <w:color w:val="0000FF"/>
                </w:rPr>
                <w:t>Oxley Act of 2002.</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1600" w:right="20" w:hanging="998"/>
        <w:spacing w:after="0" w:line="215" w:lineRule="auto"/>
        <w:tabs>
          <w:tab w:leader="none" w:pos="16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the 8x8, Inc. Quarterly Report on Form 10-Q for the quarter ended June 30, 2020, formatted in iXBRL (Inline eXtensible Business Reporting Language):</w:t>
      </w:r>
    </w:p>
    <w:p>
      <w:pPr>
        <w:jc w:val="both"/>
        <w:ind w:left="1600" w:right="20"/>
        <w:spacing w:after="0" w:line="2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Condensed Consolidated Balance Sheets as of June 30, 2020 and March 31, 2020; (ii) Condensed Consolidated Statements of Operations for the three months ended June 30, 2020 and 2019; (iii) Condensed Consolidated Statements of Comprehensive Loss for the three months ended June 30, 2020 and 2019; (iv) Condensed Consolidated Statements of Stockholders' Equity for the three months ended June 30, 2020 and 2019; (v) Condensed Consolidated Statements of Cash Flows for the three months ended June 30, 2020 and 2019; and (vi) notes to unaudited condensed consolidated financial statements.</w:t>
      </w:r>
    </w:p>
    <w:p>
      <w:pPr>
        <w:spacing w:after="0" w:line="2" w:lineRule="exact"/>
        <w:rPr>
          <w:sz w:val="20"/>
          <w:szCs w:val="20"/>
          <w:color w:val="auto"/>
        </w:rPr>
      </w:pPr>
    </w:p>
    <w:p>
      <w:pPr>
        <w:ind w:left="20" w:right="3540" w:firstLine="582"/>
        <w:spacing w:after="0" w:line="443" w:lineRule="auto"/>
        <w:tabs>
          <w:tab w:leader="none" w:pos="158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iXBRL and contained in Exhibit 101. *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30346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ind w:left="360" w:hanging="334"/>
        <w:spacing w:after="0"/>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29, 2021</w:t>
      </w:r>
    </w:p>
    <w:p>
      <w:pPr>
        <w:spacing w:after="0" w:line="19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8X8, INC.</w:t>
      </w:r>
    </w:p>
    <w:p>
      <w:pPr>
        <w:spacing w:after="0" w:line="29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By: /s/ Samuel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17145</wp:posOffset>
            </wp:positionV>
            <wp:extent cx="38658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3865880" cy="8890"/>
                    </a:xfrm>
                    <a:prstGeom prst="rect">
                      <a:avLst/>
                    </a:prstGeom>
                    <a:noFill/>
                  </pic:spPr>
                </pic:pic>
              </a:graphicData>
            </a:graphic>
          </wp:anchor>
        </w:drawing>
      </w:r>
    </w:p>
    <w:p>
      <w:pPr>
        <w:spacing w:after="0" w:line="1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Samuel Wilson</w:t>
      </w:r>
    </w:p>
    <w:p>
      <w:pPr>
        <w:spacing w:after="0" w:line="1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ind w:left="5140"/>
        <w:spacing w:after="0"/>
        <w:rPr>
          <w:sz w:val="20"/>
          <w:szCs w:val="20"/>
          <w:color w:val="auto"/>
        </w:rPr>
      </w:pPr>
      <w:r>
        <w:rPr>
          <w:rFonts w:ascii="Times New Roman" w:cs="Times New Roman" w:eastAsia="Times New Roman" w:hAnsi="Times New Roman"/>
          <w:sz w:val="18"/>
          <w:szCs w:val="18"/>
          <w:i w:val="1"/>
          <w:iCs w:val="1"/>
          <w:color w:val="auto"/>
        </w:rPr>
        <w:t>(Principal Financial, Accounting and Duly Authorized Officer)</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75" w:right="339" w:bottom="1440" w:gutter="0" w:footer="0" w:header="0"/>
        </w:sectPr>
      </w:pPr>
    </w:p>
    <w:bookmarkStart w:id="33" w:name="page34"/>
    <w:bookmarkEnd w:id="33"/>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8X8, INC.</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1996 EMPLOYEE STOCK PURCHASE PLAN</w:t>
      </w:r>
    </w:p>
    <w:p>
      <w:pPr>
        <w:spacing w:after="0" w:line="15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 following constitute the provisions of the 1996 Employee Stock Purchase Plan of 8x8, Inc., as restated by the Board on January 28, 2020 (the “</w:t>
      </w:r>
      <w:r>
        <w:rPr>
          <w:rFonts w:ascii="Times New Roman" w:cs="Times New Roman" w:eastAsia="Times New Roman" w:hAnsi="Times New Roman"/>
          <w:sz w:val="20"/>
          <w:szCs w:val="20"/>
          <w:u w:val="single" w:color="auto"/>
          <w:color w:val="auto"/>
        </w:rPr>
        <w:t>Restatement Date</w:t>
      </w:r>
      <w:r>
        <w:rPr>
          <w:rFonts w:ascii="Times New Roman" w:cs="Times New Roman" w:eastAsia="Times New Roman" w:hAnsi="Times New Roman"/>
          <w:sz w:val="20"/>
          <w:szCs w:val="20"/>
          <w:color w:val="auto"/>
        </w:rPr>
        <w:t>”), effective for Purchase Periods beginning on and after August 10, 2020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and subsequently amended by the Board on May 4, 2020, and approved by the stockholders on August 10, 2020.</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For the avoidance of doubt, the 1996 Employee Stock Purchase Plan of 8x8, Inc., as amended and restated effective May 23, 2017 shall continue in full force and effect as it applies to the Purchase Period that began on February 1, 2020.</w:t>
      </w:r>
    </w:p>
    <w:p>
      <w:pPr>
        <w:spacing w:after="0" w:line="105" w:lineRule="exact"/>
        <w:rPr>
          <w:sz w:val="20"/>
          <w:szCs w:val="20"/>
          <w:color w:val="auto"/>
        </w:rPr>
      </w:pPr>
    </w:p>
    <w:p>
      <w:pPr>
        <w:jc w:val="both"/>
        <w:ind w:left="580" w:hanging="572"/>
        <w:spacing w:after="0" w:line="234" w:lineRule="auto"/>
        <w:tabs>
          <w:tab w:leader="none" w:pos="5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Purpose</w:t>
      </w:r>
      <w:r>
        <w:rPr>
          <w:rFonts w:ascii="Times New Roman" w:cs="Times New Roman" w:eastAsia="Times New Roman" w:hAnsi="Times New Roman"/>
          <w:sz w:val="20"/>
          <w:szCs w:val="20"/>
          <w:color w:val="auto"/>
        </w:rPr>
        <w:t>. The purpose of the Plan is to provide employees of the Company and its Designated Subsidiaries with an opportunity to purchase Common Stock of the Company through accumulated payroll deductions. Except as otherwise provided in Section 13(b) of the Plan, it is the intention of the Company to have the Offerings under the Plan qualify as an “Employee Stock Purchase Plan” under Section 423 of the Internal Revenue Code of 1986, as amended (the “</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The provisions of the Plan, accordingly, shall be construed so as to extend and limit participation in a manner consistent with the requirements of Section 423 of the Code.</w:t>
      </w:r>
    </w:p>
    <w:p>
      <w:pPr>
        <w:spacing w:after="0" w:line="120" w:lineRule="exact"/>
        <w:rPr>
          <w:rFonts w:ascii="Times New Roman" w:cs="Times New Roman" w:eastAsia="Times New Roman" w:hAnsi="Times New Roman"/>
          <w:sz w:val="20"/>
          <w:szCs w:val="20"/>
          <w:color w:val="auto"/>
        </w:rPr>
      </w:pPr>
    </w:p>
    <w:p>
      <w:pPr>
        <w:ind w:left="580" w:hanging="572"/>
        <w:spacing w:after="0"/>
        <w:tabs>
          <w:tab w:leader="none" w:pos="5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w:t>
      </w:r>
    </w:p>
    <w:p>
      <w:pPr>
        <w:spacing w:after="0" w:line="148" w:lineRule="exact"/>
        <w:rPr>
          <w:rFonts w:ascii="Times New Roman" w:cs="Times New Roman" w:eastAsia="Times New Roman" w:hAnsi="Times New Roman"/>
          <w:sz w:val="20"/>
          <w:szCs w:val="20"/>
          <w:color w:val="auto"/>
        </w:rPr>
      </w:pPr>
    </w:p>
    <w:p>
      <w:pPr>
        <w:ind w:left="1040" w:hanging="465"/>
        <w:spacing w:after="0"/>
        <w:tabs>
          <w:tab w:leader="none" w:pos="104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Administrator</w:t>
      </w:r>
      <w:r>
        <w:rPr>
          <w:rFonts w:ascii="Times New Roman" w:cs="Times New Roman" w:eastAsia="Times New Roman" w:hAnsi="Times New Roman"/>
          <w:sz w:val="20"/>
          <w:szCs w:val="20"/>
          <w:color w:val="auto"/>
        </w:rPr>
        <w:t>” shall mean the Board or a committee of members of the Board appointed by the Board to administer the Plan.</w:t>
      </w:r>
    </w:p>
    <w:p>
      <w:pPr>
        <w:spacing w:after="0" w:line="148" w:lineRule="exact"/>
        <w:rPr>
          <w:rFonts w:ascii="Times New Roman" w:cs="Times New Roman" w:eastAsia="Times New Roman" w:hAnsi="Times New Roman"/>
          <w:sz w:val="20"/>
          <w:szCs w:val="20"/>
          <w:color w:val="auto"/>
        </w:rPr>
      </w:pPr>
    </w:p>
    <w:p>
      <w:pPr>
        <w:ind w:left="1000" w:hanging="425"/>
        <w:spacing w:after="0"/>
        <w:tabs>
          <w:tab w:leader="none" w:pos="100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shall mean the Board of Directors of the Company.</w:t>
      </w:r>
    </w:p>
    <w:p>
      <w:pPr>
        <w:spacing w:after="0" w:line="148" w:lineRule="exact"/>
        <w:rPr>
          <w:rFonts w:ascii="Times New Roman" w:cs="Times New Roman" w:eastAsia="Times New Roman" w:hAnsi="Times New Roman"/>
          <w:sz w:val="20"/>
          <w:szCs w:val="20"/>
          <w:color w:val="auto"/>
        </w:rPr>
      </w:pPr>
    </w:p>
    <w:p>
      <w:pPr>
        <w:ind w:left="1000" w:hanging="425"/>
        <w:spacing w:after="0"/>
        <w:tabs>
          <w:tab w:leader="none" w:pos="100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shall mean the common stock of the Company.</w:t>
      </w:r>
    </w:p>
    <w:p>
      <w:pPr>
        <w:spacing w:after="0" w:line="148" w:lineRule="exact"/>
        <w:rPr>
          <w:rFonts w:ascii="Times New Roman" w:cs="Times New Roman" w:eastAsia="Times New Roman" w:hAnsi="Times New Roman"/>
          <w:sz w:val="20"/>
          <w:szCs w:val="20"/>
          <w:color w:val="auto"/>
        </w:rPr>
      </w:pPr>
    </w:p>
    <w:p>
      <w:pPr>
        <w:ind w:left="1000" w:hanging="425"/>
        <w:spacing w:after="0"/>
        <w:tabs>
          <w:tab w:leader="none" w:pos="100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shall mean 8x8, Inc.</w:t>
      </w:r>
    </w:p>
    <w:p>
      <w:pPr>
        <w:spacing w:after="0" w:line="148" w:lineRule="exact"/>
        <w:rPr>
          <w:rFonts w:ascii="Times New Roman" w:cs="Times New Roman" w:eastAsia="Times New Roman" w:hAnsi="Times New Roman"/>
          <w:sz w:val="20"/>
          <w:szCs w:val="20"/>
          <w:color w:val="auto"/>
        </w:rPr>
      </w:pPr>
    </w:p>
    <w:p>
      <w:pPr>
        <w:jc w:val="both"/>
        <w:ind w:firstLine="575"/>
        <w:spacing w:after="0"/>
        <w:tabs>
          <w:tab w:leader="none" w:pos="998"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Compensation</w:t>
      </w:r>
      <w:r>
        <w:rPr>
          <w:rFonts w:ascii="Times New Roman" w:cs="Times New Roman" w:eastAsia="Times New Roman" w:hAnsi="Times New Roman"/>
          <w:sz w:val="20"/>
          <w:szCs w:val="20"/>
          <w:color w:val="auto"/>
        </w:rPr>
        <w:t>” shall mean all base straight time gross earnings, commissions and standard incentive cash bonus compensation, exclusive of payments for overtime, shift premium, incentive payments, new hire bonuses, retention bonuses, and non-standard bonuses, and other compensation.</w:t>
      </w:r>
    </w:p>
    <w:p>
      <w:pPr>
        <w:spacing w:after="0" w:line="120" w:lineRule="exact"/>
        <w:rPr>
          <w:rFonts w:ascii="Times New Roman" w:cs="Times New Roman" w:eastAsia="Times New Roman" w:hAnsi="Times New Roman"/>
          <w:sz w:val="20"/>
          <w:szCs w:val="20"/>
          <w:color w:val="auto"/>
        </w:rPr>
      </w:pPr>
    </w:p>
    <w:p>
      <w:pPr>
        <w:ind w:right="20" w:firstLine="575"/>
        <w:spacing w:after="0" w:line="255" w:lineRule="auto"/>
        <w:tabs>
          <w:tab w:leader="none" w:pos="976"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Current Purchase Period</w:t>
      </w:r>
      <w:r>
        <w:rPr>
          <w:rFonts w:ascii="Times New Roman" w:cs="Times New Roman" w:eastAsia="Times New Roman" w:hAnsi="Times New Roman"/>
          <w:sz w:val="20"/>
          <w:szCs w:val="20"/>
          <w:color w:val="auto"/>
        </w:rPr>
        <w:t>” shall mean any Purchase Period which is scheduled to end in the current calendar year, as determined at the relevant time.</w:t>
      </w:r>
    </w:p>
    <w:p>
      <w:pPr>
        <w:spacing w:after="0" w:line="105" w:lineRule="exact"/>
        <w:rPr>
          <w:rFonts w:ascii="Times New Roman" w:cs="Times New Roman" w:eastAsia="Times New Roman" w:hAnsi="Times New Roman"/>
          <w:sz w:val="20"/>
          <w:szCs w:val="20"/>
          <w:color w:val="auto"/>
        </w:rPr>
      </w:pPr>
    </w:p>
    <w:p>
      <w:pPr>
        <w:ind w:right="20" w:firstLine="575"/>
        <w:spacing w:after="0" w:line="255" w:lineRule="auto"/>
        <w:tabs>
          <w:tab w:leader="none" w:pos="1009"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Subsidiaries</w:t>
      </w:r>
      <w:r>
        <w:rPr>
          <w:rFonts w:ascii="Times New Roman" w:cs="Times New Roman" w:eastAsia="Times New Roman" w:hAnsi="Times New Roman"/>
          <w:sz w:val="20"/>
          <w:szCs w:val="20"/>
          <w:color w:val="auto"/>
        </w:rPr>
        <w:t>” shall mean the Subsidiaries which have been designated by the Administrator from time to time in its sole discretion as eligible to participate in Offerings under the Plan.</w:t>
      </w:r>
    </w:p>
    <w:p>
      <w:pPr>
        <w:spacing w:after="0" w:line="105" w:lineRule="exact"/>
        <w:rPr>
          <w:rFonts w:ascii="Times New Roman" w:cs="Times New Roman" w:eastAsia="Times New Roman" w:hAnsi="Times New Roman"/>
          <w:sz w:val="20"/>
          <w:szCs w:val="20"/>
          <w:color w:val="auto"/>
        </w:rPr>
      </w:pPr>
    </w:p>
    <w:p>
      <w:pPr>
        <w:jc w:val="both"/>
        <w:ind w:firstLine="575"/>
        <w:spacing w:after="0" w:line="232" w:lineRule="auto"/>
        <w:tabs>
          <w:tab w:leader="none" w:pos="1036"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Employee</w:t>
      </w:r>
      <w:r>
        <w:rPr>
          <w:rFonts w:ascii="Times New Roman" w:cs="Times New Roman" w:eastAsia="Times New Roman" w:hAnsi="Times New Roman"/>
          <w:sz w:val="20"/>
          <w:szCs w:val="20"/>
          <w:color w:val="auto"/>
        </w:rPr>
        <w:t>” shall mean any individual who is an employee of the Company or a Designated Subsidiary, as applicable, for tax purposes whose customary employment with the Company or applicable Designated Subsidiary is at least twenty (20) hours per week and more than five (5) months in any calendar year. For purposes of the Plan, the employment relationship shall be treated as continuing intact while the individual is on sick leave or other leave of absence approved by the Company (or applicable Designated Subsidiary). Where the period of leave exceeds ninety (90) days and the individual's right to reemployment is not guaranteed either by statute or by contract, the employment relationship shall be deemed to have terminated on the ninety-first (91st) day of such leave.</w:t>
      </w:r>
    </w:p>
    <w:p>
      <w:pPr>
        <w:spacing w:after="0" w:line="124" w:lineRule="exact"/>
        <w:rPr>
          <w:rFonts w:ascii="Times New Roman" w:cs="Times New Roman" w:eastAsia="Times New Roman" w:hAnsi="Times New Roman"/>
          <w:sz w:val="20"/>
          <w:szCs w:val="20"/>
          <w:color w:val="auto"/>
        </w:rPr>
      </w:pPr>
    </w:p>
    <w:p>
      <w:pPr>
        <w:ind w:left="960" w:hanging="385"/>
        <w:spacing w:after="0"/>
        <w:tabs>
          <w:tab w:leader="none" w:pos="96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Enrollment Date</w:t>
      </w:r>
      <w:r>
        <w:rPr>
          <w:rFonts w:ascii="Times New Roman" w:cs="Times New Roman" w:eastAsia="Times New Roman" w:hAnsi="Times New Roman"/>
          <w:sz w:val="20"/>
          <w:szCs w:val="20"/>
          <w:color w:val="auto"/>
        </w:rPr>
        <w:t>” shall mean the first day of each Offering Period.</w:t>
      </w:r>
    </w:p>
    <w:p>
      <w:pPr>
        <w:spacing w:after="0" w:line="148" w:lineRule="exact"/>
        <w:rPr>
          <w:rFonts w:ascii="Times New Roman" w:cs="Times New Roman" w:eastAsia="Times New Roman" w:hAnsi="Times New Roman"/>
          <w:sz w:val="20"/>
          <w:szCs w:val="20"/>
          <w:color w:val="auto"/>
        </w:rPr>
      </w:pPr>
    </w:p>
    <w:p>
      <w:pPr>
        <w:ind w:left="960" w:hanging="385"/>
        <w:spacing w:after="0"/>
        <w:tabs>
          <w:tab w:leader="none" w:pos="96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Exercise Date</w:t>
      </w:r>
      <w:r>
        <w:rPr>
          <w:rFonts w:ascii="Times New Roman" w:cs="Times New Roman" w:eastAsia="Times New Roman" w:hAnsi="Times New Roman"/>
          <w:sz w:val="20"/>
          <w:szCs w:val="20"/>
          <w:color w:val="auto"/>
        </w:rPr>
        <w:t>” shall mean the last day of each Purchase Period.</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35" w:lineRule="exact"/>
        <w:rPr>
          <w:sz w:val="20"/>
          <w:szCs w:val="20"/>
          <w:color w:val="auto"/>
        </w:rPr>
      </w:pPr>
    </w:p>
    <w:p>
      <w:pPr>
        <w:ind w:left="425" w:hanging="425"/>
        <w:spacing w:after="0"/>
        <w:tabs>
          <w:tab w:leader="none" w:pos="425"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Fair Market Value</w:t>
      </w:r>
      <w:r>
        <w:rPr>
          <w:rFonts w:ascii="Times New Roman" w:cs="Times New Roman" w:eastAsia="Times New Roman" w:hAnsi="Times New Roman"/>
          <w:sz w:val="20"/>
          <w:szCs w:val="20"/>
          <w:color w:val="auto"/>
        </w:rPr>
        <w:t>” shall mean, as of any date, the value of Common Stock determined as follows:</w:t>
      </w:r>
    </w:p>
    <w:p>
      <w:pPr>
        <w:spacing w:after="0" w:line="148" w:lineRule="exact"/>
        <w:rPr>
          <w:rFonts w:ascii="Times New Roman" w:cs="Times New Roman" w:eastAsia="Times New Roman" w:hAnsi="Times New Roman"/>
          <w:sz w:val="20"/>
          <w:szCs w:val="20"/>
          <w:color w:val="auto"/>
        </w:rPr>
      </w:pPr>
    </w:p>
    <w:p>
      <w:pPr>
        <w:jc w:val="both"/>
        <w:ind w:left="725" w:hanging="343"/>
        <w:spacing w:after="0" w:line="234" w:lineRule="auto"/>
        <w:tabs>
          <w:tab w:leader="none" w:pos="725"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Common Stock is listed on any established stock exchange or a national market system, including without limitation the Nasdaq Global Market or The Nasdaq Capital Market of The Nasdaq Stock Market, its Fair Market Value shall be the closing sales price for such stock (or the closing bid, if no sales were reported) as quoted on such exchange or system for the last market trading day prior to the time of determination, as reported in </w:t>
      </w:r>
      <w:r>
        <w:rPr>
          <w:rFonts w:ascii="Times New Roman" w:cs="Times New Roman" w:eastAsia="Times New Roman" w:hAnsi="Times New Roman"/>
          <w:sz w:val="20"/>
          <w:szCs w:val="20"/>
          <w:i w:val="1"/>
          <w:iCs w:val="1"/>
          <w:color w:val="auto"/>
        </w:rPr>
        <w:t>The Wall Street Journal</w:t>
      </w:r>
      <w:r>
        <w:rPr>
          <w:rFonts w:ascii="Times New Roman" w:cs="Times New Roman" w:eastAsia="Times New Roman" w:hAnsi="Times New Roman"/>
          <w:sz w:val="20"/>
          <w:szCs w:val="20"/>
          <w:color w:val="auto"/>
        </w:rPr>
        <w:t xml:space="preserve"> or such other source as the Administrator deems reliable, or;</w:t>
      </w:r>
    </w:p>
    <w:p>
      <w:pPr>
        <w:spacing w:after="0" w:line="120" w:lineRule="exact"/>
        <w:rPr>
          <w:rFonts w:ascii="Times New Roman" w:cs="Times New Roman" w:eastAsia="Times New Roman" w:hAnsi="Times New Roman"/>
          <w:sz w:val="20"/>
          <w:szCs w:val="20"/>
          <w:color w:val="auto"/>
        </w:rPr>
      </w:pPr>
    </w:p>
    <w:p>
      <w:pPr>
        <w:jc w:val="both"/>
        <w:ind w:left="725" w:hanging="398"/>
        <w:spacing w:after="0"/>
        <w:tabs>
          <w:tab w:leader="none" w:pos="725"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Common Stock is regularly quoted by a recognized securities dealer but selling prices are not reported, its Fair Market Value shall be the mean of the closing bid and asked prices for the Common Stock on the date of such determination, as reported in The Wall Street Journal or such other source as the Administrator deems reliable, or;</w:t>
      </w:r>
    </w:p>
    <w:p>
      <w:pPr>
        <w:spacing w:after="0" w:line="120" w:lineRule="exact"/>
        <w:rPr>
          <w:rFonts w:ascii="Times New Roman" w:cs="Times New Roman" w:eastAsia="Times New Roman" w:hAnsi="Times New Roman"/>
          <w:sz w:val="20"/>
          <w:szCs w:val="20"/>
          <w:color w:val="auto"/>
        </w:rPr>
      </w:pPr>
    </w:p>
    <w:p>
      <w:pPr>
        <w:ind w:left="725" w:right="20" w:hanging="453"/>
        <w:spacing w:after="0" w:line="255" w:lineRule="auto"/>
        <w:tabs>
          <w:tab w:leader="none" w:pos="725"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absence of an established market for the Common Stock, the Fair Market Value thereof shall be determined in good faith by the Administrator.</w:t>
      </w:r>
    </w:p>
    <w:p>
      <w:pPr>
        <w:spacing w:after="0" w:line="105" w:lineRule="exact"/>
        <w:rPr>
          <w:rFonts w:ascii="Times New Roman" w:cs="Times New Roman" w:eastAsia="Times New Roman" w:hAnsi="Times New Roman"/>
          <w:sz w:val="20"/>
          <w:szCs w:val="20"/>
          <w:color w:val="auto"/>
        </w:rPr>
      </w:pPr>
    </w:p>
    <w:p>
      <w:pPr>
        <w:jc w:val="both"/>
        <w:ind w:left="-495" w:firstLine="495"/>
        <w:spacing w:after="0"/>
        <w:tabs>
          <w:tab w:leader="none" w:pos="484"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 Exercise Date</w:t>
      </w:r>
      <w:r>
        <w:rPr>
          <w:rFonts w:ascii="Times New Roman" w:cs="Times New Roman" w:eastAsia="Times New Roman" w:hAnsi="Times New Roman"/>
          <w:sz w:val="20"/>
          <w:szCs w:val="20"/>
          <w:color w:val="auto"/>
        </w:rPr>
        <w:t>” shall mean the New Exercise Date set for Purchase Periods in the event of a proposed sale of all or substantially all of the assets of the Company, or the merger of the Company with or into another corporation in accordance with Section 18(c).</w:t>
      </w:r>
    </w:p>
    <w:p>
      <w:pPr>
        <w:spacing w:after="0" w:line="120" w:lineRule="exact"/>
        <w:rPr>
          <w:rFonts w:ascii="Times New Roman" w:cs="Times New Roman" w:eastAsia="Times New Roman" w:hAnsi="Times New Roman"/>
          <w:sz w:val="20"/>
          <w:szCs w:val="20"/>
          <w:color w:val="auto"/>
        </w:rPr>
      </w:pPr>
    </w:p>
    <w:p>
      <w:pPr>
        <w:ind w:left="-495" w:firstLine="495"/>
        <w:spacing w:after="0" w:line="255" w:lineRule="auto"/>
        <w:tabs>
          <w:tab w:leader="none" w:pos="502"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Offering</w:t>
      </w:r>
      <w:r>
        <w:rPr>
          <w:rFonts w:ascii="Times New Roman" w:cs="Times New Roman" w:eastAsia="Times New Roman" w:hAnsi="Times New Roman"/>
          <w:sz w:val="20"/>
          <w:szCs w:val="20"/>
          <w:color w:val="auto"/>
        </w:rPr>
        <w:t>” shall mean the grant of options to purchase shares of Common Stock under the Plan to Employees of the Company and/or one or more Designated Subsidiaries.</w:t>
      </w:r>
    </w:p>
    <w:p>
      <w:pPr>
        <w:spacing w:after="0" w:line="105" w:lineRule="exact"/>
        <w:rPr>
          <w:rFonts w:ascii="Times New Roman" w:cs="Times New Roman" w:eastAsia="Times New Roman" w:hAnsi="Times New Roman"/>
          <w:sz w:val="20"/>
          <w:szCs w:val="20"/>
          <w:color w:val="auto"/>
        </w:rPr>
      </w:pPr>
    </w:p>
    <w:p>
      <w:pPr>
        <w:jc w:val="both"/>
        <w:ind w:left="-495" w:firstLine="495"/>
        <w:spacing w:after="0" w:line="229" w:lineRule="auto"/>
        <w:tabs>
          <w:tab w:leader="none" w:pos="447"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Offering Periods</w:t>
      </w:r>
      <w:r>
        <w:rPr>
          <w:rFonts w:ascii="Times New Roman" w:cs="Times New Roman" w:eastAsia="Times New Roman" w:hAnsi="Times New Roman"/>
          <w:sz w:val="20"/>
          <w:szCs w:val="20"/>
          <w:color w:val="auto"/>
        </w:rPr>
        <w:t>” shall mean the periods of approximately twelve (12) months during which an option granted pursuant to an Offering may be exercised, commencing on the first Trading Day on or after February 10 and August 10 of each year and terminating on the last Trading Day in the periods ending twelve (12) months later. The duration and timing of Offering Periods may be changed pursuant to Section 4 of this Plan; provided, however, that the duration of an Offering Period shall not exceed twenty-seven (27) months. If an Offering Period is intended to include multiple Purchase Periods but the Fair Market Value of the Common Stock on an Exercise Date during such an Offering Period is lower than the Fair Market Value of the Common Stock on the Enrollment Date of such Offering, then that Offering Period shall automatically terminate after the purchases for such Exercise Date are completed and the participants in such Offering Period shall automatically be enrolled in the immediately following Offering as of the Enrollment Date thereof. Notwithstanding the foregoing, the first Offering Period that commences during the time period between the Restatement Date and the Effective Date (the “</w:t>
      </w:r>
      <w:r>
        <w:rPr>
          <w:rFonts w:ascii="Times New Roman" w:cs="Times New Roman" w:eastAsia="Times New Roman" w:hAnsi="Times New Roman"/>
          <w:sz w:val="20"/>
          <w:szCs w:val="20"/>
          <w:u w:val="single" w:color="auto"/>
          <w:color w:val="auto"/>
        </w:rPr>
        <w:t>Transition Period</w:t>
      </w:r>
      <w:r>
        <w:rPr>
          <w:rFonts w:ascii="Times New Roman" w:cs="Times New Roman" w:eastAsia="Times New Roman" w:hAnsi="Times New Roman"/>
          <w:sz w:val="20"/>
          <w:szCs w:val="20"/>
          <w:color w:val="auto"/>
        </w:rPr>
        <w:t>”) will commence on the first Trading Day on or after February 1.</w:t>
      </w:r>
    </w:p>
    <w:p>
      <w:pPr>
        <w:spacing w:after="0" w:line="127" w:lineRule="exact"/>
        <w:rPr>
          <w:rFonts w:ascii="Times New Roman" w:cs="Times New Roman" w:eastAsia="Times New Roman" w:hAnsi="Times New Roman"/>
          <w:sz w:val="20"/>
          <w:szCs w:val="20"/>
          <w:color w:val="auto"/>
        </w:rPr>
      </w:pPr>
    </w:p>
    <w:p>
      <w:pPr>
        <w:ind w:left="425" w:hanging="425"/>
        <w:spacing w:after="0"/>
        <w:tabs>
          <w:tab w:leader="none" w:pos="425"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shall mean this Amended and Restated 1996 Employee Stock Purchase Plan.</w:t>
      </w:r>
    </w:p>
    <w:p>
      <w:pPr>
        <w:spacing w:after="0" w:line="148" w:lineRule="exact"/>
        <w:rPr>
          <w:rFonts w:ascii="Times New Roman" w:cs="Times New Roman" w:eastAsia="Times New Roman" w:hAnsi="Times New Roman"/>
          <w:sz w:val="20"/>
          <w:szCs w:val="20"/>
          <w:color w:val="auto"/>
        </w:rPr>
      </w:pPr>
    </w:p>
    <w:p>
      <w:pPr>
        <w:ind w:left="-495" w:firstLine="495"/>
        <w:spacing w:after="0" w:line="255" w:lineRule="auto"/>
        <w:tabs>
          <w:tab w:leader="none" w:pos="4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Purchase Price</w:t>
      </w:r>
      <w:r>
        <w:rPr>
          <w:rFonts w:ascii="Times New Roman" w:cs="Times New Roman" w:eastAsia="Times New Roman" w:hAnsi="Times New Roman"/>
          <w:sz w:val="20"/>
          <w:szCs w:val="20"/>
          <w:color w:val="auto"/>
        </w:rPr>
        <w:t>” shall mean an amount equal to eighty-five percent (85%) of the Fair Market Value of a share of Common Stock on the Enrollment Date or on the Exercise Date, whichever is lower.</w:t>
      </w:r>
    </w:p>
    <w:p>
      <w:pPr>
        <w:spacing w:after="0" w:line="105" w:lineRule="exact"/>
        <w:rPr>
          <w:rFonts w:ascii="Times New Roman" w:cs="Times New Roman" w:eastAsia="Times New Roman" w:hAnsi="Times New Roman"/>
          <w:sz w:val="20"/>
          <w:szCs w:val="20"/>
          <w:color w:val="auto"/>
        </w:rPr>
      </w:pPr>
    </w:p>
    <w:p>
      <w:pPr>
        <w:jc w:val="both"/>
        <w:ind w:left="-495" w:firstLine="495"/>
        <w:spacing w:after="0" w:line="236" w:lineRule="auto"/>
        <w:tabs>
          <w:tab w:leader="none" w:pos="433"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Purchase Period</w:t>
      </w:r>
      <w:r>
        <w:rPr>
          <w:rFonts w:ascii="Times New Roman" w:cs="Times New Roman" w:eastAsia="Times New Roman" w:hAnsi="Times New Roman"/>
          <w:sz w:val="20"/>
          <w:szCs w:val="20"/>
          <w:color w:val="auto"/>
        </w:rPr>
        <w:t>” shall mean the approximately six (6) month period commencing after one Exercise Date and ending with the next Exercise Date, except that the first Purchase Period of any Offering Period shall commence on the Enrollment Date and end with the next Exercise Date; however the Purchase Period during the Transition Period shall end on July 31, 2020 and the next Purchase Period of the same Offering Period or any new Offering Period shall commence on August 10, 2020.</w:t>
      </w:r>
    </w:p>
    <w:p>
      <w:pPr>
        <w:spacing w:after="0" w:line="121" w:lineRule="exact"/>
        <w:rPr>
          <w:rFonts w:ascii="Times New Roman" w:cs="Times New Roman" w:eastAsia="Times New Roman" w:hAnsi="Times New Roman"/>
          <w:sz w:val="20"/>
          <w:szCs w:val="20"/>
          <w:color w:val="auto"/>
        </w:rPr>
      </w:pPr>
    </w:p>
    <w:p>
      <w:pPr>
        <w:jc w:val="both"/>
        <w:ind w:left="-495" w:firstLine="495"/>
        <w:spacing w:after="0"/>
        <w:tabs>
          <w:tab w:leader="none" w:pos="414"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Reserves</w:t>
      </w:r>
      <w:r>
        <w:rPr>
          <w:rFonts w:ascii="Times New Roman" w:cs="Times New Roman" w:eastAsia="Times New Roman" w:hAnsi="Times New Roman"/>
          <w:sz w:val="20"/>
          <w:szCs w:val="20"/>
          <w:color w:val="auto"/>
        </w:rPr>
        <w:t>” shall mean the number of shares of Common Stock covered by each option under the Plan which have not yet been exercised and the number of shares of Common Stock which have been authorized for issuance under the Plan but not yet placed under option.</w:t>
      </w:r>
    </w:p>
    <w:p>
      <w:pPr>
        <w:sectPr>
          <w:pgSz w:w="11900" w:h="16838" w:orient="portrait"/>
          <w:cols w:equalWidth="0" w:num="1">
            <w:col w:w="10665"/>
          </w:cols>
          <w:pgMar w:left="895" w:top="1440" w:right="339" w:bottom="1440" w:gutter="0" w:footer="0" w:header="0"/>
        </w:sectPr>
      </w:pPr>
    </w:p>
    <w:bookmarkStart w:id="35" w:name="page36"/>
    <w:bookmarkEnd w:id="35"/>
    <w:p>
      <w:pPr>
        <w:spacing w:after="0" w:line="135" w:lineRule="exact"/>
        <w:rPr>
          <w:sz w:val="20"/>
          <w:szCs w:val="20"/>
          <w:color w:val="auto"/>
        </w:rPr>
      </w:pPr>
    </w:p>
    <w:p>
      <w:pPr>
        <w:jc w:val="both"/>
        <w:ind w:left="72" w:firstLine="495"/>
        <w:spacing w:after="0" w:line="234" w:lineRule="auto"/>
        <w:tabs>
          <w:tab w:leader="none" w:pos="1005"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shall mean a corporation, domestic or foreign, of which not less than fifty percent (50%) of the voting shares are held by the Company or a Subsidiary, whether or not such corporation now exists or is hereafter organized or acquired by the Company or a Subsidiary. For purposes of any Offering pursuant to Section 13(b) that is not intended to qualify under Section 423 of the Code, “Subsidiary” shall also include any entity (including any corporation, company or other vehicle organized under local law) of which at least fifty percent (50%) of the voting power is controlled by the Company or a Subsidiary.</w:t>
      </w:r>
    </w:p>
    <w:p>
      <w:pPr>
        <w:spacing w:after="0" w:line="120" w:lineRule="exact"/>
        <w:rPr>
          <w:rFonts w:ascii="Times New Roman" w:cs="Times New Roman" w:eastAsia="Times New Roman" w:hAnsi="Times New Roman"/>
          <w:sz w:val="20"/>
          <w:szCs w:val="20"/>
          <w:color w:val="auto"/>
        </w:rPr>
      </w:pPr>
    </w:p>
    <w:p>
      <w:pPr>
        <w:ind w:left="952" w:hanging="385"/>
        <w:spacing w:after="0"/>
        <w:tabs>
          <w:tab w:leader="none" w:pos="952"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Trading Day</w:t>
      </w:r>
      <w:r>
        <w:rPr>
          <w:rFonts w:ascii="Times New Roman" w:cs="Times New Roman" w:eastAsia="Times New Roman" w:hAnsi="Times New Roman"/>
          <w:sz w:val="20"/>
          <w:szCs w:val="20"/>
          <w:color w:val="auto"/>
        </w:rPr>
        <w:t>” shall mean a day on which national stock exchanges are open for trading.</w:t>
      </w:r>
    </w:p>
    <w:p>
      <w:pPr>
        <w:spacing w:after="0" w:line="148" w:lineRule="exact"/>
        <w:rPr>
          <w:rFonts w:ascii="Times New Roman" w:cs="Times New Roman" w:eastAsia="Times New Roman" w:hAnsi="Times New Roman"/>
          <w:sz w:val="20"/>
          <w:szCs w:val="20"/>
          <w:color w:val="auto"/>
        </w:rPr>
      </w:pPr>
    </w:p>
    <w:p>
      <w:pPr>
        <w:ind w:left="572" w:hanging="572"/>
        <w:spacing w:after="0"/>
        <w:tabs>
          <w:tab w:leader="none" w:pos="572"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Eligibility</w:t>
      </w:r>
      <w:r>
        <w:rPr>
          <w:rFonts w:ascii="Times New Roman" w:cs="Times New Roman" w:eastAsia="Times New Roman" w:hAnsi="Times New Roman"/>
          <w:sz w:val="20"/>
          <w:szCs w:val="20"/>
          <w:color w:val="auto"/>
        </w:rPr>
        <w:t>.</w:t>
      </w:r>
    </w:p>
    <w:p>
      <w:pPr>
        <w:spacing w:after="0" w:line="148" w:lineRule="exact"/>
        <w:rPr>
          <w:rFonts w:ascii="Times New Roman" w:cs="Times New Roman" w:eastAsia="Times New Roman" w:hAnsi="Times New Roman"/>
          <w:sz w:val="20"/>
          <w:szCs w:val="20"/>
          <w:color w:val="auto"/>
        </w:rPr>
      </w:pPr>
    </w:p>
    <w:p>
      <w:pPr>
        <w:jc w:val="both"/>
        <w:ind w:left="-8" w:firstLine="575"/>
        <w:spacing w:after="0"/>
        <w:tabs>
          <w:tab w:leader="none" w:pos="1009"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Employee (as defined in Section 2(h)) who, as of the Enrollment Date for a given Offering, is employed by the Company (or a Designated Subsidiary approved by the Administrator to participate in such Offering) shall be eligible to participate in the Plan for that Offering.</w:t>
      </w:r>
    </w:p>
    <w:p>
      <w:pPr>
        <w:spacing w:after="0" w:line="120" w:lineRule="exact"/>
        <w:rPr>
          <w:rFonts w:ascii="Times New Roman" w:cs="Times New Roman" w:eastAsia="Times New Roman" w:hAnsi="Times New Roman"/>
          <w:sz w:val="20"/>
          <w:szCs w:val="20"/>
          <w:color w:val="auto"/>
        </w:rPr>
      </w:pPr>
    </w:p>
    <w:p>
      <w:pPr>
        <w:jc w:val="both"/>
        <w:ind w:left="-8" w:firstLine="575"/>
        <w:spacing w:after="0" w:line="231" w:lineRule="auto"/>
        <w:tabs>
          <w:tab w:leader="none" w:pos="1046"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provisions of the Plan to the contrary notwithstanding, no Employee shall be granted an option under the Plan (i) to the extent that, immediately after the grant, such Employee (or any other person whose stock would be attributed to such Employee pursuant to Section 424(d) of the Code) would own capital stock of the Company and/or hold outstanding options to purchase such stock possessing five percent (5%) or more of the total combined voting power or value of all classes of the capital stock of the Company or of any Subsidiary, or (ii) to the extent that his or her rights to purchase stock under all employee stock purchase plans of the Company and its subsidiaries accrues at a rate which exceeds twenty-five thousand dollars ($25,000) worth of stock (determined at the Fair Market Value of the shares at the time such option is granted) for each calendar year in which such option is outstanding at any time.</w:t>
      </w:r>
    </w:p>
    <w:p>
      <w:pPr>
        <w:spacing w:after="0" w:line="124" w:lineRule="exact"/>
        <w:rPr>
          <w:rFonts w:ascii="Times New Roman" w:cs="Times New Roman" w:eastAsia="Times New Roman" w:hAnsi="Times New Roman"/>
          <w:sz w:val="20"/>
          <w:szCs w:val="20"/>
          <w:color w:val="auto"/>
        </w:rPr>
      </w:pPr>
    </w:p>
    <w:p>
      <w:pPr>
        <w:jc w:val="both"/>
        <w:ind w:left="-8" w:firstLine="8"/>
        <w:spacing w:after="0" w:line="228" w:lineRule="auto"/>
        <w:tabs>
          <w:tab w:leader="none" w:pos="352"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Offerings</w:t>
      </w:r>
      <w:r>
        <w:rPr>
          <w:rFonts w:ascii="Times New Roman" w:cs="Times New Roman" w:eastAsia="Times New Roman" w:hAnsi="Times New Roman"/>
          <w:sz w:val="20"/>
          <w:szCs w:val="20"/>
          <w:color w:val="auto"/>
        </w:rPr>
        <w:t>. Unless otherwise determined by the Administrator, the Plan shall be implemented by consecutive, overlapping Offerings. The Administrator shall have the power to change the duration of Offering Periods (including the commencement dates thereof) with respect to future Offerings without stockholder approval if such change is announced at least two (2) days prior to the scheduled beginning of the first Offering Period to be affected thereafter. After the Restatement Date, the Administrator shall have the power to establish the terms and conditions of each subsequent Offering including the participating entities (Company and or one or more Designated Subsidiaries), duration of the Offering Period (subject to the twenty-seven (27) month limit established in Section 2(n)), number and frequency of Purchase Periods, Purchase Price (provided that the Purchase Price shall not be lower than eighty-five percent (85%) of the Fair Market Value of a share of Common Stock on the Enrollment Date or on the Exercise Date, whichever is lower) and maximum shares available per eligible Employee (which may not exceed the amounts calculated by Section 6(d) and Section 7 hereof), in each case subject to compliance with the terms and conditions of the Plan (which may be incorporated by reference) and the requirements of Section 423 of the Code, including the requirement that all eligible Employees have the same rights and privileges. The Administrator shall specify the terms and conditions of each Offering prior to the commencement of the Offering, which terms and conditions need not be identical and shall be deemed incorporated by reference and made a part of the Plan.</w:t>
      </w:r>
    </w:p>
    <w:p>
      <w:pPr>
        <w:spacing w:after="0" w:line="129" w:lineRule="exact"/>
        <w:rPr>
          <w:rFonts w:ascii="Times New Roman" w:cs="Times New Roman" w:eastAsia="Times New Roman" w:hAnsi="Times New Roman"/>
          <w:sz w:val="20"/>
          <w:szCs w:val="20"/>
          <w:color w:val="auto"/>
        </w:rPr>
      </w:pPr>
    </w:p>
    <w:p>
      <w:pPr>
        <w:ind w:left="352" w:hanging="352"/>
        <w:spacing w:after="0"/>
        <w:tabs>
          <w:tab w:leader="none" w:pos="352"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w:t>
      </w:r>
      <w:r>
        <w:rPr>
          <w:rFonts w:ascii="Times New Roman" w:cs="Times New Roman" w:eastAsia="Times New Roman" w:hAnsi="Times New Roman"/>
          <w:sz w:val="20"/>
          <w:szCs w:val="20"/>
          <w:color w:val="auto"/>
        </w:rPr>
        <w:t>.</w:t>
      </w:r>
    </w:p>
    <w:p>
      <w:pPr>
        <w:spacing w:after="0" w:line="200" w:lineRule="exact"/>
        <w:rPr>
          <w:rFonts w:ascii="Times New Roman" w:cs="Times New Roman" w:eastAsia="Times New Roman" w:hAnsi="Times New Roman"/>
          <w:sz w:val="20"/>
          <w:szCs w:val="20"/>
          <w:color w:val="auto"/>
        </w:rPr>
      </w:pPr>
    </w:p>
    <w:p>
      <w:pPr>
        <w:spacing w:after="0" w:line="353" w:lineRule="exact"/>
        <w:rPr>
          <w:rFonts w:ascii="Times New Roman" w:cs="Times New Roman" w:eastAsia="Times New Roman" w:hAnsi="Times New Roman"/>
          <w:sz w:val="20"/>
          <w:szCs w:val="20"/>
          <w:color w:val="auto"/>
        </w:rPr>
      </w:pPr>
    </w:p>
    <w:p>
      <w:pPr>
        <w:ind w:left="-8" w:right="120" w:firstLine="575"/>
        <w:spacing w:after="0"/>
        <w:tabs>
          <w:tab w:leader="none" w:pos="966"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eligible Employee may become a participant in an Offering under the Plan by completing the enrollment process prior to the applicable Enrollment Date. The enrollment process for this purpose will be prescribed and communicated from time to time by the Company to eligible Employees.</w:t>
      </w:r>
    </w:p>
    <w:p>
      <w:pPr>
        <w:sectPr>
          <w:pgSz w:w="11900" w:h="16838" w:orient="portrait"/>
          <w:cols w:equalWidth="0" w:num="1">
            <w:col w:w="11232"/>
          </w:cols>
          <w:pgMar w:left="328" w:top="1440" w:right="339" w:bottom="1440" w:gutter="0" w:footer="0" w:header="0"/>
        </w:sectPr>
      </w:pPr>
    </w:p>
    <w:bookmarkStart w:id="36" w:name="page37"/>
    <w:bookmarkEnd w:id="36"/>
    <w:p>
      <w:pPr>
        <w:spacing w:after="0" w:line="135" w:lineRule="exact"/>
        <w:rPr>
          <w:sz w:val="20"/>
          <w:szCs w:val="20"/>
          <w:color w:val="auto"/>
        </w:rPr>
      </w:pPr>
    </w:p>
    <w:p>
      <w:pPr>
        <w:ind w:left="-8" w:right="40" w:firstLine="575"/>
        <w:spacing w:after="0"/>
        <w:tabs>
          <w:tab w:leader="none" w:pos="988"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Payroll deductions for a participant shall commence on the first payroll following the Enrollment Date and shall end on the last payroll in the Offering Period to which such authorization is applicable, unless sooner terminated by the participant as provided in Section 10 hereof.</w:t>
      </w:r>
    </w:p>
    <w:p>
      <w:pPr>
        <w:spacing w:after="0" w:line="120"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Payroll Deductions</w:t>
      </w:r>
      <w:r>
        <w:rPr>
          <w:rFonts w:ascii="Times New Roman" w:cs="Times New Roman" w:eastAsia="Times New Roman" w:hAnsi="Times New Roman"/>
          <w:sz w:val="20"/>
          <w:szCs w:val="20"/>
          <w:color w:val="auto"/>
        </w:rPr>
        <w:t>.</w:t>
      </w:r>
    </w:p>
    <w:p>
      <w:pPr>
        <w:spacing w:after="0" w:line="148" w:lineRule="exact"/>
        <w:rPr>
          <w:rFonts w:ascii="Times New Roman" w:cs="Times New Roman" w:eastAsia="Times New Roman" w:hAnsi="Times New Roman"/>
          <w:sz w:val="20"/>
          <w:szCs w:val="20"/>
          <w:color w:val="auto"/>
        </w:rPr>
      </w:pPr>
    </w:p>
    <w:p>
      <w:pPr>
        <w:jc w:val="both"/>
        <w:ind w:left="-8" w:firstLine="575"/>
        <w:spacing w:after="0" w:line="236" w:lineRule="auto"/>
        <w:tabs>
          <w:tab w:leader="none" w:pos="981"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time a participant enrolls in an Offering, he or she shall elect to have payroll deductions made on each pay day during the Offering Period for that Offering in an amount not exceeding twenty percent (20%) of the Compensation which he or she receives on each pay day during the Offering Period. Notwithstanding the foregoing, this Section 6(a) and the Compensation definition in Section 2(e) shall only apply to the portion of the Offering Period that occurs on or following the Effective Date and all Offering Periods thereafter.</w:t>
      </w:r>
    </w:p>
    <w:p>
      <w:pPr>
        <w:spacing w:after="0" w:line="121" w:lineRule="exact"/>
        <w:rPr>
          <w:rFonts w:ascii="Times New Roman" w:cs="Times New Roman" w:eastAsia="Times New Roman" w:hAnsi="Times New Roman"/>
          <w:sz w:val="20"/>
          <w:szCs w:val="20"/>
          <w:color w:val="auto"/>
        </w:rPr>
      </w:pPr>
    </w:p>
    <w:p>
      <w:pPr>
        <w:ind w:left="-8" w:right="20" w:firstLine="575"/>
        <w:spacing w:after="0" w:line="255" w:lineRule="auto"/>
        <w:tabs>
          <w:tab w:leader="none" w:pos="977"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payroll deductions made for a participant shall be credited to his or her account under the Plan and shall be withheld in whole percentages only. A participant may not make any additional payments into such account.</w:t>
      </w:r>
    </w:p>
    <w:p>
      <w:pPr>
        <w:spacing w:after="0" w:line="105" w:lineRule="exact"/>
        <w:rPr>
          <w:rFonts w:ascii="Times New Roman" w:cs="Times New Roman" w:eastAsia="Times New Roman" w:hAnsi="Times New Roman"/>
          <w:sz w:val="20"/>
          <w:szCs w:val="20"/>
          <w:color w:val="auto"/>
        </w:rPr>
      </w:pPr>
    </w:p>
    <w:p>
      <w:pPr>
        <w:jc w:val="both"/>
        <w:ind w:left="-8" w:firstLine="575"/>
        <w:spacing w:after="0" w:line="230" w:lineRule="auto"/>
        <w:tabs>
          <w:tab w:leader="none" w:pos="1028"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participant may discontinue his or her participation in an Offering under the Plan as provided in Section 10 hereof, or may increase or decrease the rate of his or her payroll deductions during the Offering Period by filing with the Company an authorization to change the payroll deduction rate pursuant to the process prescribed by the Company from time to time. The Administrator may, in its discretion, limit the number of participation rate changes during any Offering Period. The change in rate shall be effective with the first full payroll period commencing after the Company's receipt of the new authorization unless the Company elects to process a given change in participation more quickly. Upon conclusion of an Offering in which a participant was participating, the participant’s enrollment terms and conditions shall automatically apply and the participant shall be enrolled in the next scheduled Offering, unless and until participation is terminated pursuant to Section 10 hereof.</w:t>
      </w:r>
    </w:p>
    <w:p>
      <w:pPr>
        <w:spacing w:after="0" w:line="126" w:lineRule="exact"/>
        <w:rPr>
          <w:rFonts w:ascii="Times New Roman" w:cs="Times New Roman" w:eastAsia="Times New Roman" w:hAnsi="Times New Roman"/>
          <w:sz w:val="20"/>
          <w:szCs w:val="20"/>
          <w:color w:val="auto"/>
        </w:rPr>
      </w:pPr>
    </w:p>
    <w:p>
      <w:pPr>
        <w:jc w:val="both"/>
        <w:ind w:left="-8" w:firstLine="575"/>
        <w:spacing w:after="0" w:line="231" w:lineRule="auto"/>
        <w:tabs>
          <w:tab w:leader="none" w:pos="1011"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to the extent necessary to comply with Section 423(b)(8) of the Code and Section 3(b) hereof, a participant's payroll deductions may be decreased to zero percent (0%) at such time during any Current Purchase Period that the aggregate of all payroll deductions which were previously used to purchase stock under the Plan in a prior Purchase Period which ended during that calendar year plus all payroll deductions accumulated with respect to the Current Purchase Period equal twenty-one thousand, two hundred fifty dollars ($21,250) or at any time the limit set forth in Section 423(b)(8) of the Code is likely to be exceeded but for such decrease. Payroll deductions shall recommence at the rate previously elected by such participant at the beginning of the first Purchase Period which is scheduled to end in the following calendar year, unless terminated by the participant as provided in Section 10 hereof.</w:t>
      </w:r>
    </w:p>
    <w:p>
      <w:pPr>
        <w:spacing w:after="0" w:line="124" w:lineRule="exact"/>
        <w:rPr>
          <w:rFonts w:ascii="Times New Roman" w:cs="Times New Roman" w:eastAsia="Times New Roman" w:hAnsi="Times New Roman"/>
          <w:sz w:val="20"/>
          <w:szCs w:val="20"/>
          <w:color w:val="auto"/>
        </w:rPr>
      </w:pPr>
    </w:p>
    <w:p>
      <w:pPr>
        <w:jc w:val="both"/>
        <w:ind w:left="-8" w:firstLine="575"/>
        <w:spacing w:after="0" w:line="231" w:lineRule="auto"/>
        <w:tabs>
          <w:tab w:leader="none" w:pos="984"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time the option is exercised, in whole or in part, or at the time some or all of the Company's Common Stock issued under the Plan is disposed of, the participant must make adequate provision for the federal, state, or other tax withholding obligations of the participant’s employer (whether the Company or a Designated Subsidiary), if any, which arise upon the exercise of the option or the disposition of the Common Stock. At any time, the employer may, but shall not be obligated to, withhold from the participant's compensation the amount necessary for the employer to meet applicable withholding obligations, including any withholding required to make available to the employer any tax deductions or benefits attributable to participating in an Offering or sale or early disposition of Common Stock by the participant.</w:t>
      </w:r>
    </w:p>
    <w:p>
      <w:pPr>
        <w:spacing w:after="0" w:line="124" w:lineRule="exact"/>
        <w:rPr>
          <w:rFonts w:ascii="Times New Roman" w:cs="Times New Roman" w:eastAsia="Times New Roman" w:hAnsi="Times New Roman"/>
          <w:sz w:val="20"/>
          <w:szCs w:val="20"/>
          <w:color w:val="auto"/>
        </w:rPr>
      </w:pPr>
    </w:p>
    <w:p>
      <w:pPr>
        <w:jc w:val="both"/>
        <w:ind w:left="-8" w:firstLine="8"/>
        <w:spacing w:after="0"/>
        <w:tabs>
          <w:tab w:leader="none" w:pos="6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Option</w:t>
      </w:r>
      <w:r>
        <w:rPr>
          <w:rFonts w:ascii="Times New Roman" w:cs="Times New Roman" w:eastAsia="Times New Roman" w:hAnsi="Times New Roman"/>
          <w:sz w:val="20"/>
          <w:szCs w:val="20"/>
          <w:color w:val="auto"/>
        </w:rPr>
        <w:t>. On the Enrollment Date of each Offering Period, each eligible Employee participating in such Offering shall be granted an option to purchase on each Exercise Date during such Offering (at the applicable Purchase Price) up to a number of shares of the Company's Common Stock determined by dividing such Employee's payroll deductions accumulated prior to such Exercise Date and</w:t>
      </w:r>
    </w:p>
    <w:p>
      <w:pPr>
        <w:sectPr>
          <w:pgSz w:w="11900" w:h="16838" w:orient="portrait"/>
          <w:cols w:equalWidth="0" w:num="1">
            <w:col w:w="11232"/>
          </w:cols>
          <w:pgMar w:left="328" w:top="1440" w:right="339" w:bottom="1440" w:gutter="0" w:footer="0" w:header="0"/>
        </w:sectPr>
      </w:pPr>
    </w:p>
    <w:bookmarkStart w:id="37" w:name="page38"/>
    <w:bookmarkEnd w:id="37"/>
    <w:p>
      <w:pPr>
        <w:spacing w:after="0" w:line="13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retained in the participant's account as of the Exercise Date by the applicable Purchase Price; provided that in no event shall an Employee be permitted to purchase during each Purchase Period more than a number of shares determined by dividing twenty-five thousand dollars ($25,000) by the Fair Market Value of a share of the Company's Common Stock on the Enrollment Date, and provided further that such purchase shall be subject to the limitations set forth in Sections 3(b) and 12 hereof and in Code Section 423(b)(8). Exercise of the option shall occur as provided in Section 8 hereof, unless the participant has withdrawn pursuant to Section 10 hereof. The option shall expire on the last day of the Offering.</w:t>
      </w:r>
    </w:p>
    <w:p>
      <w:pPr>
        <w:spacing w:after="0" w:line="124" w:lineRule="exact"/>
        <w:rPr>
          <w:sz w:val="20"/>
          <w:szCs w:val="20"/>
          <w:color w:val="auto"/>
        </w:rPr>
      </w:pPr>
    </w:p>
    <w:p>
      <w:pPr>
        <w:jc w:val="both"/>
        <w:ind w:firstLine="8"/>
        <w:spacing w:after="0" w:line="231" w:lineRule="auto"/>
        <w:tabs>
          <w:tab w:leader="none" w:pos="64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of Option</w:t>
      </w:r>
      <w:r>
        <w:rPr>
          <w:rFonts w:ascii="Times New Roman" w:cs="Times New Roman" w:eastAsia="Times New Roman" w:hAnsi="Times New Roman"/>
          <w:sz w:val="20"/>
          <w:szCs w:val="20"/>
          <w:color w:val="auto"/>
        </w:rPr>
        <w:t>. Unless a participant withdraws from the Plan as provided in Section 10 hereof, his or her option for the purchase of shares shall be exercised automatically on the Exercise Date, and the maximum number of full shares subject to option shall be purchased for such participant at the applicable Purchase Price with the accumulated payroll deductions in his or her account. No fractional shares shall be purchased; any payroll deductions accumulated in a participant's account which are not sufficient to purchase a full share shall be retained in the participant's account for the subsequent Purchase Period or Offering Period, subject to earlier withdrawal by the participant as provided in Section 10 hereof. Any other monies left over in a participant's account after the Exercise Date shall be returned to the participant. During a participant's lifetime, a participant's option to purchase shares hereunder is exercisable only by him or her.</w:t>
      </w:r>
    </w:p>
    <w:p>
      <w:pPr>
        <w:spacing w:after="0" w:line="124" w:lineRule="exact"/>
        <w:rPr>
          <w:rFonts w:ascii="Times New Roman" w:cs="Times New Roman" w:eastAsia="Times New Roman" w:hAnsi="Times New Roman"/>
          <w:sz w:val="20"/>
          <w:szCs w:val="20"/>
          <w:color w:val="auto"/>
        </w:rPr>
      </w:pPr>
    </w:p>
    <w:p>
      <w:pPr>
        <w:jc w:val="both"/>
        <w:ind w:firstLine="8"/>
        <w:spacing w:after="0"/>
        <w:tabs>
          <w:tab w:leader="none" w:pos="64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Delivery</w:t>
      </w:r>
      <w:r>
        <w:rPr>
          <w:rFonts w:ascii="Times New Roman" w:cs="Times New Roman" w:eastAsia="Times New Roman" w:hAnsi="Times New Roman"/>
          <w:sz w:val="20"/>
          <w:szCs w:val="20"/>
          <w:color w:val="auto"/>
        </w:rPr>
        <w:t>. As promptly as practicable after each Exercise Date on which a purchase of shares occurs, the Company shall arrange the delivery to each participant, as appropriate, of a certificate representing the shares purchased upon exercise of his or her option or shall cause an appropriate entry to be made in such participant's brokerage account reflecting the shares purchased.</w:t>
      </w:r>
    </w:p>
    <w:p>
      <w:pPr>
        <w:spacing w:after="0" w:line="120"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Withdrawal; Termination of Employment</w:t>
      </w:r>
      <w:r>
        <w:rPr>
          <w:rFonts w:ascii="Times New Roman" w:cs="Times New Roman" w:eastAsia="Times New Roman" w:hAnsi="Times New Roman"/>
          <w:sz w:val="20"/>
          <w:szCs w:val="20"/>
          <w:color w:val="auto"/>
        </w:rPr>
        <w:t>.</w:t>
      </w:r>
    </w:p>
    <w:p>
      <w:pPr>
        <w:spacing w:after="0" w:line="148" w:lineRule="exact"/>
        <w:rPr>
          <w:rFonts w:ascii="Times New Roman" w:cs="Times New Roman" w:eastAsia="Times New Roman" w:hAnsi="Times New Roman"/>
          <w:sz w:val="20"/>
          <w:szCs w:val="20"/>
          <w:color w:val="auto"/>
        </w:rPr>
      </w:pPr>
    </w:p>
    <w:p>
      <w:pPr>
        <w:jc w:val="both"/>
        <w:ind w:firstLine="575"/>
        <w:spacing w:after="0" w:line="232" w:lineRule="auto"/>
        <w:tabs>
          <w:tab w:leader="none" w:pos="1046"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participant may withdraw all but not less than all the payroll deductions credited to his or her account and not yet used to exercise his or her option under the Plan at any time by giving notice pursuant to the process prescribed and communicated by the Company from time to time. All of the participant's payroll deductions credited to his or her account shall be paid to such participant promptly after receipt of notice of withdrawal and such participant's option for the Offering shall be automatically terminated, and no further payroll deductions for the purchase of shares shall be made for such Offering. If a participant withdraws from an Offering, payroll deductions shall not resume at the beginning of the succeeding Offering unless the participant completes the enrollment process again pursuant to Section 5.</w:t>
      </w:r>
    </w:p>
    <w:p>
      <w:pPr>
        <w:spacing w:after="0" w:line="124" w:lineRule="exact"/>
        <w:rPr>
          <w:rFonts w:ascii="Times New Roman" w:cs="Times New Roman" w:eastAsia="Times New Roman" w:hAnsi="Times New Roman"/>
          <w:sz w:val="20"/>
          <w:szCs w:val="20"/>
          <w:color w:val="auto"/>
        </w:rPr>
      </w:pPr>
    </w:p>
    <w:p>
      <w:pPr>
        <w:jc w:val="both"/>
        <w:ind w:firstLine="575"/>
        <w:spacing w:after="0" w:line="236" w:lineRule="auto"/>
        <w:tabs>
          <w:tab w:leader="none" w:pos="1024"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a participant's ceasing to be an Employee for any reason, he or she shall be deemed to have elected to withdraw from the Plan and the payroll deductions credited to such participant's account during the Offering Period but not yet used to exercise the option shall be returned to such participant or, in the case of his or her death, to the person or persons entitled thereto under Section 14 hereof, and such participant's option shall be automatically terminated.</w:t>
      </w:r>
    </w:p>
    <w:p>
      <w:pPr>
        <w:spacing w:after="0" w:line="121" w:lineRule="exact"/>
        <w:rPr>
          <w:rFonts w:ascii="Times New Roman" w:cs="Times New Roman" w:eastAsia="Times New Roman" w:hAnsi="Times New Roman"/>
          <w:sz w:val="20"/>
          <w:szCs w:val="20"/>
          <w:color w:val="auto"/>
        </w:rPr>
      </w:pPr>
    </w:p>
    <w:p>
      <w:pPr>
        <w:ind w:firstLine="575"/>
        <w:spacing w:after="0" w:line="255" w:lineRule="auto"/>
        <w:tabs>
          <w:tab w:leader="none" w:pos="991"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participant's withdrawal from an Offering shall not have any effect upon his or her eligibility to participate in any similar plan which may hereafter be adopted by the Company or in succeeding Offerings which commence after the participant’s withdrawal.</w:t>
      </w:r>
    </w:p>
    <w:p>
      <w:pPr>
        <w:spacing w:after="0" w:line="105"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w:t>
      </w:r>
      <w:r>
        <w:rPr>
          <w:rFonts w:ascii="Times New Roman" w:cs="Times New Roman" w:eastAsia="Times New Roman" w:hAnsi="Times New Roman"/>
          <w:sz w:val="20"/>
          <w:szCs w:val="20"/>
          <w:color w:val="auto"/>
        </w:rPr>
        <w:t>. No interest shall accrue on the payroll deductions of a participant in the Plan.</w:t>
      </w:r>
    </w:p>
    <w:p>
      <w:pPr>
        <w:spacing w:after="0" w:line="148"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w:t>
      </w:r>
      <w:r>
        <w:rPr>
          <w:rFonts w:ascii="Times New Roman" w:cs="Times New Roman" w:eastAsia="Times New Roman" w:hAnsi="Times New Roman"/>
          <w:sz w:val="20"/>
          <w:szCs w:val="20"/>
          <w:color w:val="auto"/>
        </w:rPr>
        <w:t>.</w:t>
      </w:r>
    </w:p>
    <w:p>
      <w:pPr>
        <w:spacing w:after="0" w:line="148" w:lineRule="exact"/>
        <w:rPr>
          <w:rFonts w:ascii="Times New Roman" w:cs="Times New Roman" w:eastAsia="Times New Roman" w:hAnsi="Times New Roman"/>
          <w:sz w:val="20"/>
          <w:szCs w:val="20"/>
          <w:color w:val="auto"/>
        </w:rPr>
      </w:pPr>
    </w:p>
    <w:p>
      <w:pPr>
        <w:jc w:val="both"/>
        <w:ind w:firstLine="575"/>
        <w:spacing w:after="0" w:line="236" w:lineRule="auto"/>
        <w:tabs>
          <w:tab w:leader="none" w:pos="985"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maximum number of shares of the Company's Common Stock which shall be made available for sale under the Plan shall be 3,000,000 shares plus that number of shares of the Company’s Common Stock previously approved and remaining available for issuance under the Plan as of August 10, 2020, subject to adjustment upon changes in capitalization of the Company as provided in Section 18 hereof. If, on a given Exercise Date, the number of shares with respect to which options are to be</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3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exercised exceeds the number of shares then available under the Plan, the Company shall make a pro rata allocation of the shares remaining available for purchase in as uniform a manner as shall be practicable and as it shall determine to be equitable.</w:t>
      </w:r>
    </w:p>
    <w:p>
      <w:pPr>
        <w:spacing w:after="0" w:line="105" w:lineRule="exact"/>
        <w:rPr>
          <w:sz w:val="20"/>
          <w:szCs w:val="20"/>
          <w:color w:val="auto"/>
        </w:rPr>
      </w:pPr>
    </w:p>
    <w:p>
      <w:pPr>
        <w:ind w:left="1000" w:hanging="425"/>
        <w:spacing w:after="0"/>
        <w:tabs>
          <w:tab w:leader="none" w:pos="1000"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shall have no interest or voting right in shares covered by his option until such option has been exercised.</w:t>
      </w:r>
    </w:p>
    <w:p>
      <w:pPr>
        <w:spacing w:after="0" w:line="148" w:lineRule="exact"/>
        <w:rPr>
          <w:rFonts w:ascii="Times New Roman" w:cs="Times New Roman" w:eastAsia="Times New Roman" w:hAnsi="Times New Roman"/>
          <w:sz w:val="20"/>
          <w:szCs w:val="20"/>
          <w:color w:val="auto"/>
        </w:rPr>
      </w:pPr>
    </w:p>
    <w:p>
      <w:pPr>
        <w:ind w:right="20" w:firstLine="575"/>
        <w:spacing w:after="0" w:line="255" w:lineRule="auto"/>
        <w:tabs>
          <w:tab w:leader="none" w:pos="1056"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to be delivered to a participant under the Plan shall be registered in the name of the participant or in the name of the participant and his or her spouse.</w:t>
      </w:r>
    </w:p>
    <w:p>
      <w:pPr>
        <w:spacing w:after="0" w:line="105"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Administration</w:t>
      </w:r>
      <w:r>
        <w:rPr>
          <w:rFonts w:ascii="Times New Roman" w:cs="Times New Roman" w:eastAsia="Times New Roman" w:hAnsi="Times New Roman"/>
          <w:sz w:val="20"/>
          <w:szCs w:val="20"/>
          <w:color w:val="auto"/>
        </w:rPr>
        <w:t>.</w:t>
      </w:r>
    </w:p>
    <w:p>
      <w:pPr>
        <w:spacing w:after="0" w:line="148" w:lineRule="exact"/>
        <w:rPr>
          <w:rFonts w:ascii="Times New Roman" w:cs="Times New Roman" w:eastAsia="Times New Roman" w:hAnsi="Times New Roman"/>
          <w:sz w:val="20"/>
          <w:szCs w:val="20"/>
          <w:color w:val="auto"/>
        </w:rPr>
      </w:pPr>
    </w:p>
    <w:p>
      <w:pPr>
        <w:jc w:val="both"/>
        <w:ind w:firstLine="575"/>
        <w:spacing w:after="0" w:line="236" w:lineRule="auto"/>
        <w:tabs>
          <w:tab w:leader="none" w:pos="1011"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Administrator shall have full and exclusive discretionary authority to construe, interpret and apply the terms of the Plan, to determine eligibility and to adjudicate all disputed claims filed under the Plan. Every finding, decision and determination made by the Administrator shall, to the full extent permitted by law, be final and binding upon all parties. Notwithstanding the appointment of a committee to serve as Administrator, the Board may, in its sole discretion, at any time and from time to time, resolve to administer the Plan.</w:t>
      </w:r>
    </w:p>
    <w:p>
      <w:pPr>
        <w:spacing w:after="0" w:line="121" w:lineRule="exact"/>
        <w:rPr>
          <w:rFonts w:ascii="Times New Roman" w:cs="Times New Roman" w:eastAsia="Times New Roman" w:hAnsi="Times New Roman"/>
          <w:sz w:val="20"/>
          <w:szCs w:val="20"/>
          <w:color w:val="auto"/>
        </w:rPr>
      </w:pPr>
    </w:p>
    <w:p>
      <w:pPr>
        <w:jc w:val="both"/>
        <w:ind w:firstLine="575"/>
        <w:spacing w:after="0" w:line="228" w:lineRule="auto"/>
        <w:tabs>
          <w:tab w:leader="none" w:pos="1072"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the Effective Date, the Administrator may initiate separate Offerings through sub plans (which need not qualify under Section 423 of the Code) for the purpose of (i) facilitating participation in the Plan by Employees of Designated Subsidiaries located outside of the United States in compliance with foreign laws and regulations without affecting the qualification of the remainder of the Plan under Section 423 of the Code, or (ii) qualifying an Offering under the Plan for preferred tax treatment under foreign tax laws (which sub plans, at the Administrator’s discretion, may provide for allocations of the authorized shares reserved for issue under the Plan as set forth in Section 12(a)). Any sub plan shall be subject to the Offering Period limit established in Section 2(n), the Purchase Price floor established in Section 4 and the overall share limit established in Section 12(a). The rules of such sub plans may take precedence over provisions of the Plan other than the foregoing requirements of Sections 2(n), 4 and 12(a) (including as to participating Designated Subsidiaries, eligible Employees, duration of the Offering Period (including Enrollment Dates), number and frequency of Purchase Periods, Purchase Price, currency exchange rates, and maximum shares available per eligible Employee), but unless otherwise superseded by the terms of such sub plan, the provisions of the Plan shall govern the operation of such sub plan. Alternatively and in order to comply with the laws of a foreign jurisdiction, the Administrator shall have the power, in its discretion, to grant options in an Offering to eligible Employees who are citizens or residents of a non-U.S. jurisdiction (without regard to whether they are also citizens of the United States or resident aliens) that provide terms which are less favorable than the terms of options granted under the same Offering to Employees resident in the United States, subject to compliance with Section 423 of the Code.</w:t>
      </w:r>
    </w:p>
    <w:p>
      <w:pPr>
        <w:spacing w:after="0" w:line="124"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Designation of Beneficiary</w:t>
      </w:r>
      <w:r>
        <w:rPr>
          <w:rFonts w:ascii="Times New Roman" w:cs="Times New Roman" w:eastAsia="Times New Roman" w:hAnsi="Times New Roman"/>
          <w:sz w:val="20"/>
          <w:szCs w:val="20"/>
          <w:color w:val="auto"/>
        </w:rPr>
        <w:t>.</w:t>
      </w:r>
    </w:p>
    <w:p>
      <w:pPr>
        <w:spacing w:after="0" w:line="148" w:lineRule="exact"/>
        <w:rPr>
          <w:rFonts w:ascii="Times New Roman" w:cs="Times New Roman" w:eastAsia="Times New Roman" w:hAnsi="Times New Roman"/>
          <w:sz w:val="20"/>
          <w:szCs w:val="20"/>
          <w:color w:val="auto"/>
        </w:rPr>
      </w:pPr>
    </w:p>
    <w:p>
      <w:pPr>
        <w:jc w:val="both"/>
        <w:ind w:firstLine="575"/>
        <w:spacing w:after="0" w:line="234" w:lineRule="auto"/>
        <w:tabs>
          <w:tab w:leader="none" w:pos="1001"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participant may file a written designation of a beneficiary who is to receive any shares and cash, if any, from the participant's account under the Plan in the event of such participant's death subsequent to an Exercise Date on which the option is exercised but prior to delivery to such participant of such shares and cash. In addition, a participant may file a written designation of a beneficiary who is to receive any cash from the participant's account under the Plan in the event of such participant's death prior to exercise of the option. If a participant is married and the designated beneficiary is not the spouse, spousal consent shall be required for such designation to be effective.</w:t>
      </w:r>
    </w:p>
    <w:p>
      <w:pPr>
        <w:spacing w:after="0" w:line="120" w:lineRule="exact"/>
        <w:rPr>
          <w:rFonts w:ascii="Times New Roman" w:cs="Times New Roman" w:eastAsia="Times New Roman" w:hAnsi="Times New Roman"/>
          <w:sz w:val="20"/>
          <w:szCs w:val="20"/>
          <w:color w:val="auto"/>
        </w:rPr>
      </w:pPr>
    </w:p>
    <w:p>
      <w:pPr>
        <w:jc w:val="both"/>
        <w:ind w:firstLine="575"/>
        <w:spacing w:after="0"/>
        <w:tabs>
          <w:tab w:leader="none" w:pos="1036"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designation of beneficiary may be changed by the participant at any time by written notice. In the event 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3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120" w:lineRule="exact"/>
        <w:rPr>
          <w:sz w:val="20"/>
          <w:szCs w:val="20"/>
          <w:color w:val="auto"/>
        </w:rPr>
      </w:pPr>
    </w:p>
    <w:p>
      <w:pPr>
        <w:jc w:val="both"/>
        <w:ind w:firstLine="8"/>
        <w:spacing w:after="0" w:line="234" w:lineRule="auto"/>
        <w:tabs>
          <w:tab w:leader="none" w:pos="639"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Transferability</w:t>
      </w:r>
      <w:r>
        <w:rPr>
          <w:rFonts w:ascii="Times New Roman" w:cs="Times New Roman" w:eastAsia="Times New Roman" w:hAnsi="Times New Roman"/>
          <w:sz w:val="20"/>
          <w:szCs w:val="20"/>
          <w:color w:val="auto"/>
        </w:rPr>
        <w:t>. Neither payroll deductions credited to a participant's account nor any rights with regard to the exercise of an option or to receive shares under the Plan may be assigned, transferred, pledged or otherwise disposed of in any way (other than by will, the laws of descent and distribution or as provided in Section 14 hereof) by the participant. Any such attempt at assignment, transfer, pledge or other disposition shall be without effect, except that the Company may treat such act as an election to withdraw funds from an Offering in accordance with Section 10 hereof.</w:t>
      </w:r>
    </w:p>
    <w:p>
      <w:pPr>
        <w:spacing w:after="0" w:line="120" w:lineRule="exact"/>
        <w:rPr>
          <w:rFonts w:ascii="Times New Roman" w:cs="Times New Roman" w:eastAsia="Times New Roman" w:hAnsi="Times New Roman"/>
          <w:sz w:val="20"/>
          <w:szCs w:val="20"/>
          <w:color w:val="auto"/>
        </w:rPr>
      </w:pPr>
    </w:p>
    <w:p>
      <w:pPr>
        <w:ind w:firstLine="8"/>
        <w:spacing w:after="0" w:line="255" w:lineRule="auto"/>
        <w:tabs>
          <w:tab w:leader="none" w:pos="639"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Use of Funds</w:t>
      </w:r>
      <w:r>
        <w:rPr>
          <w:rFonts w:ascii="Times New Roman" w:cs="Times New Roman" w:eastAsia="Times New Roman" w:hAnsi="Times New Roman"/>
          <w:sz w:val="20"/>
          <w:szCs w:val="20"/>
          <w:color w:val="auto"/>
        </w:rPr>
        <w:t>. All payroll deductions received or held by the Company under the Plan may be used by the Company for any corporate purpose, and the Company shall not be obligated to segregate such payroll deductions.</w:t>
      </w:r>
    </w:p>
    <w:p>
      <w:pPr>
        <w:spacing w:after="0" w:line="105" w:lineRule="exact"/>
        <w:rPr>
          <w:rFonts w:ascii="Times New Roman" w:cs="Times New Roman" w:eastAsia="Times New Roman" w:hAnsi="Times New Roman"/>
          <w:sz w:val="20"/>
          <w:szCs w:val="20"/>
          <w:color w:val="auto"/>
        </w:rPr>
      </w:pPr>
    </w:p>
    <w:p>
      <w:pPr>
        <w:jc w:val="both"/>
        <w:ind w:firstLine="8"/>
        <w:spacing w:after="0"/>
        <w:tabs>
          <w:tab w:leader="none" w:pos="639"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Reports</w:t>
      </w:r>
      <w:r>
        <w:rPr>
          <w:rFonts w:ascii="Times New Roman" w:cs="Times New Roman" w:eastAsia="Times New Roman" w:hAnsi="Times New Roman"/>
          <w:sz w:val="20"/>
          <w:szCs w:val="20"/>
          <w:color w:val="auto"/>
        </w:rPr>
        <w:t>. Individual accounts shall be maintained for each participant in the Plan. Statements of account shall be given to participating Employees at least annually, which statements shall set forth the amounts of payroll deductions, the Purchase Price, the number of shares purchased and the remaining cash balance, if any.</w:t>
      </w:r>
    </w:p>
    <w:p>
      <w:pPr>
        <w:spacing w:after="0" w:line="120"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Adjustments Upon Changes in Capitalization, Dissolution, Liquidation, Merger or Asset Sale</w:t>
      </w:r>
      <w:r>
        <w:rPr>
          <w:rFonts w:ascii="Times New Roman" w:cs="Times New Roman" w:eastAsia="Times New Roman" w:hAnsi="Times New Roman"/>
          <w:sz w:val="20"/>
          <w:szCs w:val="20"/>
          <w:color w:val="auto"/>
        </w:rPr>
        <w:t>.</w:t>
      </w:r>
    </w:p>
    <w:p>
      <w:pPr>
        <w:spacing w:after="0" w:line="148" w:lineRule="exact"/>
        <w:rPr>
          <w:rFonts w:ascii="Times New Roman" w:cs="Times New Roman" w:eastAsia="Times New Roman" w:hAnsi="Times New Roman"/>
          <w:sz w:val="20"/>
          <w:szCs w:val="20"/>
          <w:color w:val="auto"/>
        </w:rPr>
      </w:pPr>
    </w:p>
    <w:p>
      <w:pPr>
        <w:jc w:val="both"/>
        <w:ind w:firstLine="575"/>
        <w:spacing w:after="0" w:line="229" w:lineRule="auto"/>
        <w:tabs>
          <w:tab w:leader="none" w:pos="1024"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Capitalization. Subject to any required action by the stockholders of the Company, the Reserves, the amount of the annual Plan share replenishment, as well as the price per share and the number of shares of Common Stock covered by each option under the Plan which has not yet been exercised,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Administrator,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127" w:lineRule="exact"/>
        <w:rPr>
          <w:rFonts w:ascii="Times New Roman" w:cs="Times New Roman" w:eastAsia="Times New Roman" w:hAnsi="Times New Roman"/>
          <w:sz w:val="20"/>
          <w:szCs w:val="20"/>
          <w:color w:val="auto"/>
        </w:rPr>
      </w:pPr>
    </w:p>
    <w:p>
      <w:pPr>
        <w:ind w:firstLine="575"/>
        <w:spacing w:after="0" w:line="255" w:lineRule="auto"/>
        <w:tabs>
          <w:tab w:leader="none" w:pos="1015"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Dissolution or Liquidation. In the event of the proposed dissolution or liquidation of the Company, the Offerings shall terminate immediately prior to the consummation of such proposed action, unless otherwise provided by the Administrator.</w:t>
      </w:r>
    </w:p>
    <w:p>
      <w:pPr>
        <w:spacing w:after="0" w:line="105" w:lineRule="exact"/>
        <w:rPr>
          <w:rFonts w:ascii="Times New Roman" w:cs="Times New Roman" w:eastAsia="Times New Roman" w:hAnsi="Times New Roman"/>
          <w:sz w:val="20"/>
          <w:szCs w:val="20"/>
          <w:color w:val="auto"/>
        </w:rPr>
      </w:pPr>
    </w:p>
    <w:p>
      <w:pPr>
        <w:jc w:val="both"/>
        <w:ind w:firstLine="575"/>
        <w:spacing w:after="0" w:line="231" w:lineRule="auto"/>
        <w:tabs>
          <w:tab w:leader="none" w:pos="995"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Merger or Asset Sale. In the event of a proposed sale of all or substantially all of the assets of the Company, or the merger of the Company with or into another corporation, any Purchase Periods then in progress shall be shortened by setting a New Exercise Date and any Offerings then in progress shall end on the New Exercise Date. The New Exercise Date shall be before the date of the Company's proposed sale or merger. The Administrator shall notify each participant in writing, at least ten (10) business days prior to the New Exercise Date, that the Exercise Date for the participant's option has been changed to the New Exercise Date and that the participant's option shall be exercised automatically on the New Exercise Date, unless prior to such date the participant has withdrawn from the Offering as provided in Section 10 hereof.</w:t>
      </w:r>
    </w:p>
    <w:p>
      <w:pPr>
        <w:spacing w:after="0" w:line="124"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or Termination</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35" w:lineRule="exact"/>
        <w:rPr>
          <w:sz w:val="20"/>
          <w:szCs w:val="20"/>
          <w:color w:val="auto"/>
        </w:rPr>
      </w:pPr>
    </w:p>
    <w:p>
      <w:pPr>
        <w:jc w:val="both"/>
        <w:ind w:firstLine="575"/>
        <w:spacing w:after="0" w:line="230" w:lineRule="auto"/>
        <w:tabs>
          <w:tab w:leader="none" w:pos="1027"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may at any time and for any reason terminate or amend the Plan. Except as provided in Section 18 hereof, no such termination can affect options previously granted, provided that an Offering may be terminated by the Board on any Exercise Date if the Board determines that the termination of the Plan is in the best interests of the Company and its stockholders. Except as provided in Section 18 hereof, no amendment may make any change in any option theretofore granted which adversely affects the rights of any participant. To the extent necessary to comply with Rule 16b-3 or under Section 423 of the Code (or any successor rule or provision or any other applicable law or regulation), the Company shall obtain stockholder approval in such a manner and to such a degree as required. In addition, the Company shall not amend the Plan to extend the Offering Period limit established in Section 2(n) or to lower the Purchase Price floor established in Section 4, as applicable to any Offering(s) under the Plan or any sub plan established pursuant to Section 13(b), without obtaining stockholder approval.</w:t>
      </w:r>
    </w:p>
    <w:p>
      <w:pPr>
        <w:spacing w:after="0" w:line="122" w:lineRule="exact"/>
        <w:rPr>
          <w:rFonts w:ascii="Times New Roman" w:cs="Times New Roman" w:eastAsia="Times New Roman" w:hAnsi="Times New Roman"/>
          <w:sz w:val="20"/>
          <w:szCs w:val="20"/>
          <w:color w:val="auto"/>
        </w:rPr>
      </w:pPr>
    </w:p>
    <w:p>
      <w:pPr>
        <w:jc w:val="both"/>
        <w:ind w:firstLine="575"/>
        <w:spacing w:after="0" w:line="230" w:lineRule="auto"/>
        <w:tabs>
          <w:tab w:leader="none" w:pos="105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stockholder consent and without regard to whether any participant rights may be considered to have been “adversely affected,” the Administrator shall be entitled to change the Offering Periods, limit the frequency and/or number of changes in the amount withheld during an Offering Period, establish the exchange ratio applicable to amounts withheld in a currency other than U.S. dollars, permit payroll withholding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Common Stock for each participant properly correspond with amounts withheld from the participant's Compensation, and establish such other limitations or procedures as the Administrator determines in its sole discretion advisable which are consistent with the Plan.</w:t>
      </w:r>
    </w:p>
    <w:p>
      <w:pPr>
        <w:spacing w:after="0" w:line="126" w:lineRule="exact"/>
        <w:rPr>
          <w:rFonts w:ascii="Times New Roman" w:cs="Times New Roman" w:eastAsia="Times New Roman" w:hAnsi="Times New Roman"/>
          <w:sz w:val="20"/>
          <w:szCs w:val="20"/>
          <w:color w:val="auto"/>
        </w:rPr>
      </w:pPr>
    </w:p>
    <w:p>
      <w:pPr>
        <w:jc w:val="both"/>
        <w:ind w:firstLine="575"/>
        <w:spacing w:after="0"/>
        <w:tabs>
          <w:tab w:leader="none" w:pos="101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Administrator determines that the ongoing operation of the Plan may result in unfavorable financial accounting consequences, the Administrator may, in its discretion and, to the extent necessary or desirable, modify or amend the Plan to reduce or eliminate such accounting consequence including, but not limited to:</w:t>
      </w:r>
    </w:p>
    <w:p>
      <w:pPr>
        <w:spacing w:after="0" w:line="120" w:lineRule="exact"/>
        <w:rPr>
          <w:rFonts w:ascii="Times New Roman" w:cs="Times New Roman" w:eastAsia="Times New Roman" w:hAnsi="Times New Roman"/>
          <w:sz w:val="20"/>
          <w:szCs w:val="20"/>
          <w:color w:val="auto"/>
        </w:rPr>
      </w:pPr>
    </w:p>
    <w:p>
      <w:pPr>
        <w:ind w:left="1300" w:hanging="343"/>
        <w:spacing w:after="0"/>
        <w:tabs>
          <w:tab w:leader="none" w:pos="1300"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altering the Purchase Price for any Offering including an Offering underway at the time of the change in Purchase Price;</w:t>
      </w:r>
    </w:p>
    <w:p>
      <w:pPr>
        <w:spacing w:after="0" w:line="148" w:lineRule="exact"/>
        <w:rPr>
          <w:rFonts w:ascii="Times New Roman" w:cs="Times New Roman" w:eastAsia="Times New Roman" w:hAnsi="Times New Roman"/>
          <w:sz w:val="20"/>
          <w:szCs w:val="20"/>
          <w:color w:val="auto"/>
        </w:rPr>
      </w:pPr>
    </w:p>
    <w:p>
      <w:pPr>
        <w:ind w:left="1300" w:hanging="398"/>
        <w:spacing w:after="0" w:line="255" w:lineRule="auto"/>
        <w:tabs>
          <w:tab w:leader="none" w:pos="1300"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shortening any Offering Period so that Offering Period ends on a New Exercise Date, including an Offering Period underway at the time of the Administrator action; and</w:t>
      </w:r>
    </w:p>
    <w:p>
      <w:pPr>
        <w:spacing w:after="0" w:line="105" w:lineRule="exact"/>
        <w:rPr>
          <w:rFonts w:ascii="Times New Roman" w:cs="Times New Roman" w:eastAsia="Times New Roman" w:hAnsi="Times New Roman"/>
          <w:sz w:val="20"/>
          <w:szCs w:val="20"/>
          <w:color w:val="auto"/>
        </w:rPr>
      </w:pPr>
    </w:p>
    <w:p>
      <w:pPr>
        <w:ind w:left="1300" w:hanging="453"/>
        <w:spacing w:after="0"/>
        <w:tabs>
          <w:tab w:leader="none" w:pos="1300"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allocating shares.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Such modifications or amendments shall not require stockholder approval or the consent of any Plan participants.</w:t>
      </w:r>
    </w:p>
    <w:p>
      <w:pPr>
        <w:spacing w:after="0" w:line="148" w:lineRule="exact"/>
        <w:rPr>
          <w:sz w:val="20"/>
          <w:szCs w:val="20"/>
          <w:color w:val="auto"/>
        </w:rPr>
      </w:pPr>
    </w:p>
    <w:p>
      <w:pPr>
        <w:jc w:val="both"/>
        <w:ind w:firstLine="8"/>
        <w:spacing w:after="0"/>
        <w:tabs>
          <w:tab w:leader="none" w:pos="639"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120" w:lineRule="exact"/>
        <w:rPr>
          <w:rFonts w:ascii="Times New Roman" w:cs="Times New Roman" w:eastAsia="Times New Roman" w:hAnsi="Times New Roman"/>
          <w:sz w:val="20"/>
          <w:szCs w:val="20"/>
          <w:color w:val="auto"/>
        </w:rPr>
      </w:pPr>
    </w:p>
    <w:p>
      <w:pPr>
        <w:jc w:val="both"/>
        <w:ind w:firstLine="8"/>
        <w:spacing w:after="0" w:line="234" w:lineRule="auto"/>
        <w:tabs>
          <w:tab w:leader="none" w:pos="639"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Upon Issuance of Shares</w:t>
      </w:r>
      <w:r>
        <w:rPr>
          <w:rFonts w:ascii="Times New Roman" w:cs="Times New Roman" w:eastAsia="Times New Roman" w:hAnsi="Times New Roman"/>
          <w:sz w:val="20"/>
          <w:szCs w:val="20"/>
          <w:color w:val="auto"/>
        </w:rPr>
        <w:t>. Shares shall not be issued with respect to an option unless the exercise of such option and the issuance and delivery of such shares pursuant thereto shall comply with all applicable provisions of law, domestic or foreign, including, without limitation, the Securities Act of 1933, as amended, the Securities Exchange Act of 1934, as amended, the rules and regulations promulgated thereunder, and the requirements of any stock exchange upon which the shares may then be listed, and shall be further subject to the approval of counsel for the Company with respect to such compliance.</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As a condition to the exercise of an option, the Company may require the person exercising such option to represent and warrant at the time of any such exercise that the shares are being purchased only for</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3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investment and without any present intention to sell or distribute such shares if, in the opinion of counsel for the Company, such a representation is required by any of the aforementioned applicable provisions of law.</w:t>
      </w:r>
    </w:p>
    <w:p>
      <w:pPr>
        <w:spacing w:after="0" w:line="105" w:lineRule="exact"/>
        <w:rPr>
          <w:sz w:val="20"/>
          <w:szCs w:val="20"/>
          <w:color w:val="auto"/>
        </w:rPr>
      </w:pPr>
    </w:p>
    <w:p>
      <w:pPr>
        <w:jc w:val="both"/>
        <w:ind w:firstLine="8"/>
        <w:spacing w:after="0" w:line="236" w:lineRule="auto"/>
        <w:tabs>
          <w:tab w:leader="none" w:pos="639"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Information to Employees</w:t>
      </w:r>
      <w:r>
        <w:rPr>
          <w:rFonts w:ascii="Times New Roman" w:cs="Times New Roman" w:eastAsia="Times New Roman" w:hAnsi="Times New Roman"/>
          <w:sz w:val="20"/>
          <w:szCs w:val="20"/>
          <w:color w:val="auto"/>
        </w:rPr>
        <w:t>. The Company shall provide to each Employee who acquires shares pursuant to the Plan, not less frequently than annually during the period such individual owns such shares, copies of annual financial statements. The Company shall not be required to provide such statements to key employees whose duties in connection with the Company assure their access to equivalent information.</w:t>
      </w:r>
    </w:p>
    <w:p>
      <w:pPr>
        <w:sectPr>
          <w:pgSz w:w="11900" w:h="16838" w:orient="portrait"/>
          <w:cols w:equalWidth="0" w:num="1">
            <w:col w:w="11240"/>
          </w:cols>
          <w:pgMar w:left="320" w:top="1440"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20"/>
          <w:szCs w:val="20"/>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2778760</wp:posOffset>
            </wp:positionH>
            <wp:positionV relativeFrom="paragraph">
              <wp:posOffset>52705</wp:posOffset>
            </wp:positionV>
            <wp:extent cx="1457325" cy="6940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145732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color w:val="auto"/>
        </w:rPr>
        <w:t>October 23, 2019</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Germaine Cota</w:t>
      </w:r>
    </w:p>
    <w:p>
      <w:pPr>
        <w:spacing w:after="0" w:line="200" w:lineRule="exact"/>
        <w:rPr>
          <w:sz w:val="20"/>
          <w:szCs w:val="20"/>
          <w:color w:val="auto"/>
        </w:rPr>
      </w:pPr>
    </w:p>
    <w:p>
      <w:pPr>
        <w:spacing w:after="0" w:line="297" w:lineRule="exact"/>
        <w:rPr>
          <w:sz w:val="20"/>
          <w:szCs w:val="20"/>
          <w:color w:val="auto"/>
        </w:rPr>
      </w:pPr>
    </w:p>
    <w:p>
      <w:pPr>
        <w:ind w:left="640"/>
        <w:spacing w:after="0"/>
        <w:tabs>
          <w:tab w:leader="none" w:pos="1180" w:val="left"/>
        </w:tabs>
        <w:rPr>
          <w:sz w:val="20"/>
          <w:szCs w:val="20"/>
          <w:color w:val="auto"/>
        </w:rPr>
      </w:pPr>
      <w:r>
        <w:rPr>
          <w:rFonts w:ascii="Arial" w:cs="Arial" w:eastAsia="Arial" w:hAnsi="Arial"/>
          <w:sz w:val="20"/>
          <w:szCs w:val="20"/>
          <w:b w:val="1"/>
          <w:bCs w:val="1"/>
          <w:color w:val="auto"/>
        </w:rPr>
        <w:t>RE:</w:t>
      </w:r>
      <w:r>
        <w:rPr>
          <w:sz w:val="20"/>
          <w:szCs w:val="20"/>
          <w:color w:val="auto"/>
        </w:rPr>
        <w:tab/>
      </w:r>
      <w:r>
        <w:rPr>
          <w:rFonts w:ascii="Arial" w:cs="Arial" w:eastAsia="Arial" w:hAnsi="Arial"/>
          <w:sz w:val="19"/>
          <w:szCs w:val="19"/>
          <w:b w:val="1"/>
          <w:bCs w:val="1"/>
          <w:u w:val="single" w:color="auto"/>
          <w:color w:val="auto"/>
        </w:rPr>
        <w:t>Offer Letter</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color w:val="auto"/>
        </w:rPr>
        <w:t>Dear Germaine,</w:t>
      </w:r>
    </w:p>
    <w:p>
      <w:pPr>
        <w:spacing w:after="0" w:line="254" w:lineRule="exact"/>
        <w:rPr>
          <w:sz w:val="20"/>
          <w:szCs w:val="20"/>
          <w:color w:val="auto"/>
        </w:rPr>
      </w:pPr>
    </w:p>
    <w:p>
      <w:pPr>
        <w:jc w:val="both"/>
        <w:ind w:right="100" w:firstLine="648"/>
        <w:spacing w:after="0" w:line="271" w:lineRule="auto"/>
        <w:rPr>
          <w:sz w:val="20"/>
          <w:szCs w:val="20"/>
          <w:color w:val="auto"/>
        </w:rPr>
      </w:pPr>
      <w:r>
        <w:rPr>
          <w:rFonts w:ascii="Arial" w:cs="Arial" w:eastAsia="Arial" w:hAnsi="Arial"/>
          <w:sz w:val="20"/>
          <w:szCs w:val="20"/>
          <w:color w:val="auto"/>
        </w:rPr>
        <w:t xml:space="preserve">Congratulations! We are excited to offer you employment with 8x8, Inc. (“8x8” or “Company”) in the </w:t>
      </w:r>
      <w:r>
        <w:rPr>
          <w:rFonts w:ascii="Arial" w:cs="Arial" w:eastAsia="Arial" w:hAnsi="Arial"/>
          <w:sz w:val="20"/>
          <w:szCs w:val="20"/>
          <w:b w:val="1"/>
          <w:bCs w:val="1"/>
          <w:color w:val="auto"/>
        </w:rPr>
        <w:t>full- time</w:t>
      </w:r>
      <w:r>
        <w:rPr>
          <w:rFonts w:ascii="Arial" w:cs="Arial" w:eastAsia="Arial" w:hAnsi="Arial"/>
          <w:sz w:val="20"/>
          <w:szCs w:val="20"/>
          <w:color w:val="auto"/>
        </w:rPr>
        <w:t xml:space="preserve"> position of </w:t>
      </w:r>
      <w:r>
        <w:rPr>
          <w:rFonts w:ascii="Arial" w:cs="Arial" w:eastAsia="Arial" w:hAnsi="Arial"/>
          <w:sz w:val="20"/>
          <w:szCs w:val="20"/>
          <w:b w:val="1"/>
          <w:bCs w:val="1"/>
          <w:color w:val="auto"/>
        </w:rPr>
        <w:t>Global Vice President, Finance &amp; Controller</w:t>
      </w:r>
      <w:r>
        <w:rPr>
          <w:rFonts w:ascii="Arial" w:cs="Arial" w:eastAsia="Arial" w:hAnsi="Arial"/>
          <w:sz w:val="20"/>
          <w:szCs w:val="20"/>
          <w:color w:val="auto"/>
        </w:rPr>
        <w:t xml:space="preserve"> beginning on </w:t>
      </w:r>
      <w:r>
        <w:rPr>
          <w:rFonts w:ascii="Arial" w:cs="Arial" w:eastAsia="Arial" w:hAnsi="Arial"/>
          <w:sz w:val="20"/>
          <w:szCs w:val="20"/>
          <w:b w:val="1"/>
          <w:bCs w:val="1"/>
          <w:color w:val="auto"/>
        </w:rPr>
        <w:t>January 6, 2020</w:t>
      </w:r>
      <w:r>
        <w:rPr>
          <w:rFonts w:ascii="Arial" w:cs="Arial" w:eastAsia="Arial" w:hAnsi="Arial"/>
          <w:sz w:val="20"/>
          <w:szCs w:val="20"/>
          <w:color w:val="auto"/>
        </w:rPr>
        <w:t xml:space="preserve"> (“Start Date”). As such, you will have responsibilities and perform duties consistent with this position as assigned to you from time to time by your manager. You will be working for the Company at 2665 N. First Street, San Jose, CA 95131, reporting to your manager, </w:t>
      </w:r>
      <w:r>
        <w:rPr>
          <w:rFonts w:ascii="Arial" w:cs="Arial" w:eastAsia="Arial" w:hAnsi="Arial"/>
          <w:sz w:val="20"/>
          <w:szCs w:val="20"/>
          <w:b w:val="1"/>
          <w:bCs w:val="1"/>
          <w:color w:val="auto"/>
        </w:rPr>
        <w:t>Steven Gatoff</w:t>
      </w:r>
      <w:r>
        <w:rPr>
          <w:rFonts w:ascii="Arial" w:cs="Arial" w:eastAsia="Arial" w:hAnsi="Arial"/>
          <w:sz w:val="20"/>
          <w:szCs w:val="20"/>
          <w:color w:val="auto"/>
        </w:rPr>
        <w:t>.</w:t>
      </w:r>
    </w:p>
    <w:p>
      <w:pPr>
        <w:spacing w:after="0" w:line="200" w:lineRule="exact"/>
        <w:rPr>
          <w:sz w:val="20"/>
          <w:szCs w:val="20"/>
          <w:color w:val="auto"/>
        </w:rPr>
      </w:pPr>
    </w:p>
    <w:p>
      <w:pPr>
        <w:spacing w:after="0" w:line="219" w:lineRule="exact"/>
        <w:rPr>
          <w:sz w:val="20"/>
          <w:szCs w:val="20"/>
          <w:color w:val="auto"/>
        </w:rPr>
      </w:pPr>
    </w:p>
    <w:p>
      <w:pPr>
        <w:ind w:left="640" w:hanging="319"/>
        <w:spacing w:after="0"/>
        <w:tabs>
          <w:tab w:leader="none" w:pos="64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Compensation:</w:t>
      </w:r>
    </w:p>
    <w:p>
      <w:pPr>
        <w:spacing w:after="0" w:line="269" w:lineRule="exact"/>
        <w:rPr>
          <w:rFonts w:ascii="Arial" w:cs="Arial" w:eastAsia="Arial" w:hAnsi="Arial"/>
          <w:sz w:val="20"/>
          <w:szCs w:val="20"/>
          <w:b w:val="1"/>
          <w:bCs w:val="1"/>
          <w:color w:val="auto"/>
        </w:rPr>
      </w:pPr>
    </w:p>
    <w:p>
      <w:pPr>
        <w:jc w:val="both"/>
        <w:ind w:left="1300" w:right="100" w:hanging="330"/>
        <w:spacing w:after="0" w:line="275" w:lineRule="auto"/>
        <w:tabs>
          <w:tab w:leader="none" w:pos="1317" w:val="left"/>
        </w:tabs>
        <w:numPr>
          <w:ilvl w:val="1"/>
          <w:numId w:val="22"/>
        </w:numPr>
        <w:rPr>
          <w:rFonts w:ascii="Arial" w:cs="Arial" w:eastAsia="Arial" w:hAnsi="Arial"/>
          <w:sz w:val="20"/>
          <w:szCs w:val="20"/>
          <w:color w:val="auto"/>
        </w:rPr>
      </w:pPr>
      <w:r>
        <w:rPr>
          <w:rFonts w:ascii="Arial" w:cs="Arial" w:eastAsia="Arial" w:hAnsi="Arial"/>
          <w:sz w:val="20"/>
          <w:szCs w:val="20"/>
          <w:u w:val="single" w:color="auto"/>
          <w:color w:val="auto"/>
        </w:rPr>
        <w:t>Salary</w:t>
      </w:r>
      <w:r>
        <w:rPr>
          <w:rFonts w:ascii="Arial" w:cs="Arial" w:eastAsia="Arial" w:hAnsi="Arial"/>
          <w:sz w:val="20"/>
          <w:szCs w:val="20"/>
          <w:color w:val="auto"/>
        </w:rPr>
        <w:t xml:space="preserve">. You will be paid an annual salary of USD </w:t>
      </w:r>
      <w:r>
        <w:rPr>
          <w:rFonts w:ascii="Arial" w:cs="Arial" w:eastAsia="Arial" w:hAnsi="Arial"/>
          <w:sz w:val="20"/>
          <w:szCs w:val="20"/>
          <w:b w:val="1"/>
          <w:bCs w:val="1"/>
          <w:color w:val="auto"/>
        </w:rPr>
        <w:t>$300,000.00</w:t>
      </w:r>
      <w:r>
        <w:rPr>
          <w:rFonts w:ascii="Arial" w:cs="Arial" w:eastAsia="Arial" w:hAnsi="Arial"/>
          <w:sz w:val="20"/>
          <w:szCs w:val="20"/>
          <w:color w:val="auto"/>
        </w:rPr>
        <w:t>, paid semi-monthly in accordance with the Company’s standard payroll policies, subject to required withholdings and taxes and any authorized employee deductions. This salary is subject to periodic review.</w:t>
      </w:r>
    </w:p>
    <w:p>
      <w:pPr>
        <w:spacing w:after="0" w:line="183" w:lineRule="exact"/>
        <w:rPr>
          <w:rFonts w:ascii="Arial" w:cs="Arial" w:eastAsia="Arial" w:hAnsi="Arial"/>
          <w:sz w:val="20"/>
          <w:szCs w:val="20"/>
          <w:color w:val="auto"/>
        </w:rPr>
      </w:pPr>
    </w:p>
    <w:p>
      <w:pPr>
        <w:jc w:val="both"/>
        <w:ind w:left="1300" w:right="100" w:hanging="330"/>
        <w:spacing w:after="0" w:line="261" w:lineRule="auto"/>
        <w:tabs>
          <w:tab w:leader="none" w:pos="1303" w:val="left"/>
        </w:tabs>
        <w:numPr>
          <w:ilvl w:val="1"/>
          <w:numId w:val="22"/>
        </w:numPr>
        <w:rPr>
          <w:rFonts w:ascii="Arial" w:cs="Arial" w:eastAsia="Arial" w:hAnsi="Arial"/>
          <w:sz w:val="20"/>
          <w:szCs w:val="20"/>
          <w:color w:val="auto"/>
        </w:rPr>
      </w:pPr>
      <w:r>
        <w:rPr>
          <w:rFonts w:ascii="Arial" w:cs="Arial" w:eastAsia="Arial" w:hAnsi="Arial"/>
          <w:sz w:val="20"/>
          <w:szCs w:val="20"/>
          <w:u w:val="single" w:color="auto"/>
          <w:color w:val="auto"/>
        </w:rPr>
        <w:t>Bonus</w:t>
      </w:r>
      <w:r>
        <w:rPr>
          <w:rFonts w:ascii="Arial" w:cs="Arial" w:eastAsia="Arial" w:hAnsi="Arial"/>
          <w:sz w:val="20"/>
          <w:szCs w:val="20"/>
          <w:color w:val="auto"/>
        </w:rPr>
        <w:t xml:space="preserve">. You will be eligible to participate in 8x8’s discretionary incentive plan. Your total annual target bonus will be </w:t>
      </w:r>
      <w:r>
        <w:rPr>
          <w:rFonts w:ascii="Arial" w:cs="Arial" w:eastAsia="Arial" w:hAnsi="Arial"/>
          <w:sz w:val="20"/>
          <w:szCs w:val="20"/>
          <w:b w:val="1"/>
          <w:bCs w:val="1"/>
          <w:color w:val="auto"/>
        </w:rPr>
        <w:t>40%</w:t>
      </w:r>
      <w:r>
        <w:rPr>
          <w:rFonts w:ascii="Arial" w:cs="Arial" w:eastAsia="Arial" w:hAnsi="Arial"/>
          <w:sz w:val="20"/>
          <w:szCs w:val="20"/>
          <w:color w:val="auto"/>
        </w:rPr>
        <w:t xml:space="preserve"> of your base salary, and any bonus earned with respect to the financial period in which your employment commences will be pro-rated accordingly. </w:t>
      </w:r>
      <w:r>
        <w:rPr>
          <w:rFonts w:ascii="Arial" w:cs="Arial" w:eastAsia="Arial" w:hAnsi="Arial"/>
          <w:sz w:val="20"/>
          <w:szCs w:val="20"/>
          <w:color w:val="212121"/>
        </w:rPr>
        <w:t>The actual bonus amount could be larger or smaller</w:t>
      </w:r>
      <w:r>
        <w:rPr>
          <w:rFonts w:ascii="Arial" w:cs="Arial" w:eastAsia="Arial" w:hAnsi="Arial"/>
          <w:sz w:val="20"/>
          <w:szCs w:val="20"/>
          <w:color w:val="auto"/>
        </w:rPr>
        <w:t xml:space="preserve"> </w:t>
      </w:r>
      <w:r>
        <w:rPr>
          <w:rFonts w:ascii="Arial" w:cs="Arial" w:eastAsia="Arial" w:hAnsi="Arial"/>
          <w:sz w:val="20"/>
          <w:szCs w:val="20"/>
          <w:color w:val="212121"/>
        </w:rPr>
        <w:t xml:space="preserve">than the target amount, based on your performance, and the performance of the Company. The exact bonus amount is at the sole discretion of the Company. </w:t>
      </w:r>
      <w:r>
        <w:rPr>
          <w:rFonts w:ascii="Arial" w:cs="Arial" w:eastAsia="Arial" w:hAnsi="Arial"/>
          <w:sz w:val="20"/>
          <w:szCs w:val="20"/>
          <w:color w:val="000000"/>
        </w:rPr>
        <w:t>The components and respective attainment will be determined</w:t>
      </w:r>
      <w:r>
        <w:rPr>
          <w:rFonts w:ascii="Arial" w:cs="Arial" w:eastAsia="Arial" w:hAnsi="Arial"/>
          <w:sz w:val="20"/>
          <w:szCs w:val="20"/>
          <w:color w:val="212121"/>
        </w:rPr>
        <w:t xml:space="preserve"> </w:t>
      </w:r>
      <w:r>
        <w:rPr>
          <w:rFonts w:ascii="Arial" w:cs="Arial" w:eastAsia="Arial" w:hAnsi="Arial"/>
          <w:sz w:val="20"/>
          <w:szCs w:val="20"/>
          <w:color w:val="000000"/>
        </w:rPr>
        <w:t>by your management team and the Company, with details to be communicated.</w:t>
      </w:r>
    </w:p>
    <w:p>
      <w:pPr>
        <w:spacing w:after="0" w:line="254" w:lineRule="exact"/>
        <w:rPr>
          <w:rFonts w:ascii="Arial" w:cs="Arial" w:eastAsia="Arial" w:hAnsi="Arial"/>
          <w:sz w:val="20"/>
          <w:szCs w:val="20"/>
          <w:color w:val="auto"/>
        </w:rPr>
      </w:pPr>
    </w:p>
    <w:p>
      <w:pPr>
        <w:jc w:val="both"/>
        <w:ind w:left="1300" w:right="100" w:hanging="330"/>
        <w:spacing w:after="0" w:line="265" w:lineRule="auto"/>
        <w:tabs>
          <w:tab w:leader="none" w:pos="1319" w:val="left"/>
        </w:tabs>
        <w:numPr>
          <w:ilvl w:val="1"/>
          <w:numId w:val="22"/>
        </w:numPr>
        <w:rPr>
          <w:rFonts w:ascii="Arial" w:cs="Arial" w:eastAsia="Arial" w:hAnsi="Arial"/>
          <w:sz w:val="19"/>
          <w:szCs w:val="19"/>
          <w:color w:val="auto"/>
        </w:rPr>
      </w:pPr>
      <w:r>
        <w:rPr>
          <w:rFonts w:ascii="Arial" w:cs="Arial" w:eastAsia="Arial" w:hAnsi="Arial"/>
          <w:sz w:val="19"/>
          <w:szCs w:val="19"/>
          <w:u w:val="single" w:color="auto"/>
          <w:color w:val="auto"/>
        </w:rPr>
        <w:t>Stock Award</w:t>
      </w:r>
      <w:r>
        <w:rPr>
          <w:rFonts w:ascii="Arial" w:cs="Arial" w:eastAsia="Arial" w:hAnsi="Arial"/>
          <w:sz w:val="19"/>
          <w:szCs w:val="19"/>
          <w:color w:val="auto"/>
        </w:rPr>
        <w:t xml:space="preserve">. Subject to the approval of 8x8’s Board of Directors, you will be granted an award of approximately </w:t>
      </w:r>
      <w:r>
        <w:rPr>
          <w:rFonts w:ascii="Arial" w:cs="Arial" w:eastAsia="Arial" w:hAnsi="Arial"/>
          <w:sz w:val="19"/>
          <w:szCs w:val="19"/>
          <w:b w:val="1"/>
          <w:bCs w:val="1"/>
          <w:color w:val="auto"/>
        </w:rPr>
        <w:t>USD $675,000.00</w:t>
      </w:r>
      <w:r>
        <w:rPr>
          <w:rFonts w:ascii="Arial" w:cs="Arial" w:eastAsia="Arial" w:hAnsi="Arial"/>
          <w:sz w:val="19"/>
          <w:szCs w:val="19"/>
          <w:color w:val="auto"/>
        </w:rPr>
        <w:t xml:space="preserve"> in value of restricted stock units (“RSUs”), representing the right to acquire shares of 8x8, Inc. Common Stock upon vesting. The actual number of shares subject to the RSU award will be determined by dividing the value of the RSU award by the trailing 30- trading-day average of 8x8’s closing stock price prior to the date of grant (which is typically on or about the 15</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of the calendar month immediately following your Start Date). We anticipate that this award will be subject to the terms of the 8x8, Inc. Amended and Restated 2012 Equity Incentive Plan, as amended (a copy of which is available with 8x8’s SEC filings at www.sec.gov). The shares will vest over a three-year period, with one-third (1/3) vesting on the first anniversary of the grant date, and the remainder vesting in eight (8) equal quarterly installments thereafter, subject to your continued employment or other qualifying association with the Company or any of its affiliates.</w:t>
      </w:r>
    </w:p>
    <w:p>
      <w:pPr>
        <w:sectPr>
          <w:pgSz w:w="11900" w:h="16838" w:orient="portrait"/>
          <w:cols w:equalWidth="0" w:num="1">
            <w:col w:w="11140"/>
          </w:cols>
          <w:pgMar w:left="420" w:top="798" w:right="339" w:bottom="1440" w:gutter="0" w:footer="0" w:header="0"/>
        </w:sectPr>
      </w:pPr>
    </w:p>
    <w:bookmarkStart w:id="43" w:name="page44"/>
    <w:bookmarkEnd w:id="43"/>
    <w:p>
      <w:pPr>
        <w:jc w:val="both"/>
        <w:ind w:left="979" w:right="100" w:hanging="330"/>
        <w:spacing w:after="0" w:line="257" w:lineRule="auto"/>
        <w:tabs>
          <w:tab w:leader="none" w:pos="982" w:val="left"/>
        </w:tabs>
        <w:numPr>
          <w:ilvl w:val="1"/>
          <w:numId w:val="23"/>
        </w:numPr>
        <w:rPr>
          <w:rFonts w:ascii="Arial" w:cs="Arial" w:eastAsia="Arial" w:hAnsi="Arial"/>
          <w:sz w:val="20"/>
          <w:szCs w:val="20"/>
          <w:color w:val="auto"/>
        </w:rPr>
      </w:pPr>
      <w:r>
        <w:rPr>
          <w:rFonts w:ascii="Arial" w:cs="Arial" w:eastAsia="Arial" w:hAnsi="Arial"/>
          <w:sz w:val="20"/>
          <w:szCs w:val="20"/>
          <w:u w:val="single" w:color="auto"/>
          <w:color w:val="auto"/>
        </w:rPr>
        <w:t>Stock Award:</w:t>
      </w:r>
      <w:r>
        <w:rPr>
          <w:rFonts w:ascii="Arial" w:cs="Arial" w:eastAsia="Arial" w:hAnsi="Arial"/>
          <w:sz w:val="20"/>
          <w:szCs w:val="20"/>
          <w:color w:val="auto"/>
        </w:rPr>
        <w:t xml:space="preserve"> Subject to the approval of 8x8’s Board of Directors, you will be granted a special award of approximately $200,000 in value of restricted stock units (RSU’s), representing the right to acquire shares of 8x8, Inc. common stock (NYSE:EGHT) upon vesting. The actual number of shares subject to the RSU award will be determined by dividing the value of the RSU award by the trailing 30-trading-day average of 8x8’s closing stock price prior to the date of grant (which is typically on or about the 15th day of the calendar month immediately following the employee’s start date). We anticipate that this award will be subject to the terms of the 8x8, Inc. Amended and Restated 2012 Equity Incentive Plan, as amended (a copy of which is available with 8x8’s SEC filings at www.sec.gov). The shares will vest over a one (1) year period, at a rate of one-hundred percent (100%) of the total number of underlying shares fully vesting on the first anniversary of your employment start date, subject to your continued employment or other qualifying association with the Company or any of its affiliates.</w:t>
      </w:r>
    </w:p>
    <w:p>
      <w:pPr>
        <w:spacing w:after="0" w:line="215" w:lineRule="exact"/>
        <w:rPr>
          <w:rFonts w:ascii="Arial" w:cs="Arial" w:eastAsia="Arial" w:hAnsi="Arial"/>
          <w:sz w:val="20"/>
          <w:szCs w:val="20"/>
          <w:color w:val="auto"/>
        </w:rPr>
      </w:pPr>
    </w:p>
    <w:p>
      <w:pPr>
        <w:ind w:left="979" w:hanging="331"/>
        <w:spacing w:after="0"/>
        <w:tabs>
          <w:tab w:leader="none" w:pos="979" w:val="left"/>
        </w:tabs>
        <w:numPr>
          <w:ilvl w:val="1"/>
          <w:numId w:val="23"/>
        </w:numPr>
        <w:rPr>
          <w:rFonts w:ascii="Arial" w:cs="Arial" w:eastAsia="Arial" w:hAnsi="Arial"/>
          <w:sz w:val="20"/>
          <w:szCs w:val="20"/>
          <w:color w:val="auto"/>
        </w:rPr>
      </w:pPr>
      <w:r>
        <w:rPr>
          <w:rFonts w:ascii="Arial" w:cs="Arial" w:eastAsia="Arial" w:hAnsi="Arial"/>
          <w:sz w:val="20"/>
          <w:szCs w:val="20"/>
          <w:u w:val="single" w:color="auto"/>
          <w:color w:val="auto"/>
        </w:rPr>
        <w:t>Performance Stock Award</w:t>
      </w:r>
      <w:r>
        <w:rPr>
          <w:rFonts w:ascii="Arial" w:cs="Arial" w:eastAsia="Arial" w:hAnsi="Arial"/>
          <w:sz w:val="21"/>
          <w:szCs w:val="21"/>
          <w:color w:val="212121"/>
        </w:rPr>
        <w:t>:</w:t>
      </w:r>
    </w:p>
    <w:p>
      <w:pPr>
        <w:spacing w:after="0" w:line="49" w:lineRule="exact"/>
        <w:rPr>
          <w:rFonts w:ascii="Arial" w:cs="Arial" w:eastAsia="Arial" w:hAnsi="Arial"/>
          <w:sz w:val="20"/>
          <w:szCs w:val="20"/>
          <w:color w:val="auto"/>
        </w:rPr>
      </w:pPr>
    </w:p>
    <w:p>
      <w:pPr>
        <w:jc w:val="both"/>
        <w:ind w:left="1619" w:right="200" w:hanging="351"/>
        <w:spacing w:after="0" w:line="276" w:lineRule="auto"/>
        <w:tabs>
          <w:tab w:leader="none" w:pos="1622" w:val="left"/>
        </w:tabs>
        <w:numPr>
          <w:ilvl w:val="2"/>
          <w:numId w:val="23"/>
        </w:numPr>
        <w:rPr>
          <w:rFonts w:ascii="Arial" w:cs="Arial" w:eastAsia="Arial" w:hAnsi="Arial"/>
          <w:sz w:val="19"/>
          <w:szCs w:val="19"/>
          <w:color w:val="auto"/>
        </w:rPr>
      </w:pPr>
      <w:r>
        <w:rPr>
          <w:rFonts w:ascii="Arial" w:cs="Arial" w:eastAsia="Arial" w:hAnsi="Arial"/>
          <w:sz w:val="19"/>
          <w:szCs w:val="19"/>
          <w:color w:val="auto"/>
        </w:rPr>
        <w:t xml:space="preserve">Subject to the approval of 8x8’s Board of Directors, you will be granted a performance stock award of approximately </w:t>
      </w:r>
      <w:r>
        <w:rPr>
          <w:rFonts w:ascii="Arial" w:cs="Arial" w:eastAsia="Arial" w:hAnsi="Arial"/>
          <w:sz w:val="19"/>
          <w:szCs w:val="19"/>
          <w:b w:val="1"/>
          <w:bCs w:val="1"/>
          <w:color w:val="auto"/>
        </w:rPr>
        <w:t>USD $225,000.00</w:t>
      </w:r>
      <w:r>
        <w:rPr>
          <w:rFonts w:ascii="Arial" w:cs="Arial" w:eastAsia="Arial" w:hAnsi="Arial"/>
          <w:sz w:val="19"/>
          <w:szCs w:val="19"/>
          <w:color w:val="auto"/>
        </w:rPr>
        <w:t xml:space="preserve"> in value of performance stock units (PSU’s). The actual number of shares subject to the PSU award will be determined by dividing the value of the PSU award by the trailing 30-trading-day average of 8x8’s closing stock price prior to the date of grant (which is typically on or about the 15th day of the calendar month immediately following the Start Date). The performance metrics and vesting terms subject to this award are as set forth in the attached </w:t>
      </w:r>
      <w:r>
        <w:rPr>
          <w:rFonts w:ascii="Arial" w:cs="Arial" w:eastAsia="Arial" w:hAnsi="Arial"/>
          <w:sz w:val="19"/>
          <w:szCs w:val="19"/>
          <w:b w:val="1"/>
          <w:bCs w:val="1"/>
          <w:color w:val="auto"/>
        </w:rPr>
        <w:t>Exhibit A</w:t>
      </w:r>
      <w:r>
        <w:rPr>
          <w:rFonts w:ascii="Arial" w:cs="Arial" w:eastAsia="Arial" w:hAnsi="Arial"/>
          <w:sz w:val="19"/>
          <w:szCs w:val="19"/>
          <w:color w:val="auto"/>
        </w:rPr>
        <w:t>.</w:t>
      </w:r>
    </w:p>
    <w:p>
      <w:pPr>
        <w:spacing w:after="0" w:line="174" w:lineRule="exact"/>
        <w:rPr>
          <w:rFonts w:ascii="Arial" w:cs="Arial" w:eastAsia="Arial" w:hAnsi="Arial"/>
          <w:sz w:val="19"/>
          <w:szCs w:val="19"/>
          <w:color w:val="auto"/>
        </w:rPr>
      </w:pPr>
    </w:p>
    <w:p>
      <w:pPr>
        <w:ind w:left="319" w:right="120" w:hanging="318"/>
        <w:spacing w:after="0" w:line="296" w:lineRule="auto"/>
        <w:tabs>
          <w:tab w:leader="none" w:pos="322"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Benefits: </w:t>
      </w:r>
      <w:r>
        <w:rPr>
          <w:rFonts w:ascii="Arial" w:cs="Arial" w:eastAsia="Arial" w:hAnsi="Arial"/>
          <w:sz w:val="20"/>
          <w:szCs w:val="20"/>
          <w:color w:val="auto"/>
        </w:rPr>
        <w:t>You will be eligible to participate in the Company’s standard vacation, medical, vision, dental insurance</w:t>
      </w:r>
      <w:r>
        <w:rPr>
          <w:rFonts w:ascii="Arial" w:cs="Arial" w:eastAsia="Arial" w:hAnsi="Arial"/>
          <w:sz w:val="20"/>
          <w:szCs w:val="20"/>
          <w:b w:val="1"/>
          <w:bCs w:val="1"/>
          <w:color w:val="auto"/>
        </w:rPr>
        <w:t xml:space="preserve"> </w:t>
      </w:r>
      <w:r>
        <w:rPr>
          <w:rFonts w:ascii="Arial" w:cs="Arial" w:eastAsia="Arial" w:hAnsi="Arial"/>
          <w:sz w:val="20"/>
          <w:szCs w:val="20"/>
          <w:color w:val="auto"/>
        </w:rPr>
        <w:t>benefits and 401(k) plan available to similarly situated employees according to the benefit plans and Company policy.</w:t>
      </w:r>
    </w:p>
    <w:p>
      <w:pPr>
        <w:spacing w:after="0" w:line="148" w:lineRule="exact"/>
        <w:rPr>
          <w:rFonts w:ascii="Arial" w:cs="Arial" w:eastAsia="Arial" w:hAnsi="Arial"/>
          <w:sz w:val="20"/>
          <w:szCs w:val="20"/>
          <w:b w:val="1"/>
          <w:bCs w:val="1"/>
          <w:color w:val="auto"/>
        </w:rPr>
      </w:pPr>
    </w:p>
    <w:p>
      <w:pPr>
        <w:ind w:left="319" w:hanging="319"/>
        <w:spacing w:after="0"/>
        <w:tabs>
          <w:tab w:leader="none" w:pos="319"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Pre-Employment Conditions:</w:t>
      </w:r>
    </w:p>
    <w:p>
      <w:pPr>
        <w:spacing w:after="0" w:line="51" w:lineRule="exact"/>
        <w:rPr>
          <w:rFonts w:ascii="Arial" w:cs="Arial" w:eastAsia="Arial" w:hAnsi="Arial"/>
          <w:sz w:val="20"/>
          <w:szCs w:val="20"/>
          <w:b w:val="1"/>
          <w:bCs w:val="1"/>
          <w:color w:val="auto"/>
        </w:rPr>
      </w:pPr>
    </w:p>
    <w:p>
      <w:pPr>
        <w:jc w:val="both"/>
        <w:ind w:left="1619" w:right="100" w:hanging="322"/>
        <w:spacing w:after="0" w:line="254" w:lineRule="auto"/>
        <w:tabs>
          <w:tab w:leader="none" w:pos="1803" w:val="left"/>
        </w:tabs>
        <w:numPr>
          <w:ilvl w:val="3"/>
          <w:numId w:val="24"/>
        </w:numPr>
        <w:rPr>
          <w:rFonts w:ascii="Arial" w:cs="Arial" w:eastAsia="Arial" w:hAnsi="Arial"/>
          <w:sz w:val="20"/>
          <w:szCs w:val="20"/>
          <w:color w:val="auto"/>
        </w:rPr>
      </w:pPr>
      <w:r>
        <w:rPr>
          <w:rFonts w:ascii="Arial" w:cs="Arial" w:eastAsia="Arial" w:hAnsi="Arial"/>
          <w:sz w:val="20"/>
          <w:szCs w:val="20"/>
          <w:u w:val="single" w:color="auto"/>
          <w:color w:val="auto"/>
        </w:rPr>
        <w:t>Confidentiality and Inventions Assignment Agreement</w:t>
      </w:r>
      <w:r>
        <w:rPr>
          <w:rFonts w:ascii="Arial" w:cs="Arial" w:eastAsia="Arial" w:hAnsi="Arial"/>
          <w:sz w:val="20"/>
          <w:szCs w:val="20"/>
          <w:color w:val="auto"/>
        </w:rPr>
        <w:t>. Like all Company employees, you will be required to sign the Company’s standard Confidential Information and Inventions Assignment Agreement (“Confidentiality Agreement”), which includes covenants relating to, among other matters, protection of the Company’s proprietary and confidential information, assignment of inventions and non-solicitation of Company employees for 12 months following the termination of your employment.</w:t>
      </w:r>
    </w:p>
    <w:p>
      <w:pPr>
        <w:spacing w:after="0" w:line="1" w:lineRule="exact"/>
        <w:rPr>
          <w:rFonts w:ascii="Arial" w:cs="Arial" w:eastAsia="Arial" w:hAnsi="Arial"/>
          <w:sz w:val="20"/>
          <w:szCs w:val="20"/>
          <w:color w:val="auto"/>
        </w:rPr>
      </w:pPr>
    </w:p>
    <w:p>
      <w:pPr>
        <w:ind w:left="1699" w:hanging="411"/>
        <w:spacing w:after="0"/>
        <w:tabs>
          <w:tab w:leader="none" w:pos="1699" w:val="left"/>
        </w:tabs>
        <w:numPr>
          <w:ilvl w:val="3"/>
          <w:numId w:val="24"/>
        </w:numPr>
        <w:rPr>
          <w:rFonts w:ascii="Arial" w:cs="Arial" w:eastAsia="Arial" w:hAnsi="Arial"/>
          <w:sz w:val="20"/>
          <w:szCs w:val="20"/>
          <w:color w:val="auto"/>
        </w:rPr>
      </w:pPr>
      <w:r>
        <w:rPr>
          <w:rFonts w:ascii="Arial" w:cs="Arial" w:eastAsia="Arial" w:hAnsi="Arial"/>
          <w:sz w:val="20"/>
          <w:szCs w:val="20"/>
          <w:color w:val="auto"/>
        </w:rPr>
        <w:t>This offer will be withdrawn if any of the above conditions are not satisfied.</w:t>
      </w:r>
    </w:p>
    <w:p>
      <w:pPr>
        <w:spacing w:after="0" w:line="282" w:lineRule="exact"/>
        <w:rPr>
          <w:rFonts w:ascii="Arial" w:cs="Arial" w:eastAsia="Arial" w:hAnsi="Arial"/>
          <w:sz w:val="20"/>
          <w:szCs w:val="20"/>
          <w:color w:val="auto"/>
        </w:rPr>
      </w:pPr>
    </w:p>
    <w:p>
      <w:pPr>
        <w:jc w:val="both"/>
        <w:ind w:left="319" w:right="100" w:hanging="318"/>
        <w:spacing w:after="0" w:line="259" w:lineRule="auto"/>
        <w:tabs>
          <w:tab w:leader="none" w:pos="322"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Compliance with Obligations to Current and Former Employers: </w:t>
      </w:r>
      <w:r>
        <w:rPr>
          <w:rFonts w:ascii="Arial" w:cs="Arial" w:eastAsia="Arial" w:hAnsi="Arial"/>
          <w:sz w:val="20"/>
          <w:szCs w:val="20"/>
          <w:color w:val="auto"/>
        </w:rPr>
        <w:t>8x8 is hiring you for your talents, skills, general</w:t>
      </w:r>
      <w:r>
        <w:rPr>
          <w:rFonts w:ascii="Arial" w:cs="Arial" w:eastAsia="Arial" w:hAnsi="Arial"/>
          <w:sz w:val="20"/>
          <w:szCs w:val="20"/>
          <w:b w:val="1"/>
          <w:bCs w:val="1"/>
          <w:color w:val="auto"/>
        </w:rPr>
        <w:t xml:space="preserve"> </w:t>
      </w:r>
      <w:r>
        <w:rPr>
          <w:rFonts w:ascii="Arial" w:cs="Arial" w:eastAsia="Arial" w:hAnsi="Arial"/>
          <w:sz w:val="20"/>
          <w:szCs w:val="20"/>
          <w:color w:val="auto"/>
        </w:rPr>
        <w:t>industry knowledge and expertise. During the course of your employment with 8x8, we expect you to comply with any and all obligations you may have to any former employers (including your current employer), including, for example, any prohibitions against the use or disclosure of such employer’s confidential information, or the solicitation of its employees.</w:t>
      </w:r>
    </w:p>
    <w:p>
      <w:pPr>
        <w:spacing w:after="0" w:line="2" w:lineRule="exact"/>
        <w:rPr>
          <w:rFonts w:ascii="Arial" w:cs="Arial" w:eastAsia="Arial" w:hAnsi="Arial"/>
          <w:sz w:val="20"/>
          <w:szCs w:val="20"/>
          <w:b w:val="1"/>
          <w:bCs w:val="1"/>
          <w:color w:val="auto"/>
        </w:rPr>
      </w:pPr>
    </w:p>
    <w:p>
      <w:pPr>
        <w:jc w:val="both"/>
        <w:ind w:left="979" w:hanging="330"/>
        <w:spacing w:after="0" w:line="244" w:lineRule="auto"/>
        <w:tabs>
          <w:tab w:leader="none" w:pos="1171" w:val="left"/>
        </w:tabs>
        <w:numPr>
          <w:ilvl w:val="1"/>
          <w:numId w:val="24"/>
        </w:numPr>
        <w:rPr>
          <w:rFonts w:ascii="Arial" w:cs="Arial" w:eastAsia="Arial" w:hAnsi="Arial"/>
          <w:sz w:val="20"/>
          <w:szCs w:val="20"/>
          <w:color w:val="auto"/>
        </w:rPr>
      </w:pPr>
      <w:r>
        <w:rPr>
          <w:rFonts w:ascii="Arial" w:cs="Arial" w:eastAsia="Arial" w:hAnsi="Arial"/>
          <w:sz w:val="20"/>
          <w:szCs w:val="20"/>
          <w:color w:val="auto"/>
        </w:rPr>
        <w:t>You must not use or disclose during the course of your employment with 8x8, any trade secrets or other confidential information of any former employer or any other company not affiliated with 8x8, nor should you copy or take with you any confidential or proprietary materials from another company. You will not need this information to perform your duties at 8x8 and using such information would violate 8x8 policies.</w:t>
      </w:r>
    </w:p>
    <w:p>
      <w:pPr>
        <w:spacing w:after="0" w:line="213" w:lineRule="exact"/>
        <w:rPr>
          <w:rFonts w:ascii="Arial" w:cs="Arial" w:eastAsia="Arial" w:hAnsi="Arial"/>
          <w:sz w:val="20"/>
          <w:szCs w:val="20"/>
          <w:color w:val="auto"/>
        </w:rPr>
      </w:pPr>
    </w:p>
    <w:p>
      <w:pPr>
        <w:ind w:left="979" w:right="100" w:hanging="330"/>
        <w:spacing w:after="0" w:line="294" w:lineRule="auto"/>
        <w:tabs>
          <w:tab w:leader="none" w:pos="1104" w:val="left"/>
        </w:tabs>
        <w:numPr>
          <w:ilvl w:val="1"/>
          <w:numId w:val="24"/>
        </w:numPr>
        <w:rPr>
          <w:rFonts w:ascii="Arial" w:cs="Arial" w:eastAsia="Arial" w:hAnsi="Arial"/>
          <w:sz w:val="20"/>
          <w:szCs w:val="20"/>
          <w:color w:val="auto"/>
        </w:rPr>
      </w:pPr>
      <w:r>
        <w:rPr>
          <w:rFonts w:ascii="Arial" w:cs="Arial" w:eastAsia="Arial" w:hAnsi="Arial"/>
          <w:sz w:val="20"/>
          <w:szCs w:val="20"/>
          <w:color w:val="auto"/>
        </w:rPr>
        <w:t>You represent and agree that your employment with 8x8 will not violate any restrictions against competition or similar covenants to which you may be subject.</w:t>
      </w:r>
    </w:p>
    <w:p>
      <w:pPr>
        <w:sectPr>
          <w:pgSz w:w="11900" w:h="16838" w:orient="portrait"/>
          <w:cols w:equalWidth="0" w:num="1">
            <w:col w:w="10819"/>
          </w:cols>
          <w:pgMar w:left="741" w:top="1001" w:right="339" w:bottom="1440" w:gutter="0" w:footer="0" w:header="0"/>
        </w:sectPr>
      </w:pPr>
    </w:p>
    <w:bookmarkStart w:id="44" w:name="page45"/>
    <w:bookmarkEnd w:id="44"/>
    <w:p>
      <w:pPr>
        <w:jc w:val="both"/>
        <w:ind w:left="740" w:right="20" w:hanging="318"/>
        <w:spacing w:after="0" w:line="264" w:lineRule="auto"/>
        <w:tabs>
          <w:tab w:leader="none" w:pos="743"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Severance Benefits: </w:t>
      </w:r>
      <w:r>
        <w:rPr>
          <w:rFonts w:ascii="Arial" w:cs="Arial" w:eastAsia="Arial" w:hAnsi="Arial"/>
          <w:sz w:val="20"/>
          <w:szCs w:val="20"/>
          <w:color w:val="auto"/>
        </w:rPr>
        <w:t xml:space="preserve">You will be entitled to benefits under the 8x8, Inc. 2019 Change in Control Policy for Non-Executive Key Employees, in accordance with the terms thereof. Such benefits include potential vesting acceleration of stock-based compensation and/or cash severance upon the termination of your employment under specified circumstances, including in connection with a Change-in-Control (as defined in the Policy), subject to the terms and conditions of the Policy. A copy of the Policy, as in effect on the date of this offer letter, is attached for reference as </w:t>
      </w:r>
      <w:r>
        <w:rPr>
          <w:rFonts w:ascii="Arial" w:cs="Arial" w:eastAsia="Arial" w:hAnsi="Arial"/>
          <w:sz w:val="20"/>
          <w:szCs w:val="20"/>
          <w:b w:val="1"/>
          <w:bCs w:val="1"/>
          <w:color w:val="auto"/>
        </w:rPr>
        <w:t>Exhibit B</w:t>
      </w:r>
      <w:r>
        <w:rPr>
          <w:rFonts w:ascii="Arial" w:cs="Arial" w:eastAsia="Arial" w:hAnsi="Arial"/>
          <w:sz w:val="20"/>
          <w:szCs w:val="20"/>
          <w:color w:val="auto"/>
        </w:rPr>
        <w:t>.</w:t>
      </w:r>
    </w:p>
    <w:p>
      <w:pPr>
        <w:spacing w:after="0" w:line="183" w:lineRule="exact"/>
        <w:rPr>
          <w:rFonts w:ascii="Arial" w:cs="Arial" w:eastAsia="Arial" w:hAnsi="Arial"/>
          <w:sz w:val="20"/>
          <w:szCs w:val="20"/>
          <w:b w:val="1"/>
          <w:bCs w:val="1"/>
          <w:color w:val="auto"/>
        </w:rPr>
      </w:pPr>
    </w:p>
    <w:p>
      <w:pPr>
        <w:jc w:val="both"/>
        <w:ind w:left="740" w:hanging="318"/>
        <w:spacing w:after="0" w:line="260" w:lineRule="auto"/>
        <w:tabs>
          <w:tab w:leader="none" w:pos="743"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At-Will Employment: </w:t>
      </w:r>
      <w:r>
        <w:rPr>
          <w:rFonts w:ascii="Arial" w:cs="Arial" w:eastAsia="Arial" w:hAnsi="Arial"/>
          <w:sz w:val="20"/>
          <w:szCs w:val="20"/>
          <w:color w:val="auto"/>
        </w:rPr>
        <w:t>This Offer Letter does not constitute a contract of employment for any period of time. You will be</w:t>
      </w:r>
      <w:r>
        <w:rPr>
          <w:rFonts w:ascii="Arial" w:cs="Arial" w:eastAsia="Arial" w:hAnsi="Arial"/>
          <w:sz w:val="20"/>
          <w:szCs w:val="20"/>
          <w:b w:val="1"/>
          <w:bCs w:val="1"/>
          <w:color w:val="auto"/>
        </w:rPr>
        <w:t xml:space="preserve"> </w:t>
      </w:r>
      <w:r>
        <w:rPr>
          <w:rFonts w:ascii="Arial" w:cs="Arial" w:eastAsia="Arial" w:hAnsi="Arial"/>
          <w:sz w:val="20"/>
          <w:szCs w:val="20"/>
          <w:color w:val="auto"/>
        </w:rPr>
        <w:t>an employee-at-will, meaning that either you or the Company may terminate your employment at any time, with or without cause, with or without notice, for any reason or no particular reason. Although your compensation and benefits may change from time to time, the at-will nature of your employment may only be changed by an express written agreement signed by an authorized officer of the Company. Your signature at the end of this Offer Letter confirms that no promises or agreements that are contrary to our at-will relationship have been committed to you during any of your pre- employment discussions with 8x8.</w:t>
      </w:r>
    </w:p>
    <w:p>
      <w:pPr>
        <w:spacing w:after="0" w:line="213" w:lineRule="exact"/>
        <w:rPr>
          <w:rFonts w:ascii="Arial" w:cs="Arial" w:eastAsia="Arial" w:hAnsi="Arial"/>
          <w:sz w:val="20"/>
          <w:szCs w:val="20"/>
          <w:b w:val="1"/>
          <w:bCs w:val="1"/>
          <w:color w:val="auto"/>
        </w:rPr>
      </w:pPr>
    </w:p>
    <w:p>
      <w:pPr>
        <w:jc w:val="both"/>
        <w:ind w:left="740" w:hanging="318"/>
        <w:spacing w:after="0" w:line="267" w:lineRule="auto"/>
        <w:tabs>
          <w:tab w:leader="none" w:pos="743"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General Obligations</w:t>
      </w:r>
      <w:r>
        <w:rPr>
          <w:rFonts w:ascii="Arial" w:cs="Arial" w:eastAsia="Arial" w:hAnsi="Arial"/>
          <w:sz w:val="20"/>
          <w:szCs w:val="20"/>
          <w:color w:val="auto"/>
        </w:rPr>
        <w:t>: At all times during your employment, you are expected to adhere to the Company’s standards</w:t>
      </w:r>
      <w:r>
        <w:rPr>
          <w:rFonts w:ascii="Arial" w:cs="Arial" w:eastAsia="Arial" w:hAnsi="Arial"/>
          <w:sz w:val="20"/>
          <w:szCs w:val="20"/>
          <w:b w:val="1"/>
          <w:bCs w:val="1"/>
          <w:color w:val="auto"/>
        </w:rPr>
        <w:t xml:space="preserve"> </w:t>
      </w:r>
      <w:r>
        <w:rPr>
          <w:rFonts w:ascii="Arial" w:cs="Arial" w:eastAsia="Arial" w:hAnsi="Arial"/>
          <w:sz w:val="20"/>
          <w:szCs w:val="20"/>
          <w:color w:val="auto"/>
        </w:rPr>
        <w:t>of professionalism, loyalty, integrity, honesty, reliability and respect for all. You also agree to observe, respect and comply with all policies and procedures of the Company, whether written or oral, including but not limited to the Company’s Employee Handbook.</w:t>
      </w:r>
    </w:p>
    <w:p>
      <w:pPr>
        <w:spacing w:after="0" w:line="191" w:lineRule="exact"/>
        <w:rPr>
          <w:rFonts w:ascii="Arial" w:cs="Arial" w:eastAsia="Arial" w:hAnsi="Arial"/>
          <w:sz w:val="20"/>
          <w:szCs w:val="20"/>
          <w:b w:val="1"/>
          <w:bCs w:val="1"/>
          <w:color w:val="auto"/>
        </w:rPr>
      </w:pPr>
    </w:p>
    <w:p>
      <w:pPr>
        <w:jc w:val="both"/>
        <w:ind w:left="740" w:hanging="318"/>
        <w:spacing w:after="0" w:line="267" w:lineRule="auto"/>
        <w:tabs>
          <w:tab w:leader="none" w:pos="743"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 Outside Consulting: </w:t>
      </w:r>
      <w:r>
        <w:rPr>
          <w:rFonts w:ascii="Arial" w:cs="Arial" w:eastAsia="Arial" w:hAnsi="Arial"/>
          <w:sz w:val="20"/>
          <w:szCs w:val="20"/>
          <w:color w:val="auto"/>
        </w:rPr>
        <w:t>You agree not to serve on any board of directors or equivalent governing body for any other</w:t>
      </w:r>
      <w:r>
        <w:rPr>
          <w:rFonts w:ascii="Arial" w:cs="Arial" w:eastAsia="Arial" w:hAnsi="Arial"/>
          <w:sz w:val="20"/>
          <w:szCs w:val="20"/>
          <w:b w:val="1"/>
          <w:bCs w:val="1"/>
          <w:color w:val="auto"/>
        </w:rPr>
        <w:t xml:space="preserve"> </w:t>
      </w:r>
      <w:r>
        <w:rPr>
          <w:rFonts w:ascii="Arial" w:cs="Arial" w:eastAsia="Arial" w:hAnsi="Arial"/>
          <w:sz w:val="20"/>
          <w:szCs w:val="20"/>
          <w:color w:val="auto"/>
        </w:rPr>
        <w:t>organization, nor to perform any outside consulting work for any other person or organization, while employed full-time at the Company, other than with the advance written approval of the Senior Vice President of Human Resources of the Company.</w:t>
      </w:r>
    </w:p>
    <w:p>
      <w:pPr>
        <w:spacing w:after="0" w:line="205" w:lineRule="exact"/>
        <w:rPr>
          <w:rFonts w:ascii="Arial" w:cs="Arial" w:eastAsia="Arial" w:hAnsi="Arial"/>
          <w:sz w:val="20"/>
          <w:szCs w:val="20"/>
          <w:b w:val="1"/>
          <w:bCs w:val="1"/>
          <w:color w:val="auto"/>
        </w:rPr>
      </w:pPr>
    </w:p>
    <w:p>
      <w:pPr>
        <w:jc w:val="both"/>
        <w:ind w:left="740" w:right="20" w:hanging="318"/>
        <w:spacing w:after="0" w:line="262" w:lineRule="auto"/>
        <w:tabs>
          <w:tab w:leader="none" w:pos="743"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8x8 is an E-Verify employer</w:t>
      </w:r>
      <w:r>
        <w:rPr>
          <w:rFonts w:ascii="Arial" w:cs="Arial" w:eastAsia="Arial" w:hAnsi="Arial"/>
          <w:sz w:val="20"/>
          <w:szCs w:val="20"/>
          <w:color w:val="auto"/>
        </w:rPr>
        <w:t>: 8x8 uses E-Verify to establish identity and authorization to work as required by the</w:t>
      </w:r>
      <w:r>
        <w:rPr>
          <w:rFonts w:ascii="Arial" w:cs="Arial" w:eastAsia="Arial" w:hAnsi="Arial"/>
          <w:sz w:val="20"/>
          <w:szCs w:val="20"/>
          <w:b w:val="1"/>
          <w:bCs w:val="1"/>
          <w:color w:val="auto"/>
        </w:rPr>
        <w:t xml:space="preserve"> </w:t>
      </w:r>
      <w:r>
        <w:rPr>
          <w:rFonts w:ascii="Arial" w:cs="Arial" w:eastAsia="Arial" w:hAnsi="Arial"/>
          <w:sz w:val="20"/>
          <w:szCs w:val="20"/>
          <w:color w:val="auto"/>
        </w:rPr>
        <w:t>Immigration Reform and Control Act of 1986 ("IRCA"). E-Verify is an Internet-based system maintained by the U.S. government that allows businesses to determine the eligibility of their employees to work in the United States. E-Verify compares information from an employee's Form I-9 to data from U.S. Department of Homeland Security and Social Security Administration records to confirm employment eligibility. For more information about E-Verify, please go to the government's website at: www.uscis.gov/e-verify.</w:t>
      </w:r>
    </w:p>
    <w:p>
      <w:pPr>
        <w:spacing w:after="0" w:line="248" w:lineRule="exact"/>
        <w:rPr>
          <w:rFonts w:ascii="Arial" w:cs="Arial" w:eastAsia="Arial" w:hAnsi="Arial"/>
          <w:sz w:val="20"/>
          <w:szCs w:val="20"/>
          <w:b w:val="1"/>
          <w:bCs w:val="1"/>
          <w:color w:val="auto"/>
        </w:rPr>
      </w:pPr>
    </w:p>
    <w:p>
      <w:pPr>
        <w:jc w:val="both"/>
        <w:ind w:left="740" w:hanging="318"/>
        <w:spacing w:after="0" w:line="264" w:lineRule="auto"/>
        <w:tabs>
          <w:tab w:leader="none" w:pos="758"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Miscellaneous. </w:t>
      </w:r>
      <w:r>
        <w:rPr>
          <w:rFonts w:ascii="Arial" w:cs="Arial" w:eastAsia="Arial" w:hAnsi="Arial"/>
          <w:sz w:val="20"/>
          <w:szCs w:val="20"/>
          <w:color w:val="auto"/>
        </w:rPr>
        <w:t>This Offer Letter, including all referenced plans, policies, and Confidentiality Agreement, sets forth the</w:t>
      </w:r>
      <w:r>
        <w:rPr>
          <w:rFonts w:ascii="Arial" w:cs="Arial" w:eastAsia="Arial" w:hAnsi="Arial"/>
          <w:sz w:val="20"/>
          <w:szCs w:val="20"/>
          <w:b w:val="1"/>
          <w:bCs w:val="1"/>
          <w:color w:val="auto"/>
        </w:rPr>
        <w:t xml:space="preserve"> </w:t>
      </w:r>
      <w:r>
        <w:rPr>
          <w:rFonts w:ascii="Arial" w:cs="Arial" w:eastAsia="Arial" w:hAnsi="Arial"/>
          <w:sz w:val="20"/>
          <w:szCs w:val="20"/>
          <w:color w:val="auto"/>
        </w:rPr>
        <w:t>entire agreement between the Company and you with respect to its subject matter and supersedes all prior agreements between the Company and you, whether oral or written. The Company reserves the right, in its sole discretion, to modify or rescind any of the terms set forth in this letter at any time during the course of your employment, to the extent permitted by law.</w:t>
      </w:r>
    </w:p>
    <w:p>
      <w:pPr>
        <w:spacing w:after="0" w:line="236" w:lineRule="exact"/>
        <w:rPr>
          <w:sz w:val="20"/>
          <w:szCs w:val="20"/>
          <w:color w:val="auto"/>
        </w:rPr>
      </w:pPr>
    </w:p>
    <w:p>
      <w:pPr>
        <w:ind w:right="240"/>
        <w:spacing w:after="0" w:line="290" w:lineRule="auto"/>
        <w:rPr>
          <w:sz w:val="20"/>
          <w:szCs w:val="20"/>
          <w:color w:val="auto"/>
        </w:rPr>
      </w:pPr>
      <w:r>
        <w:rPr>
          <w:rFonts w:ascii="Arial" w:cs="Arial" w:eastAsia="Arial" w:hAnsi="Arial"/>
          <w:sz w:val="20"/>
          <w:szCs w:val="20"/>
          <w:color w:val="auto"/>
        </w:rPr>
        <w:t xml:space="preserve">We look forward to working with you. To indicate your acceptance of the Company’s offer, please electronically sign and date this letter on or before 5:00pm Pacific Time on </w:t>
      </w:r>
      <w:r>
        <w:rPr>
          <w:rFonts w:ascii="Arial" w:cs="Arial" w:eastAsia="Arial" w:hAnsi="Arial"/>
          <w:sz w:val="20"/>
          <w:szCs w:val="20"/>
          <w:b w:val="1"/>
          <w:bCs w:val="1"/>
          <w:color w:val="auto"/>
        </w:rPr>
        <w:t>10/28/2019</w:t>
      </w:r>
      <w:r>
        <w:rPr>
          <w:rFonts w:ascii="Arial" w:cs="Arial" w:eastAsia="Arial" w:hAnsi="Arial"/>
          <w:sz w:val="20"/>
          <w:szCs w:val="20"/>
          <w:color w:val="auto"/>
        </w:rPr>
        <w:t>, after which time this offer will be withdrawn.</w:t>
      </w:r>
    </w:p>
    <w:p>
      <w:pPr>
        <w:sectPr>
          <w:pgSz w:w="11900" w:h="16838" w:orient="portrait"/>
          <w:cols w:equalWidth="0" w:num="1">
            <w:col w:w="11140"/>
          </w:cols>
          <w:pgMar w:left="320" w:top="999" w:right="439" w:bottom="1440" w:gutter="0" w:footer="0" w:header="0"/>
        </w:sectPr>
      </w:pPr>
    </w:p>
    <w:bookmarkStart w:id="45" w:name="page46"/>
    <w:bookmarkEnd w:id="45"/>
    <w:p>
      <w:pPr>
        <w:ind w:left="420"/>
        <w:spacing w:after="0"/>
        <w:rPr>
          <w:sz w:val="20"/>
          <w:szCs w:val="20"/>
          <w:color w:val="auto"/>
        </w:rPr>
      </w:pPr>
      <w:r>
        <w:rPr>
          <w:rFonts w:ascii="Arial" w:cs="Arial" w:eastAsia="Arial" w:hAnsi="Arial"/>
          <w:sz w:val="20"/>
          <w:szCs w:val="20"/>
          <w:b w:val="1"/>
          <w:bCs w:val="1"/>
          <w:color w:val="auto"/>
        </w:rPr>
        <w:t>Congratulations and welcome to the 8x8 team!</w:t>
      </w:r>
    </w:p>
    <w:p>
      <w:pPr>
        <w:spacing w:after="0" w:line="200" w:lineRule="exact"/>
        <w:rPr>
          <w:sz w:val="20"/>
          <w:szCs w:val="20"/>
          <w:color w:val="auto"/>
        </w:rPr>
      </w:pPr>
    </w:p>
    <w:p>
      <w:pPr>
        <w:spacing w:after="0" w:line="288"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Sincerely,</w:t>
      </w:r>
    </w:p>
    <w:p>
      <w:pPr>
        <w:spacing w:after="0" w:line="2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8x8, Inc.</w:t>
      </w:r>
    </w:p>
    <w:p>
      <w:pPr>
        <w:spacing w:after="0" w:line="217" w:lineRule="exact"/>
        <w:rPr>
          <w:sz w:val="20"/>
          <w:szCs w:val="20"/>
          <w:color w:val="auto"/>
        </w:rPr>
      </w:pPr>
    </w:p>
    <w:p>
      <w:pPr>
        <w:ind w:left="4540"/>
        <w:spacing w:after="0"/>
        <w:rPr>
          <w:sz w:val="20"/>
          <w:szCs w:val="20"/>
          <w:color w:val="auto"/>
        </w:rPr>
      </w:pPr>
      <w:r>
        <w:rPr>
          <w:rFonts w:ascii="Arial" w:cs="Arial" w:eastAsia="Arial" w:hAnsi="Arial"/>
          <w:sz w:val="20"/>
          <w:szCs w:val="20"/>
          <w:u w:val="single" w:color="auto"/>
          <w:color w:val="auto"/>
        </w:rPr>
        <w:t>By: /s/ Vikram Verma</w:t>
      </w:r>
    </w:p>
    <w:p>
      <w:pPr>
        <w:spacing w:after="0" w:line="2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Vikram Verma</w:t>
      </w:r>
    </w:p>
    <w:p>
      <w:pPr>
        <w:ind w:left="4540"/>
        <w:spacing w:after="0"/>
        <w:rPr>
          <w:sz w:val="20"/>
          <w:szCs w:val="20"/>
          <w:color w:val="auto"/>
        </w:rPr>
      </w:pPr>
      <w:r>
        <w:rPr>
          <w:rFonts w:ascii="Arial" w:cs="Arial" w:eastAsia="Arial" w:hAnsi="Arial"/>
          <w:sz w:val="19"/>
          <w:szCs w:val="19"/>
          <w:color w:val="auto"/>
        </w:rPr>
        <w:t>Chief Executive Officer</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Accepted and Agreed: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Germaine Cota October 28, 2019</w:t>
      </w:r>
    </w:p>
    <w:p>
      <w:pPr>
        <w:spacing w:after="0"/>
        <w:rPr>
          <w:sz w:val="20"/>
          <w:szCs w:val="20"/>
          <w:color w:val="auto"/>
        </w:rPr>
      </w:pPr>
      <w:r>
        <w:rPr>
          <w:rFonts w:ascii="Arial" w:cs="Arial" w:eastAsia="Arial" w:hAnsi="Arial"/>
          <w:sz w:val="20"/>
          <w:szCs w:val="20"/>
          <w:color w:val="auto"/>
        </w:rPr>
        <w:t>Germaine Cota</w:t>
      </w:r>
    </w:p>
    <w:p>
      <w:pPr>
        <w:sectPr>
          <w:pgSz w:w="11900" w:h="16838" w:orient="portrait"/>
          <w:cols w:equalWidth="0" w:num="1">
            <w:col w:w="10139"/>
          </w:cols>
          <w:pgMar w:left="320" w:top="1228" w:right="1440" w:bottom="1440" w:gutter="0" w:footer="0" w:header="0"/>
        </w:sectPr>
      </w:pPr>
    </w:p>
    <w:bookmarkStart w:id="46" w:name="page47"/>
    <w:bookmarkEnd w:id="46"/>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EXHIBIT A</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8x8 – Performance Stock Plan Summary:</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PSUs will vest (1) as to 50% of the total number of “on-target” shares, on the second anniversary of</w:t>
      </w:r>
    </w:p>
    <w:p>
      <w:pPr>
        <w:spacing w:after="0" w:line="39" w:lineRule="exact"/>
        <w:rPr>
          <w:sz w:val="20"/>
          <w:szCs w:val="20"/>
          <w:color w:val="auto"/>
        </w:rPr>
      </w:pPr>
    </w:p>
    <w:p>
      <w:pPr>
        <w:spacing w:after="0" w:line="256" w:lineRule="auto"/>
        <w:rPr>
          <w:sz w:val="20"/>
          <w:szCs w:val="20"/>
          <w:color w:val="auto"/>
        </w:rPr>
      </w:pPr>
      <w:r>
        <w:rPr>
          <w:rFonts w:ascii="Arial" w:cs="Arial" w:eastAsia="Arial" w:hAnsi="Arial"/>
          <w:sz w:val="20"/>
          <w:szCs w:val="20"/>
          <w:color w:val="auto"/>
        </w:rPr>
        <w:t>the performance measurement date, and (2) as to the remaining 50% of the total number of “on-target” shares, of the performance measurement date, in each case subject to performance of the Company's Common Stock relative to the Russell 2000 Index during the period from grant date through the applicable vesting date, with 100% (or more) of the applicable tranche vesting if the total shareholder return (TSR) of the Company's Common Stock equals (or exceeds) the TSR of the Russell 2000 Index over the applicable measurement period. The number of PSUs that vest will be increased (or decreased), relative to target, by 2% for each 1% positive (or negative) difference in the TSR of the Company's Common Stock relative to the TSR of the Russell 2000 Index; provided, however, (1) in the event the TSR of the Company's Common Stock is more than 30% lower than the TSR of the Russell 2000 Index for the applicable measurement period, no PSUs of the applicable tranche shall vest, and (2) in no event will the total number of PSUs that vest in the event of a positive difference in the TSR of the Company's Common Stock relative to the TSR of the Russell 2000 Index exceed 200% of the total number of “on-target” PSUs in the applicable tranche.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2350135</wp:posOffset>
            </wp:positionH>
            <wp:positionV relativeFrom="paragraph">
              <wp:posOffset>311785</wp:posOffset>
            </wp:positionV>
            <wp:extent cx="2331720" cy="13976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2331720" cy="139763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4140"/>
        <w:spacing w:after="0"/>
        <w:tabs>
          <w:tab w:leader="none" w:pos="6260" w:val="left"/>
        </w:tabs>
        <w:rPr>
          <w:sz w:val="20"/>
          <w:szCs w:val="20"/>
          <w:color w:val="auto"/>
        </w:rPr>
      </w:pPr>
      <w:r>
        <w:rPr>
          <w:rFonts w:ascii="Arial" w:cs="Arial" w:eastAsia="Arial" w:hAnsi="Arial"/>
          <w:sz w:val="20"/>
          <w:szCs w:val="20"/>
          <w:b w:val="1"/>
          <w:bCs w:val="1"/>
          <w:color w:val="FFFFFF"/>
        </w:rPr>
        <w:t>Performance</w:t>
      </w:r>
      <w:r>
        <w:rPr>
          <w:sz w:val="20"/>
          <w:szCs w:val="20"/>
          <w:color w:val="auto"/>
        </w:rPr>
        <w:tab/>
      </w:r>
      <w:r>
        <w:rPr>
          <w:rFonts w:ascii="Arial" w:cs="Arial" w:eastAsia="Arial" w:hAnsi="Arial"/>
          <w:sz w:val="20"/>
          <w:szCs w:val="20"/>
          <w:b w:val="1"/>
          <w:bCs w:val="1"/>
          <w:color w:val="FFFFFF"/>
        </w:rPr>
        <w:t>Payout</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FFFFFF"/>
        </w:rPr>
        <w:t>Relative to the</w:t>
      </w:r>
    </w:p>
    <w:p>
      <w:pPr>
        <w:jc w:val="center"/>
        <w:ind w:right="-79"/>
        <w:spacing w:after="0"/>
        <w:rPr>
          <w:sz w:val="20"/>
          <w:szCs w:val="20"/>
          <w:color w:val="auto"/>
        </w:rPr>
      </w:pPr>
      <w:r>
        <w:rPr>
          <w:rFonts w:ascii="Arial" w:cs="Arial" w:eastAsia="Arial" w:hAnsi="Arial"/>
          <w:sz w:val="20"/>
          <w:szCs w:val="20"/>
          <w:b w:val="1"/>
          <w:bCs w:val="1"/>
          <w:color w:val="FFFFFF"/>
        </w:rPr>
        <w:t>Russell 2000</w:t>
      </w:r>
    </w:p>
    <w:p>
      <w:pPr>
        <w:spacing w:after="0" w:line="41" w:lineRule="exact"/>
        <w:rPr>
          <w:sz w:val="20"/>
          <w:szCs w:val="20"/>
          <w:color w:val="auto"/>
        </w:rPr>
      </w:pPr>
    </w:p>
    <w:p>
      <w:pPr>
        <w:ind w:left="4260"/>
        <w:spacing w:after="0"/>
        <w:tabs>
          <w:tab w:leader="none" w:pos="6460" w:val="left"/>
        </w:tabs>
        <w:rPr>
          <w:sz w:val="20"/>
          <w:szCs w:val="20"/>
          <w:color w:val="auto"/>
        </w:rPr>
      </w:pPr>
      <w:r>
        <w:rPr>
          <w:rFonts w:ascii="Arial" w:cs="Arial" w:eastAsia="Arial" w:hAnsi="Arial"/>
          <w:sz w:val="20"/>
          <w:szCs w:val="20"/>
          <w:color w:val="auto"/>
        </w:rPr>
        <w:t>Below -30%</w:t>
      </w:r>
      <w:r>
        <w:rPr>
          <w:sz w:val="20"/>
          <w:szCs w:val="20"/>
          <w:color w:val="auto"/>
        </w:rPr>
        <w:tab/>
      </w:r>
      <w:r>
        <w:rPr>
          <w:rFonts w:ascii="Arial" w:cs="Arial" w:eastAsia="Arial" w:hAnsi="Arial"/>
          <w:sz w:val="19"/>
          <w:szCs w:val="19"/>
          <w:color w:val="auto"/>
        </w:rPr>
        <w:t>0%</w:t>
      </w:r>
    </w:p>
    <w:p>
      <w:pPr>
        <w:spacing w:after="0" w:line="54" w:lineRule="exact"/>
        <w:rPr>
          <w:sz w:val="20"/>
          <w:szCs w:val="20"/>
          <w:color w:val="auto"/>
        </w:rPr>
      </w:pPr>
    </w:p>
    <w:p>
      <w:pPr>
        <w:ind w:left="4560"/>
        <w:spacing w:after="0"/>
        <w:tabs>
          <w:tab w:leader="none" w:pos="6400" w:val="left"/>
        </w:tabs>
        <w:rPr>
          <w:sz w:val="20"/>
          <w:szCs w:val="20"/>
          <w:color w:val="auto"/>
        </w:rPr>
      </w:pPr>
      <w:r>
        <w:rPr>
          <w:rFonts w:ascii="Arial" w:cs="Arial" w:eastAsia="Arial" w:hAnsi="Arial"/>
          <w:sz w:val="20"/>
          <w:szCs w:val="20"/>
          <w:color w:val="auto"/>
        </w:rPr>
        <w:t>-30%</w:t>
      </w:r>
      <w:r>
        <w:rPr>
          <w:sz w:val="20"/>
          <w:szCs w:val="20"/>
          <w:color w:val="auto"/>
        </w:rPr>
        <w:tab/>
      </w:r>
      <w:r>
        <w:rPr>
          <w:rFonts w:ascii="Arial" w:cs="Arial" w:eastAsia="Arial" w:hAnsi="Arial"/>
          <w:sz w:val="19"/>
          <w:szCs w:val="19"/>
          <w:color w:val="auto"/>
        </w:rPr>
        <w:t>40%</w:t>
      </w:r>
    </w:p>
    <w:p>
      <w:pPr>
        <w:spacing w:after="0" w:line="54" w:lineRule="exact"/>
        <w:rPr>
          <w:sz w:val="20"/>
          <w:szCs w:val="20"/>
          <w:color w:val="auto"/>
        </w:rPr>
      </w:pPr>
    </w:p>
    <w:p>
      <w:pPr>
        <w:ind w:left="4520"/>
        <w:spacing w:after="0"/>
        <w:tabs>
          <w:tab w:leader="none" w:pos="6340" w:val="left"/>
        </w:tabs>
        <w:rPr>
          <w:sz w:val="20"/>
          <w:szCs w:val="20"/>
          <w:color w:val="auto"/>
        </w:rPr>
      </w:pPr>
      <w:r>
        <w:rPr>
          <w:rFonts w:ascii="Arial" w:cs="Arial" w:eastAsia="Arial" w:hAnsi="Arial"/>
          <w:sz w:val="20"/>
          <w:szCs w:val="20"/>
          <w:color w:val="auto"/>
        </w:rPr>
        <w:t>0.00%</w:t>
      </w:r>
      <w:r>
        <w:rPr>
          <w:sz w:val="20"/>
          <w:szCs w:val="20"/>
          <w:color w:val="auto"/>
        </w:rPr>
        <w:tab/>
      </w:r>
      <w:r>
        <w:rPr>
          <w:rFonts w:ascii="Arial" w:cs="Arial" w:eastAsia="Arial" w:hAnsi="Arial"/>
          <w:sz w:val="20"/>
          <w:szCs w:val="20"/>
          <w:color w:val="auto"/>
        </w:rPr>
        <w:t>100%</w:t>
      </w:r>
    </w:p>
    <w:p>
      <w:pPr>
        <w:ind w:left="4280"/>
        <w:spacing w:after="0" w:line="223" w:lineRule="auto"/>
        <w:rPr>
          <w:sz w:val="20"/>
          <w:szCs w:val="20"/>
          <w:color w:val="auto"/>
        </w:rPr>
      </w:pPr>
      <w:r>
        <w:rPr>
          <w:rFonts w:ascii="Arial" w:cs="Arial" w:eastAsia="Arial" w:hAnsi="Arial"/>
          <w:sz w:val="20"/>
          <w:szCs w:val="20"/>
          <w:color w:val="auto"/>
        </w:rPr>
        <w:t>At or Above</w:t>
      </w:r>
    </w:p>
    <w:p>
      <w:pPr>
        <w:ind w:left="6360"/>
        <w:spacing w:after="0" w:line="194" w:lineRule="auto"/>
        <w:rPr>
          <w:sz w:val="20"/>
          <w:szCs w:val="20"/>
          <w:color w:val="auto"/>
        </w:rPr>
      </w:pPr>
      <w:r>
        <w:rPr>
          <w:rFonts w:ascii="Arial" w:cs="Arial" w:eastAsia="Arial" w:hAnsi="Arial"/>
          <w:sz w:val="16"/>
          <w:szCs w:val="16"/>
          <w:color w:val="auto"/>
        </w:rPr>
        <w:t>200%</w:t>
      </w:r>
    </w:p>
    <w:p>
      <w:pPr>
        <w:spacing w:after="0" w:line="1"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50%</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TSR shall be determined on a percentage basis based on the value of a $100 investment in Company</w:t>
      </w:r>
    </w:p>
    <w:p>
      <w:pPr>
        <w:spacing w:after="0" w:line="39" w:lineRule="exact"/>
        <w:rPr>
          <w:sz w:val="20"/>
          <w:szCs w:val="20"/>
          <w:color w:val="auto"/>
        </w:rPr>
      </w:pPr>
    </w:p>
    <w:p>
      <w:pPr>
        <w:jc w:val="both"/>
        <w:ind w:right="100"/>
        <w:spacing w:after="0" w:line="267" w:lineRule="auto"/>
        <w:rPr>
          <w:sz w:val="20"/>
          <w:szCs w:val="20"/>
          <w:color w:val="auto"/>
        </w:rPr>
      </w:pPr>
      <w:r>
        <w:rPr>
          <w:rFonts w:ascii="Arial" w:cs="Arial" w:eastAsia="Arial" w:hAnsi="Arial"/>
          <w:sz w:val="20"/>
          <w:szCs w:val="20"/>
          <w:color w:val="auto"/>
        </w:rPr>
        <w:t>Common Stock and the Russell 2000 Index on the grant date, including deemed reinvestment of dividends. Fair market value of Company Common Stock and the Russell 2000 Index on any particular date shall be the 30-day trading average price for the period prior to and through the date of determination.</w:t>
      </w:r>
    </w:p>
    <w:p>
      <w:pPr>
        <w:spacing w:after="0" w:line="205" w:lineRule="exact"/>
        <w:rPr>
          <w:sz w:val="20"/>
          <w:szCs w:val="20"/>
          <w:color w:val="auto"/>
        </w:rPr>
      </w:pPr>
    </w:p>
    <w:p>
      <w:pPr>
        <w:ind w:right="640"/>
        <w:spacing w:after="0" w:line="294" w:lineRule="auto"/>
        <w:rPr>
          <w:sz w:val="20"/>
          <w:szCs w:val="20"/>
          <w:color w:val="auto"/>
        </w:rPr>
      </w:pPr>
      <w:r>
        <w:rPr>
          <w:rFonts w:ascii="Arial" w:cs="Arial" w:eastAsia="Arial" w:hAnsi="Arial"/>
          <w:sz w:val="20"/>
          <w:szCs w:val="20"/>
          <w:color w:val="auto"/>
        </w:rPr>
        <w:t>In addition, and notwithstanding anything herein to the contrary, all vesting is subject to continued employment or other association with the Company through the end of the applicable measurement period.</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color w:val="auto"/>
        </w:rPr>
        <w:t>Performance Measurement Period: September 17, 2019 – September 17, 2022 Second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Anniversary of Performance Measurement Date: September 17, 2021 Third Anniversary of</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Performance Measurement Date: September 17, 2022</w:t>
      </w:r>
    </w:p>
    <w:p>
      <w:pPr>
        <w:sectPr>
          <w:pgSz w:w="11900" w:h="16838" w:orient="portrait"/>
          <w:cols w:equalWidth="0" w:num="1">
            <w:col w:w="11000"/>
          </w:cols>
          <w:pgMar w:left="420" w:top="1440" w:right="47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 THE SARBANES-OXLEY ACT OF 2002</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Sipes, certify that:</w:t>
      </w:r>
    </w:p>
    <w:p>
      <w:pPr>
        <w:spacing w:after="0" w:line="117" w:lineRule="exact"/>
        <w:rPr>
          <w:sz w:val="20"/>
          <w:szCs w:val="20"/>
          <w:color w:val="auto"/>
        </w:rPr>
      </w:pPr>
    </w:p>
    <w:p>
      <w:pPr>
        <w:ind w:left="360" w:hanging="190"/>
        <w:spacing w:after="0"/>
        <w:tabs>
          <w:tab w:leader="none" w:pos="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8x8, Inc.;</w:t>
      </w:r>
    </w:p>
    <w:p>
      <w:pPr>
        <w:spacing w:after="0" w:line="117" w:lineRule="exact"/>
        <w:rPr>
          <w:rFonts w:ascii="Times New Roman" w:cs="Times New Roman" w:eastAsia="Times New Roman" w:hAnsi="Times New Roman"/>
          <w:sz w:val="18"/>
          <w:szCs w:val="18"/>
          <w:color w:val="auto"/>
        </w:rPr>
      </w:pPr>
    </w:p>
    <w:p>
      <w:pPr>
        <w:ind w:left="180" w:right="100" w:hanging="10"/>
        <w:spacing w:after="0" w:line="312" w:lineRule="auto"/>
        <w:tabs>
          <w:tab w:leader="none" w:pos="3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left="180" w:right="380" w:hanging="10"/>
        <w:spacing w:after="0" w:line="282" w:lineRule="auto"/>
        <w:tabs>
          <w:tab w:leader="none" w:pos="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180" w:right="180" w:hanging="10"/>
        <w:spacing w:after="0" w:line="266" w:lineRule="auto"/>
        <w:tabs>
          <w:tab w:leader="none" w:pos="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660" w:right="900" w:hanging="328"/>
        <w:spacing w:after="0" w:line="312" w:lineRule="auto"/>
        <w:tabs>
          <w:tab w:leader="none" w:pos="65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660" w:right="100" w:hanging="328"/>
        <w:spacing w:after="0" w:line="266" w:lineRule="auto"/>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80" w:right="320" w:hanging="10"/>
        <w:spacing w:after="0" w:line="282" w:lineRule="auto"/>
        <w:tabs>
          <w:tab w:leader="none" w:pos="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00" w:right="440" w:hanging="168"/>
        <w:spacing w:after="0" w:line="282" w:lineRule="auto"/>
        <w:tabs>
          <w:tab w:leader="none" w:pos="49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00" w:right="60" w:hanging="168"/>
        <w:spacing w:after="0" w:line="282" w:lineRule="auto"/>
        <w:tabs>
          <w:tab w:leader="none" w:pos="5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January 29, 2021</w:t>
      </w: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DAVID SIPES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18345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1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David Sipes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 THE SARBANES-OXLEY ACT OF 2002</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Samuel Wilson, certify that:</w:t>
      </w:r>
    </w:p>
    <w:p>
      <w:pPr>
        <w:spacing w:after="0" w:line="117" w:lineRule="exact"/>
        <w:rPr>
          <w:sz w:val="20"/>
          <w:szCs w:val="20"/>
          <w:color w:val="auto"/>
        </w:rPr>
      </w:pPr>
    </w:p>
    <w:p>
      <w:pPr>
        <w:ind w:left="360" w:hanging="190"/>
        <w:spacing w:after="0"/>
        <w:tabs>
          <w:tab w:leader="none" w:pos="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8x8, Inc.;</w:t>
      </w:r>
    </w:p>
    <w:p>
      <w:pPr>
        <w:spacing w:after="0" w:line="117" w:lineRule="exact"/>
        <w:rPr>
          <w:rFonts w:ascii="Times New Roman" w:cs="Times New Roman" w:eastAsia="Times New Roman" w:hAnsi="Times New Roman"/>
          <w:sz w:val="18"/>
          <w:szCs w:val="18"/>
          <w:color w:val="auto"/>
        </w:rPr>
      </w:pPr>
    </w:p>
    <w:p>
      <w:pPr>
        <w:ind w:left="180" w:right="100" w:hanging="10"/>
        <w:spacing w:after="0" w:line="312" w:lineRule="auto"/>
        <w:tabs>
          <w:tab w:leader="none" w:pos="3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left="180" w:right="380" w:hanging="10"/>
        <w:spacing w:after="0" w:line="282" w:lineRule="auto"/>
        <w:tabs>
          <w:tab w:leader="none" w:pos="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180" w:right="180" w:hanging="10"/>
        <w:spacing w:after="0" w:line="266" w:lineRule="auto"/>
        <w:tabs>
          <w:tab w:leader="none" w:pos="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00" w:right="40" w:hanging="168"/>
        <w:spacing w:after="0" w:line="266" w:lineRule="auto"/>
        <w:tabs>
          <w:tab w:leader="none" w:pos="49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500" w:right="20" w:hanging="168"/>
        <w:spacing w:after="0" w:line="266" w:lineRule="auto"/>
        <w:tabs>
          <w:tab w:leader="none" w:pos="5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00" w:right="100" w:hanging="168"/>
        <w:spacing w:after="0" w:line="282" w:lineRule="auto"/>
        <w:tabs>
          <w:tab w:leader="none" w:pos="49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00" w:right="140" w:hanging="168"/>
        <w:spacing w:after="0" w:line="266" w:lineRule="auto"/>
        <w:tabs>
          <w:tab w:leader="none" w:pos="5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80" w:right="320" w:hanging="10"/>
        <w:spacing w:after="0" w:line="282" w:lineRule="auto"/>
        <w:tabs>
          <w:tab w:leader="none" w:pos="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00" w:right="440" w:hanging="168"/>
        <w:spacing w:after="0" w:line="282" w:lineRule="auto"/>
        <w:tabs>
          <w:tab w:leader="none" w:pos="49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00" w:right="60" w:hanging="168"/>
        <w:spacing w:after="0" w:line="282" w:lineRule="auto"/>
        <w:tabs>
          <w:tab w:leader="none" w:pos="5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January 29, 2021</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SAMUEL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459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Samuel Wilson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(Principal Financial, Accounting and Duly Authorized Officer)</w:t>
      </w:r>
    </w:p>
    <w:p>
      <w:pPr>
        <w:sectPr>
          <w:pgSz w:w="11900" w:h="16838" w:orient="portrait"/>
          <w:cols w:equalWidth="0" w:num="1">
            <w:col w:w="11240"/>
          </w:cols>
          <w:pgMar w:left="320" w:top="1134"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 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34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8x8, Inc. (the "Company") for the period ended December 31, 2020, as filed with the Securities and Exchange Commission on the date hereof (the "Report"), I, David Sipes, Chief Executive Officer of the Company, hereby certify, pursuant to 18 U.S.C. Section 1350, as adopted pursuant to Section 906 of the Sarbanes-Oxley Act of 2002, that:</w:t>
      </w:r>
    </w:p>
    <w:p>
      <w:pPr>
        <w:spacing w:after="0" w:line="68"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DAVID SIPES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456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Sipes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January 29, 2021</w:t>
      </w:r>
    </w:p>
    <w:p>
      <w:pPr>
        <w:spacing w:after="0" w:line="333"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this Report pursuant to § 906 of the Sarbanes-Oxley Act of 2002 and shall not, except to the extent required by the Sarbanes-Oxley Act of 2002, or otherwise required, be deemed filed by the Company for purposes of § 18 of the Securities Exchange Act of 1934, as amended.</w:t>
      </w:r>
    </w:p>
    <w:p>
      <w:pPr>
        <w:sectPr>
          <w:pgSz w:w="11900" w:h="16838" w:orient="portrait"/>
          <w:cols w:equalWidth="0" w:num="1">
            <w:col w:w="11240"/>
          </w:cols>
          <w:pgMar w:left="320" w:top="891"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 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0" w:lineRule="exact"/>
        <w:rPr>
          <w:sz w:val="20"/>
          <w:szCs w:val="20"/>
          <w:color w:val="auto"/>
        </w:rPr>
      </w:pPr>
    </w:p>
    <w:p>
      <w:pPr>
        <w:spacing w:after="0" w:line="25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8x8, Inc. (the "Company") for the period ended December 31, 2020, as filed with the Securities and Exchange Commission on the date hereof (the "Report"), I, Samuel Wilson, Chief Financial Officer of the Company, hereby certify, pursuant to 18 U.S.C. Section 1350, as adopted pursuant to Section 906 of the Sarbanes-Oxley Act of 2002, that:</w:t>
      </w:r>
    </w:p>
    <w:p>
      <w:pPr>
        <w:spacing w:after="0" w:line="68"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SAMUEL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202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Samuel Wilson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(Principal Financial, Accounting and Duly Authorized Officer)</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January 29, 2021</w:t>
      </w:r>
    </w:p>
    <w:p>
      <w:pPr>
        <w:spacing w:after="0" w:line="347"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this Report pursuant to § 906 of the Sarbanes-Oxley Act of 2002 and shall not, except to the extent required by the Sarbanes-Oxley Act of 2002, or otherwise required, be deemed filed by the Company for purposes of § 18 of the Securities Exchange Act of 1934, as amended.</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1"/>
      <w:numFmt w:val="decimal"/>
      <w:start w:val="101"/>
    </w:lvl>
  </w:abstractNum>
  <w:abstractNum w:abstractNumId="6">
    <w:nsid w:val="431BD7B7"/>
    <w:multiLevelType w:val="hybridMultilevel"/>
    <w:lvl w:ilvl="0">
      <w:lvlJc w:val="left"/>
      <w:lvlText w:val="*"/>
      <w:numFmt w:val="bullet"/>
      <w:start w:val="1"/>
    </w:lvl>
    <w:lvl w:ilvl="1">
      <w:lvlJc w:val="left"/>
      <w:lvlText w:val="%2"/>
      <w:numFmt w:val="decimal"/>
      <w:start w:val="104"/>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1."/>
      <w:numFmt w:val="decimal"/>
      <w:start w:val="1"/>
    </w:lvl>
    <w:lvl w:ilvl="1">
      <w:lvlJc w:val="left"/>
      <w:lvlText w:val="(%2)"/>
      <w:numFmt w:val="lowerLetter"/>
      <w:start w:val="1"/>
    </w:lvl>
  </w:abstractNum>
  <w:abstractNum w:abstractNumId="9">
    <w:nsid w:val="257130A3"/>
    <w:multiLevelType w:val="hybridMultilevel"/>
    <w:lvl w:ilvl="0">
      <w:lvlJc w:val="left"/>
      <w:lvlText w:val="(%1)"/>
      <w:numFmt w:val="lowerLetter"/>
      <w:start w:val="11"/>
    </w:lvl>
    <w:lvl w:ilvl="1">
      <w:lvlJc w:val="left"/>
      <w:lvlText w:val="%2."/>
      <w:numFmt w:val="lowerRoman"/>
      <w:start w:val="1"/>
    </w:lvl>
  </w:abstractNum>
  <w:abstractNum w:abstractNumId="10">
    <w:nsid w:val="62BBD95A"/>
    <w:multiLevelType w:val="hybridMultilevel"/>
    <w:lvl w:ilvl="0">
      <w:lvlJc w:val="left"/>
      <w:lvlText w:val="%1"/>
      <w:numFmt w:val="decimal"/>
      <w:start w:val="1"/>
    </w:lvl>
    <w:lvl w:ilvl="1">
      <w:lvlJc w:val="left"/>
      <w:lvlText w:val="(%2)"/>
      <w:numFmt w:val="lowerLetter"/>
      <w:start w:val="19"/>
    </w:lvl>
  </w:abstractNum>
  <w:abstractNum w:abstractNumId="11">
    <w:nsid w:val="436C6125"/>
    <w:multiLevelType w:val="hybridMultilevel"/>
    <w:lvl w:ilvl="0">
      <w:lvlJc w:val="left"/>
      <w:lvlText w:val="%1."/>
      <w:numFmt w:val="decimal"/>
      <w:start w:val="3"/>
    </w:lvl>
    <w:lvl w:ilvl="1">
      <w:lvlJc w:val="left"/>
      <w:lvlText w:val="(%2)"/>
      <w:numFmt w:val="lowerLetter"/>
      <w:start w:val="1"/>
    </w:lvl>
  </w:abstractNum>
  <w:abstractNum w:abstractNumId="12">
    <w:nsid w:val="628C895D"/>
    <w:multiLevelType w:val="hybridMultilevel"/>
    <w:lvl w:ilvl="0">
      <w:lvlJc w:val="left"/>
      <w:lvlText w:val="%1"/>
      <w:numFmt w:val="decimal"/>
      <w:start w:val="1"/>
    </w:lvl>
    <w:lvl w:ilvl="1">
      <w:lvlJc w:val="left"/>
      <w:lvlText w:val="(%2)"/>
      <w:numFmt w:val="lowerLetter"/>
      <w:start w:val="2"/>
    </w:lvl>
  </w:abstractNum>
  <w:abstractNum w:abstractNumId="13">
    <w:nsid w:val="333AB105"/>
    <w:multiLevelType w:val="hybridMultilevel"/>
    <w:lvl w:ilvl="0">
      <w:lvlJc w:val="left"/>
      <w:lvlText w:val="%1."/>
      <w:numFmt w:val="decimal"/>
      <w:start w:val="6"/>
    </w:lvl>
    <w:lvl w:ilvl="1">
      <w:lvlJc w:val="left"/>
      <w:lvlText w:val="(%2)"/>
      <w:numFmt w:val="lowerLetter"/>
      <w:start w:val="1"/>
    </w:lvl>
  </w:abstractNum>
  <w:abstractNum w:abstractNumId="14">
    <w:nsid w:val="721DA317"/>
    <w:multiLevelType w:val="hybridMultilevel"/>
    <w:lvl w:ilvl="0">
      <w:lvlJc w:val="left"/>
      <w:lvlText w:val="%1."/>
      <w:numFmt w:val="decimal"/>
      <w:start w:val="8"/>
    </w:lvl>
    <w:lvl w:ilvl="1">
      <w:lvlJc w:val="left"/>
      <w:lvlText w:val="(%2)"/>
      <w:numFmt w:val="lowerLetter"/>
      <w:start w:val="1"/>
    </w:lvl>
  </w:abstractNum>
  <w:abstractNum w:abstractNumId="15">
    <w:nsid w:val="2443A858"/>
    <w:multiLevelType w:val="hybridMultilevel"/>
    <w:lvl w:ilvl="0">
      <w:lvlJc w:val="left"/>
      <w:lvlText w:val="%1"/>
      <w:numFmt w:val="decimal"/>
      <w:start w:val="1"/>
    </w:lvl>
    <w:lvl w:ilvl="1">
      <w:lvlJc w:val="left"/>
      <w:lvlText w:val="(%2)"/>
      <w:numFmt w:val="lowerLetter"/>
      <w:start w:val="2"/>
    </w:lvl>
  </w:abstractNum>
  <w:abstractNum w:abstractNumId="16">
    <w:nsid w:val="2D1D5AE9"/>
    <w:multiLevelType w:val="hybridMultilevel"/>
    <w:lvl w:ilvl="0">
      <w:lvlJc w:val="left"/>
      <w:lvlText w:val="%1."/>
      <w:numFmt w:val="decimal"/>
      <w:start w:val="13"/>
    </w:lvl>
    <w:lvl w:ilvl="1">
      <w:lvlJc w:val="left"/>
      <w:lvlText w:val="(%2)"/>
      <w:numFmt w:val="lowerLetter"/>
      <w:start w:val="1"/>
    </w:lvl>
  </w:abstractNum>
  <w:abstractNum w:abstractNumId="17">
    <w:nsid w:val="6763845E"/>
    <w:multiLevelType w:val="hybridMultilevel"/>
    <w:lvl w:ilvl="0">
      <w:lvlJc w:val="left"/>
      <w:lvlText w:val="%1."/>
      <w:numFmt w:val="decimal"/>
      <w:start w:val="15"/>
    </w:lvl>
    <w:lvl w:ilvl="1">
      <w:lvlJc w:val="left"/>
      <w:lvlText w:val="(%2)"/>
      <w:numFmt w:val="lowerLetter"/>
      <w:start w:val="1"/>
    </w:lvl>
  </w:abstractNum>
  <w:abstractNum w:abstractNumId="18">
    <w:nsid w:val="75A2A8D4"/>
    <w:multiLevelType w:val="hybridMultilevel"/>
    <w:lvl w:ilvl="0">
      <w:lvlJc w:val="left"/>
      <w:lvlText w:val="(%1)"/>
      <w:numFmt w:val="lowerLetter"/>
      <w:start w:val="1"/>
    </w:lvl>
    <w:lvl w:ilvl="1">
      <w:lvlJc w:val="left"/>
      <w:lvlText w:val="%2."/>
      <w:numFmt w:val="lowerRoman"/>
      <w:start w:val="1"/>
    </w:lvl>
  </w:abstractNum>
  <w:abstractNum w:abstractNumId="19">
    <w:nsid w:val="8EDBDAB"/>
    <w:multiLevelType w:val="hybridMultilevel"/>
    <w:lvl w:ilvl="0">
      <w:lvlJc w:val="left"/>
      <w:lvlText w:val="%1."/>
      <w:numFmt w:val="decimal"/>
      <w:start w:val="20"/>
    </w:lvl>
  </w:abstractNum>
  <w:abstractNum w:abstractNumId="20">
    <w:nsid w:val="79838CB2"/>
    <w:multiLevelType w:val="hybridMultilevel"/>
    <w:lvl w:ilvl="0">
      <w:lvlJc w:val="left"/>
      <w:lvlText w:val="%1."/>
      <w:numFmt w:val="decimal"/>
      <w:start w:val="22"/>
    </w:lvl>
  </w:abstractNum>
  <w:abstractNum w:abstractNumId="21">
    <w:nsid w:val="4353D0CD"/>
    <w:multiLevelType w:val="hybridMultilevel"/>
    <w:lvl w:ilvl="0">
      <w:lvlJc w:val="left"/>
      <w:lvlText w:val="%1."/>
      <w:numFmt w:val="decimal"/>
      <w:start w:val="1"/>
    </w:lvl>
    <w:lvl w:ilvl="1">
      <w:lvlJc w:val="left"/>
      <w:lvlText w:val="%2."/>
      <w:numFmt w:val="lowerLetter"/>
      <w:start w:val="1"/>
    </w:lvl>
  </w:abstractNum>
  <w:abstractNum w:abstractNumId="22">
    <w:nsid w:val="B03E0C6"/>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lvl w:ilvl="3">
      <w:lvlJc w:val="left"/>
      <w:lvlText w:val="%4"/>
      <w:numFmt w:val="lowerRoman"/>
      <w:start w:val="1"/>
    </w:lvl>
  </w:abstractNum>
  <w:abstractNum w:abstractNumId="23">
    <w:nsid w:val="189A769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24">
    <w:nsid w:val="54E49EB4"/>
    <w:multiLevelType w:val="hybridMultilevel"/>
    <w:lvl w:ilvl="0">
      <w:lvlJc w:val="left"/>
      <w:lvlText w:val="%1."/>
      <w:numFmt w:val="decimal"/>
      <w:start w:val="5"/>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jpe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48" Type="http://schemas.openxmlformats.org/officeDocument/2006/relationships/hyperlink" Target="https://www.sec.gov/Archives/edgar/data/1023731/000113626113000259/exhibit3-1.pdf" TargetMode="External"/><Relationship Id="rId49" Type="http://schemas.openxmlformats.org/officeDocument/2006/relationships/hyperlink" Target="https://www.sec.gov/Archives/edgar/data/1023731/000113626115000219/exh3-2.htm" TargetMode="External"/><Relationship Id="rId50" Type="http://schemas.openxmlformats.org/officeDocument/2006/relationships/hyperlink" Target="https://www.sec.gov/Archives/edgar/data/1023731/000102373119000021/executedindentureexhibit4-1.htm" TargetMode="External"/><Relationship Id="rId51" Type="http://schemas.openxmlformats.org/officeDocument/2006/relationships/hyperlink" Target="https://www.sec.gov/Archives/edgar/data/1023731/000119312520314457/d98124dex101.htm" TargetMode="External"/><Relationship Id="rId52" Type="http://schemas.openxmlformats.org/officeDocument/2006/relationships/hyperlink" Target="https://www.sec.gov/Archives/edgar/data/1023731/000119312520314457/d98124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2021-01-29T15:14:12Z</dcterms:created>
  <dcterms:modified xsi:type="dcterms:W3CDTF">2021-01-29T15:14:12Z</dcterms:modified>
</cp:coreProperties>
</file>