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Samuel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4"/>
                <w:szCs w:val="14"/>
                <w:color w:val="auto"/>
              </w:rPr>
            </w:pPr>
          </w:p>
        </w:tc>
        <w:tc>
          <w:tcPr>
            <w:tcW w:w="3480" w:type="dxa"/>
            <w:vAlign w:val="bottom"/>
            <w:gridSpan w:val="8"/>
          </w:tcPr>
          <w:p>
            <w:pPr>
              <w:ind w:left="1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tcPr>
          <w:p>
            <w:pPr>
              <w:ind w:left="1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rPr>
              <w:t>166,500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1,967,756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8"/>
              </w:rPr>
              <w:t>84,715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1,883,041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7"/>
              </w:rPr>
              <w:t>111,989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1,995,030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ind w:left="29"/>
              <w:spacing w:after="0"/>
              <w:rPr>
                <w:sz w:val="20"/>
                <w:szCs w:val="20"/>
                <w:color w:val="auto"/>
              </w:rPr>
            </w:pPr>
            <w:r>
              <w:rPr>
                <w:rFonts w:ascii="Times New Roman" w:cs="Times New Roman" w:eastAsia="Times New Roman" w:hAnsi="Times New Roman"/>
                <w:sz w:val="17"/>
                <w:szCs w:val="17"/>
                <w:color w:val="0000FF"/>
                <w:w w:val="98"/>
              </w:rPr>
              <w:t>56,980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1,938,050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awarded 450,000 performance share units (PSUs) on September 15, 2024, which were eligible to vest in three equal installments based on achievement of each associated performance goal. On May 27, 2026, the second installment of 150,000 PSUs vested at 111% of target, such that 166,500 shares became issuable. Of these shares, 81,785 were issued to the reporting person and the remaining 84,715 were withheld to pay the associated tax liability.</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vested PSUs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awarded 302,673 performance share units (PSUs) on June 6, 2025, which were eligible to vest in three equal installments based on achievement of each associated performance goal. On May 27, 2026, the first installment of 100,891 PSUs vested at 111% of target, such that 111,989 shares became issuable. Of these shares, 55,009 were issued to the reporting person and the remaining 56,980 were withheld to pay the associated tax liability.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Samuel C 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3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487"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2026-05-29T16:45:45Z</dcterms:created>
  <dcterms:modified xsi:type="dcterms:W3CDTF">2026-05-29T16:45:45Z</dcterms:modified>
</cp:coreProperties>
</file>