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3099.xml.htm"/>
      <w:bookmarkStart w:id="1" w:name="kswkform4_17895930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MARTIN-GARCIA COLLEEN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8X8,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675 CREEKSIDE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8X8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EGHT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a Restricted Stock Unit ("RSU") award. The RSUs shall vest with respect to one-third (33.33%) of the total number of underlying shares on the first anniversary of the Vesting Commencement Date of September 15, 2026, then eight and one-third percent (8.33%) vesting each quarter thereafter, over a period of eight quarters, subject to the participant's continued employment or other association with the Company. Each restricted stock unit represents a contingent right to receive one share of EGHT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Cheriese M. Dickman Attorney for Colleen M. Martin-Garcia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4731" TargetMode="External"/><Relationship Id="rId5" Type="http://schemas.openxmlformats.org/officeDocument/2006/relationships/hyperlink" Target="http://www.sec.gov/cgi-bin/browse-edgar?action=getcompany&amp;CIK=00010237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3564</Characters>
  <CharactersWithSpaces>4150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