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3167.xml.htm"/>
      <w:bookmarkStart w:id="1" w:name="kswkform4_17895931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Samuel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8X8,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675 CREEKSIDE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8X8 INC /DE/</w:t>
              </w:r>
            </w:hyperlink>
            <w:r>
              <w:rPr/>
              <w:t xml:space="preserve"> [ </w:t>
            </w:r>
            <w:r>
              <w:rPr>
                <w:rFonts w:ascii="Times;serif" w:hAnsi="Times;serif"/>
                <w:color w:val="0000FF"/>
                <w:sz w:val="24"/>
                <w:shd w:fill="FFFFFF" w:val="clear"/>
              </w:rPr>
              <w:t>EGHT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67"/>
        <w:gridCol w:w="1275"/>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19,080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2,552,626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the Restricted Stock Units ("RSUs") and does not represent a sale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Cheriese Dickman as Attorney-in-Fact for Samuel C Wilson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4487" TargetMode="External"/><Relationship Id="rId5" Type="http://schemas.openxmlformats.org/officeDocument/2006/relationships/hyperlink" Target="http://www.sec.gov/cgi-bin/browse-edgar?action=getcompany&amp;CIK=00010237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3343</Characters>
  <CharactersWithSpaces>3892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