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3416.xml.htm"/>
      <w:bookmarkStart w:id="1" w:name="kswkform4_17859634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Burton Andrew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 675 CREEKSIDE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65,533</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258,700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The entire award shall vest in full on the earlier of (a) the one-year anniversary of the date of grant, or (b) the date of the next annual meeting of the Issuers stockholders, in each case, subject to the Reporting Persons continued service to the Issuer through the applicable vesting date. The award is also subject to a deferral election by the Reporting Person and shares will not be issued until the designated deferred settlement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M. Dickman as Attorney-in-Fact for Andrew Burton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2808"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3487</Characters>
  <CharactersWithSpaces>4072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