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chivo;sans-serif" w:hAnsi="Archivo;sans-serif"/>
          <w:b/>
          <w:color w:val="000000"/>
          <w:sz w:val="24"/>
        </w:rPr>
      </w:pPr>
      <w:r>
        <w:rPr>
          <w:rFonts w:ascii="Archivo;sans-serif" w:hAnsi="Archivo;sans-serif"/>
          <w:b/>
          <w:color w:val="000000"/>
          <w:sz w:val="24"/>
        </w:rPr>
        <w:t>UNITED STATES</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SECURITIES AND EXCHANGE COMMISSION</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Washington, D.C. 20549</w:t>
      </w:r>
    </w:p>
    <w:tbl>
      <w:tblPr>
        <w:tblW w:w="4431" w:type="dxa"/>
        <w:jc w:val="left"/>
        <w:tblInd w:w="0" w:type="dxa"/>
        <w:tblLayout w:type="fixed"/>
        <w:tblCellMar>
          <w:top w:w="28" w:type="dxa"/>
          <w:left w:w="28" w:type="dxa"/>
          <w:bottom w:w="28" w:type="dxa"/>
          <w:right w:w="28" w:type="dxa"/>
        </w:tblCellMar>
      </w:tblPr>
      <w:tblGrid>
        <w:gridCol w:w="124"/>
        <w:gridCol w:w="109"/>
        <w:gridCol w:w="109"/>
        <w:gridCol w:w="740"/>
        <w:gridCol w:w="740"/>
        <w:gridCol w:w="743"/>
        <w:gridCol w:w="497"/>
        <w:gridCol w:w="497"/>
        <w:gridCol w:w="50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160"/>
              <w:jc w:val="right"/>
              <w:rPr>
                <w:rFonts w:ascii="Archivo;sans-serif" w:hAnsi="Archivo;sans-serif"/>
                <w:b/>
                <w:color w:val="000000"/>
                <w:sz w:val="36"/>
              </w:rPr>
            </w:pPr>
            <w:r>
              <w:rPr>
                <w:rFonts w:ascii="Archivo;sans-serif" w:hAnsi="Archivo;sans-serif"/>
                <w:b/>
                <w:color w:val="000000"/>
                <w:sz w:val="36"/>
              </w:rPr>
              <w:t>FORM</w:t>
            </w:r>
          </w:p>
        </w:tc>
        <w:tc>
          <w:tcPr>
            <w:tcW w:w="14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6"/>
              </w:rPr>
            </w:pPr>
            <w:r>
              <w:rPr>
                <w:rFonts w:ascii="Archivo;sans-serif" w:hAnsi="Archivo;sans-serif"/>
                <w:b/>
                <w:color w:val="000000"/>
                <w:sz w:val="36"/>
              </w:rPr>
              <w:t>8-K/A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36"/>
              </w:rPr>
            </w:pPr>
            <w:r>
              <w:rPr>
                <w:rFonts w:ascii="Archivo;sans-serif" w:hAnsi="Archivo;sans-serif"/>
                <w:b/>
                <w:color w:val="000000"/>
                <w:sz w:val="36"/>
              </w:rPr>
              <w:t>Amendment No. 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Archivo;sans-serif" w:hAnsi="Archivo;sans-serif"/>
          <w:b/>
          <w:color w:val="000000"/>
          <w:sz w:val="24"/>
        </w:rPr>
      </w:pPr>
      <w:r>
        <w:rPr>
          <w:rFonts w:ascii="Archivo;sans-serif" w:hAnsi="Archivo;sans-serif"/>
          <w:b/>
          <w:color w:val="000000"/>
          <w:sz w:val="24"/>
        </w:rPr>
        <w:t>CURRENT REPORT</w:t>
      </w:r>
    </w:p>
    <w:p>
      <w:pPr>
        <w:pStyle w:val="TextBody"/>
        <w:bidi w:val="0"/>
        <w:spacing w:lineRule="auto" w:line="288" w:before="120" w:after="120"/>
        <w:jc w:val="center"/>
        <w:rPr>
          <w:rFonts w:ascii="Archivo;sans-serif" w:hAnsi="Archivo;sans-serif"/>
          <w:b/>
          <w:color w:val="000000"/>
          <w:sz w:val="24"/>
        </w:rPr>
      </w:pPr>
      <w:r>
        <w:rPr>
          <w:rFonts w:ascii="Archivo;sans-serif" w:hAnsi="Archivo;sans-serif"/>
          <w:b/>
          <w:color w:val="000000"/>
          <w:sz w:val="24"/>
        </w:rPr>
        <w:t>Pursuant to Section 13 or 15(d) of the Securities Exchange Act of 1934</w:t>
      </w:r>
    </w:p>
    <w:p>
      <w:pPr>
        <w:pStyle w:val="TextBody"/>
        <w:bidi w:val="0"/>
        <w:spacing w:lineRule="auto" w:line="288" w:before="160" w:after="120"/>
        <w:jc w:val="center"/>
        <w:rPr>
          <w:rFonts w:ascii="Archivo;sans-serif" w:hAnsi="Archivo;sans-serif"/>
          <w:b w:val="false"/>
          <w:color w:val="000000"/>
          <w:sz w:val="24"/>
        </w:rPr>
      </w:pPr>
      <w:r>
        <w:rPr>
          <w:rFonts w:ascii="Archivo;sans-serif" w:hAnsi="Archivo;sans-serif"/>
          <w:b w:val="false"/>
          <w:color w:val="000000"/>
          <w:sz w:val="24"/>
        </w:rPr>
        <w:t xml:space="preserve">August 3, 2026 </w:t>
      </w:r>
    </w:p>
    <w:p>
      <w:pPr>
        <w:pStyle w:val="TextBody"/>
        <w:bidi w:val="0"/>
        <w:spacing w:lineRule="auto" w:line="288" w:before="120" w:after="120"/>
        <w:jc w:val="center"/>
        <w:rPr>
          <w:rFonts w:ascii="Archivo;sans-serif" w:hAnsi="Archivo;sans-serif"/>
          <w:b w:val="false"/>
          <w:color w:val="000000"/>
          <w:sz w:val="16"/>
        </w:rPr>
      </w:pPr>
      <w:r>
        <w:rPr>
          <w:rFonts w:ascii="Archivo;sans-serif" w:hAnsi="Archivo;sans-serif"/>
          <w:b w:val="false"/>
          <w:color w:val="000000"/>
          <w:sz w:val="16"/>
        </w:rPr>
        <w:t>Date of Report (Date of earliest event reported)</w:t>
      </w:r>
    </w:p>
    <w:p>
      <w:pPr>
        <w:pStyle w:val="TextBody"/>
        <w:bidi w:val="0"/>
        <w:spacing w:before="0" w:after="0"/>
        <w:jc w:val="center"/>
        <w:rPr/>
      </w:pPr>
      <w:r>
        <w:rPr/>
        <w:drawing>
          <wp:inline distT="0" distB="0" distL="0" distR="0">
            <wp:extent cx="17335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790575"/>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val="false"/>
          <w:i/>
          <w:color w:val="000000"/>
          <w:sz w:val="16"/>
        </w:rPr>
      </w:pPr>
      <w:r>
        <w:rPr>
          <w:rFonts w:ascii="Archivo;sans-serif" w:hAnsi="Archivo;sans-serif"/>
          <w:b w:val="false"/>
          <w:i/>
          <w:color w:val="000000"/>
          <w:sz w:val="16"/>
        </w:rPr>
        <w:t>(Exact name of registrant as specified in its charter)</w:t>
      </w:r>
    </w:p>
    <w:tbl>
      <w:tblPr>
        <w:tblW w:w="10192" w:type="dxa"/>
        <w:jc w:val="center"/>
        <w:tblInd w:w="0" w:type="dxa"/>
        <w:tblLayout w:type="fixed"/>
        <w:tblCellMar>
          <w:top w:w="28" w:type="dxa"/>
          <w:left w:w="28" w:type="dxa"/>
          <w:bottom w:w="28" w:type="dxa"/>
          <w:right w:w="28" w:type="dxa"/>
        </w:tblCellMar>
      </w:tblPr>
      <w:tblGrid>
        <w:gridCol w:w="1375"/>
        <w:gridCol w:w="1207"/>
        <w:gridCol w:w="1212"/>
        <w:gridCol w:w="109"/>
        <w:gridCol w:w="109"/>
        <w:gridCol w:w="109"/>
        <w:gridCol w:w="789"/>
        <w:gridCol w:w="789"/>
        <w:gridCol w:w="792"/>
        <w:gridCol w:w="109"/>
        <w:gridCol w:w="109"/>
        <w:gridCol w:w="109"/>
        <w:gridCol w:w="987"/>
        <w:gridCol w:w="987"/>
        <w:gridCol w:w="1400"/>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001-38312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77-0142404</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i/>
                <w:color w:val="000000"/>
                <w:sz w:val="16"/>
              </w:rPr>
            </w:pPr>
            <w:r>
              <w:rPr>
                <w:rFonts w:ascii="Archivo;sans-serif" w:hAnsi="Archivo;sans-serif"/>
                <w:b w:val="false"/>
                <w:i/>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 xml:space="preserve">675 Creekside Way </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 xml:space="preserve">Campbell, CA 95008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(Address of principal executive offices including zip code)</w:t>
      </w:r>
    </w:p>
    <w:p>
      <w:pPr>
        <w:pStyle w:val="TextBody"/>
        <w:bidi w:val="0"/>
        <w:spacing w:lineRule="auto" w:line="288" w:before="60" w:after="283"/>
        <w:jc w:val="center"/>
        <w:rPr>
          <w:rFonts w:ascii="Archivo;sans-serif" w:hAnsi="Archivo;sans-serif"/>
          <w:b/>
          <w:color w:val="000000"/>
          <w:sz w:val="24"/>
          <w:u w:val="single"/>
        </w:rPr>
      </w:pPr>
      <w:r>
        <w:rPr>
          <w:rFonts w:ascii="Archivo;sans-serif" w:hAnsi="Archivo;sans-serif"/>
          <w:b/>
          <w:color w:val="000000"/>
          <w:sz w:val="24"/>
          <w:u w:val="single"/>
        </w:rPr>
        <w:t xml:space="preserve">(408) 727-1885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(Registrant's telephone number, including area code)</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Not Applicable</w:t>
      </w:r>
    </w:p>
    <w:p>
      <w:pPr>
        <w:pStyle w:val="TextBody"/>
        <w:bidi w:val="0"/>
        <w:spacing w:lineRule="auto" w:line="288" w:before="160" w:after="160"/>
        <w:jc w:val="center"/>
        <w:rPr>
          <w:rFonts w:ascii="Archivo;sans-serif" w:hAnsi="Archivo;sans-serif"/>
          <w:b w:val="false"/>
          <w:i/>
          <w:color w:val="000000"/>
          <w:sz w:val="16"/>
        </w:rPr>
      </w:pPr>
      <w:r>
        <w:rPr>
          <w:rFonts w:ascii="Archivo;sans-serif" w:hAnsi="Archivo;sans-serif"/>
          <w:b w:val="false"/>
          <w:i/>
          <w:color w:val="000000"/>
          <w:sz w:val="16"/>
        </w:rPr>
        <w:t>(Former Name or Former Address, if Changed Since Last Report)</w:t>
      </w:r>
    </w:p>
    <w:p>
      <w:pPr>
        <w:pStyle w:val="TextBody"/>
        <w:bidi w:val="0"/>
        <w:spacing w:lineRule="auto" w:line="288" w:before="60" w:after="60"/>
        <w:jc w:val="left"/>
        <w:rPr>
          <w:rFonts w:ascii="Archivo;sans-serif" w:hAnsi="Archivo;sans-serif"/>
          <w:b w:val="false"/>
          <w:color w:val="000000"/>
          <w:sz w:val="18"/>
        </w:rPr>
      </w:pPr>
      <w:r>
        <w:rPr>
          <w:rFonts w:ascii="Archivo;sans-serif" w:hAnsi="Archivo;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Written communications pursuant to Rule 425 under the Securities Act (17 CFR 230.425)</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Soliciting material pursuant to Rule 14a-12 under the Exchange Act (17 CFR 240.14a-12)</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Pre-commencement communications pursuant to Rule 14d-2(b) under the Exchange Act (17 CFR 240.14d-2(b))</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 xml:space="preserve">Pre-commencement communications pursuant to Rule 13e-4(c) under the Exchange Act (17 CFR 240.13e-4(c))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49"/>
        <w:gridCol w:w="1222"/>
        <w:gridCol w:w="1228"/>
        <w:gridCol w:w="109"/>
        <w:gridCol w:w="109"/>
        <w:gridCol w:w="109"/>
        <w:gridCol w:w="525"/>
        <w:gridCol w:w="525"/>
        <w:gridCol w:w="527"/>
        <w:gridCol w:w="109"/>
        <w:gridCol w:w="109"/>
        <w:gridCol w:w="109"/>
        <w:gridCol w:w="1191"/>
        <w:gridCol w:w="1191"/>
        <w:gridCol w:w="1693"/>
      </w:tblGrid>
      <w:tr>
        <w:trPr/>
        <w:tc>
          <w:tcPr>
            <w:tcW w:w="144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Name of each exchange on which registered</w:t>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EGHT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Nasdaq Global Select Market</w:t>
            </w:r>
          </w:p>
        </w:tc>
      </w:tr>
    </w:tbl>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160"/>
        <w:jc w:val="left"/>
        <w:rPr>
          <w:rFonts w:ascii="Archivo;sans-serif" w:hAnsi="Archivo;sans-serif"/>
          <w:b w:val="false"/>
          <w:color w:val="000000"/>
          <w:sz w:val="18"/>
        </w:rPr>
      </w:pPr>
      <w:r>
        <w:rPr>
          <w:rFonts w:ascii="Archivo;sans-serif" w:hAnsi="Archivo;sans-serif"/>
          <w:b w:val="false"/>
          <w:color w:val="000000"/>
          <w:sz w:val="18"/>
        </w:rPr>
        <w:t>Emerging growth company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20"/>
        <w:jc w:val="both"/>
        <w:rPr>
          <w:rFonts w:ascii="Archivo;sans-serif" w:hAnsi="Archivo;sans-serif"/>
          <w:b/>
          <w:color w:val="000000"/>
          <w:sz w:val="18"/>
        </w:rPr>
      </w:pPr>
      <w:r>
        <w:rPr>
          <w:rFonts w:ascii="Archivo;sans-serif" w:hAnsi="Archivo;sans-serif"/>
          <w:b/>
          <w:color w:val="000000"/>
          <w:sz w:val="18"/>
        </w:rPr>
        <w:t>Explanatory Note</w:t>
      </w:r>
    </w:p>
    <w:p>
      <w:pPr>
        <w:pStyle w:val="TextBody"/>
        <w:bidi w:val="0"/>
        <w:spacing w:lineRule="auto" w:line="288" w:before="160" w:after="120"/>
        <w:jc w:val="both"/>
        <w:rPr>
          <w:rFonts w:ascii="Archivo;sans-serif" w:hAnsi="Archivo;sans-serif"/>
          <w:b w:val="false"/>
          <w:color w:val="000000"/>
          <w:sz w:val="18"/>
        </w:rPr>
      </w:pPr>
      <w:r>
        <w:rPr>
          <w:rFonts w:ascii="Archivo;sans-serif" w:hAnsi="Archivo;sans-serif"/>
          <w:b w:val="false"/>
          <w:color w:val="000000"/>
          <w:sz w:val="18"/>
        </w:rPr>
        <w:t xml:space="preserve">This Current Report on Form 8-K/A amends the Current Report on Form 8-K filed by 8x8, Inc. (the "Company") on August 3, 2026 (the "Original Form 8-K") to correct the disclosure under Item 5.07 of the Original Form 8-K. The Original Form 8-K reported the voting results from the Company's annual meeting of stockholders for the calendar year 2026 (the "Annual Meeting"). Following the filing of the Original Form 8-K, the Company learned of non-material changes to the final voting results. Except as set forth herein, no other changes have been made to the Original Form 8-K. </w:t>
      </w:r>
    </w:p>
    <w:p>
      <w:pPr>
        <w:pStyle w:val="TextBody"/>
        <w:bidi w:val="0"/>
        <w:spacing w:lineRule="auto" w:line="288" w:before="160" w:after="120"/>
        <w:jc w:val="both"/>
        <w:rPr>
          <w:rFonts w:ascii="Archivo;sans-serif" w:hAnsi="Archivo;sans-serif"/>
          <w:b/>
          <w:color w:val="000000"/>
          <w:sz w:val="18"/>
        </w:rPr>
      </w:pPr>
      <w:r>
        <w:rPr>
          <w:rFonts w:ascii="Archivo;sans-serif" w:hAnsi="Archivo;sans-serif"/>
          <w:b/>
          <w:color w:val="000000"/>
          <w:sz w:val="18"/>
        </w:rPr>
        <w:t>Item 5.07. Submission of Matters to a Vote of Security Holders.</w:t>
      </w:r>
    </w:p>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On August 3, 2026, the Company held the Annual Meeting at which a quorum for the transaction of business was present virtually or represented by proxy. There were 141,782,325 shares of common stock entitled to be voted at the Annual Meeting, of which 113,553,716 shares were voted. The stockholders voted on the following proposals at the Annual Meeting:</w:t>
      </w:r>
    </w:p>
    <w:p>
      <w:pPr>
        <w:pStyle w:val="TextBody"/>
        <w:bidi w:val="0"/>
        <w:spacing w:lineRule="auto" w:line="288" w:before="0" w:after="0"/>
        <w:ind w:left="0" w:right="0" w:hanging="360"/>
        <w:jc w:val="both"/>
        <w:rPr>
          <w:rFonts w:ascii="Archivo;sans-serif" w:hAnsi="Archivo;sans-serif"/>
          <w:b w:val="false"/>
          <w:color w:val="000000"/>
          <w:sz w:val="18"/>
        </w:rPr>
      </w:pPr>
      <w:r>
        <w:rPr>
          <w:rFonts w:ascii="Archivo;sans-serif" w:hAnsi="Archivo;sans-serif"/>
          <w:b w:val="false"/>
          <w:color w:val="000000"/>
          <w:sz w:val="18"/>
        </w:rPr>
        <w:t>1.    Election of eight directors to hold office until the 2027 Annual Meeting of Stockholders of the Company, and until their respective successors have been duly elected and qualified. The Company's nominees were Jaswinder Pal Singh, Monique Bonner, Andrew Burton, Todd Ford, Alison Gleeson, John Pagliuca, Elizabeth Theophille and Samuel Wilson.</w:t>
      </w:r>
    </w:p>
    <w:p>
      <w:pPr>
        <w:pStyle w:val="TextBody"/>
        <w:bidi w:val="0"/>
        <w:spacing w:lineRule="auto" w:line="288" w:before="0" w:after="0"/>
        <w:ind w:left="0" w:right="0" w:hanging="360"/>
        <w:jc w:val="both"/>
        <w:rPr>
          <w:rFonts w:ascii="Archivo;sans-serif" w:hAnsi="Archivo;sans-serif"/>
          <w:b w:val="false"/>
          <w:color w:val="000000"/>
          <w:sz w:val="18"/>
        </w:rPr>
      </w:pPr>
      <w:r>
        <w:rPr>
          <w:rFonts w:ascii="Archivo;sans-serif" w:hAnsi="Archivo;sans-serif"/>
          <w:b w:val="false"/>
          <w:color w:val="000000"/>
          <w:sz w:val="18"/>
        </w:rPr>
        <w:t>2.    Approval, through an advisory vote, of the Company's executive compensation for the fiscal year ended March 31, 2026.</w:t>
      </w:r>
    </w:p>
    <w:p>
      <w:pPr>
        <w:pStyle w:val="TextBody"/>
        <w:bidi w:val="0"/>
        <w:spacing w:lineRule="auto" w:line="288" w:before="0" w:after="0"/>
        <w:ind w:left="0" w:right="0" w:hanging="360"/>
        <w:jc w:val="both"/>
        <w:rPr>
          <w:rFonts w:ascii="Archivo;sans-serif" w:hAnsi="Archivo;sans-serif"/>
          <w:b w:val="false"/>
          <w:color w:val="000000"/>
          <w:sz w:val="18"/>
        </w:rPr>
      </w:pPr>
      <w:r>
        <w:rPr>
          <w:rFonts w:ascii="Archivo;sans-serif" w:hAnsi="Archivo;sans-serif"/>
          <w:b w:val="false"/>
          <w:color w:val="000000"/>
          <w:sz w:val="18"/>
        </w:rPr>
        <w:t>3.     Ratification of the appointment of Grant Thornton LLP as the Company's independent registered public accounting firm for the fiscal year ending March 31, 2027.</w:t>
      </w:r>
    </w:p>
    <w:p>
      <w:pPr>
        <w:pStyle w:val="TextBody"/>
        <w:bidi w:val="0"/>
        <w:spacing w:lineRule="auto" w:line="288" w:before="0" w:after="120"/>
        <w:ind w:left="0" w:right="0" w:hanging="360"/>
        <w:jc w:val="both"/>
        <w:rPr>
          <w:rFonts w:ascii="Archivo;sans-serif" w:hAnsi="Archivo;sans-serif"/>
          <w:b w:val="false"/>
          <w:color w:val="000000"/>
          <w:sz w:val="18"/>
        </w:rPr>
      </w:pPr>
      <w:r>
        <w:rPr>
          <w:rFonts w:ascii="Archivo;sans-serif" w:hAnsi="Archivo;sans-serif"/>
          <w:b w:val="false"/>
          <w:color w:val="000000"/>
          <w:sz w:val="18"/>
        </w:rPr>
        <w:t>4.    Approval of an amendment to the Amended and Restated 2022 Equity Incentive Plan to increase the number of shares of common stock available for issuance thereunder by 8,338,000 shares.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final voting results were as follows:</w:t>
      </w:r>
    </w:p>
    <w:p>
      <w:pPr>
        <w:pStyle w:val="TextBody"/>
        <w:bidi w:val="0"/>
        <w:spacing w:lineRule="auto" w:line="288" w:before="0" w:after="120"/>
        <w:jc w:val="both"/>
        <w:rPr>
          <w:rFonts w:ascii="Archivo;sans-serif" w:hAnsi="Archivo;sans-serif"/>
          <w:b/>
          <w:color w:val="000000"/>
          <w:sz w:val="18"/>
        </w:rPr>
      </w:pPr>
      <w:r>
        <w:rPr>
          <w:rFonts w:ascii="Archivo;sans-serif" w:hAnsi="Archivo;sans-serif"/>
          <w:b/>
          <w:color w:val="000000"/>
          <w:sz w:val="18"/>
        </w:rPr>
        <w:t>Proposal One: Election of Directors</w:t>
      </w:r>
    </w:p>
    <w:tbl>
      <w:tblPr>
        <w:tblW w:w="6655" w:type="dxa"/>
        <w:jc w:val="left"/>
        <w:tblInd w:w="0" w:type="dxa"/>
        <w:tblLayout w:type="fixed"/>
        <w:tblCellMar>
          <w:top w:w="28" w:type="dxa"/>
          <w:left w:w="28" w:type="dxa"/>
          <w:bottom w:w="28" w:type="dxa"/>
          <w:right w:w="28" w:type="dxa"/>
        </w:tblCellMar>
      </w:tblPr>
      <w:tblGrid>
        <w:gridCol w:w="696"/>
        <w:gridCol w:w="610"/>
        <w:gridCol w:w="613"/>
        <w:gridCol w:w="394"/>
        <w:gridCol w:w="394"/>
        <w:gridCol w:w="398"/>
        <w:gridCol w:w="109"/>
        <w:gridCol w:w="109"/>
        <w:gridCol w:w="109"/>
        <w:gridCol w:w="354"/>
        <w:gridCol w:w="354"/>
        <w:gridCol w:w="358"/>
        <w:gridCol w:w="109"/>
        <w:gridCol w:w="109"/>
        <w:gridCol w:w="109"/>
        <w:gridCol w:w="536"/>
        <w:gridCol w:w="536"/>
        <w:gridCol w:w="758"/>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Broker Non-Vote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Jaswinder Pal Singh</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79,583,932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8,499,667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Monique Bonner</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86,657,200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1,426,399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Andrew Burton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87,117,848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965,751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Todd Ford</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86,836,565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1,247,034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Alison Gleeson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86,806,269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1,277,330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John Pagliuca</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87,117,599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966,000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Elizabeth Theophille</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86,962,272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1,121,327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Samuel Wilson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86,780,801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1,302,798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bl>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Each of the Company's nominees was elected to serve as a director until the next Annual Meeting of Stockholders, and until such director's successor has been duly elected and qualified.</w:t>
      </w:r>
    </w:p>
    <w:p>
      <w:pPr>
        <w:pStyle w:val="TextBody"/>
        <w:bidi w:val="0"/>
        <w:spacing w:lineRule="auto" w:line="288" w:before="0" w:after="120"/>
        <w:jc w:val="both"/>
        <w:rPr>
          <w:rFonts w:ascii="Archivo;sans-serif" w:hAnsi="Archivo;sans-serif"/>
          <w:b/>
          <w:color w:val="000000"/>
          <w:sz w:val="18"/>
        </w:rPr>
      </w:pPr>
      <w:r>
        <w:rPr>
          <w:rFonts w:ascii="Archivo;sans-serif" w:hAnsi="Archivo;sans-serif"/>
          <w:b/>
          <w:color w:val="000000"/>
          <w:sz w:val="18"/>
        </w:rPr>
        <w:t>Proposal Two: Advisory Vote on Executive Compensation</w:t>
      </w:r>
    </w:p>
    <w:tbl>
      <w:tblPr>
        <w:tblW w:w="5964"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354"/>
        <w:gridCol w:w="354"/>
        <w:gridCol w:w="358"/>
        <w:gridCol w:w="109"/>
        <w:gridCol w:w="109"/>
        <w:gridCol w:w="109"/>
        <w:gridCol w:w="295"/>
        <w:gridCol w:w="295"/>
        <w:gridCol w:w="296"/>
        <w:gridCol w:w="109"/>
        <w:gridCol w:w="109"/>
        <w:gridCol w:w="109"/>
        <w:gridCol w:w="536"/>
        <w:gridCol w:w="536"/>
        <w:gridCol w:w="758"/>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Broker Non-Vote</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85,482,059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2,383,797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217,743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bl>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The stockholders approved, on an advisory basis, the Company's executive compensation for the fiscal year ended March 31, 2026.</w:t>
      </w:r>
    </w:p>
    <w:p>
      <w:pPr>
        <w:pStyle w:val="TextBody"/>
        <w:bidi w:val="0"/>
        <w:spacing w:lineRule="auto" w:line="288" w:before="0" w:after="120"/>
        <w:jc w:val="both"/>
        <w:rPr>
          <w:rFonts w:ascii="Archivo;sans-serif" w:hAnsi="Archivo;sans-serif"/>
          <w:b/>
          <w:color w:val="000000"/>
          <w:sz w:val="18"/>
        </w:rPr>
      </w:pPr>
      <w:r>
        <w:rPr>
          <w:rFonts w:ascii="Archivo;sans-serif" w:hAnsi="Archivo;sans-serif"/>
          <w:b/>
          <w:color w:val="000000"/>
          <w:sz w:val="18"/>
        </w:rPr>
        <w:t>Proposal Three: Ratification of Independent Registered Public Accounting Firm</w:t>
      </w:r>
    </w:p>
    <w:tbl>
      <w:tblPr>
        <w:tblW w:w="5904" w:type="dxa"/>
        <w:jc w:val="left"/>
        <w:tblInd w:w="0" w:type="dxa"/>
        <w:tblLayout w:type="fixed"/>
        <w:tblCellMar>
          <w:top w:w="28" w:type="dxa"/>
          <w:left w:w="28" w:type="dxa"/>
          <w:bottom w:w="28" w:type="dxa"/>
          <w:right w:w="28" w:type="dxa"/>
        </w:tblCellMar>
      </w:tblPr>
      <w:tblGrid>
        <w:gridCol w:w="477"/>
        <w:gridCol w:w="418"/>
        <w:gridCol w:w="426"/>
        <w:gridCol w:w="109"/>
        <w:gridCol w:w="109"/>
        <w:gridCol w:w="109"/>
        <w:gridCol w:w="295"/>
        <w:gridCol w:w="295"/>
        <w:gridCol w:w="296"/>
        <w:gridCol w:w="109"/>
        <w:gridCol w:w="109"/>
        <w:gridCol w:w="109"/>
        <w:gridCol w:w="295"/>
        <w:gridCol w:w="295"/>
        <w:gridCol w:w="296"/>
        <w:gridCol w:w="109"/>
        <w:gridCol w:w="109"/>
        <w:gridCol w:w="109"/>
        <w:gridCol w:w="536"/>
        <w:gridCol w:w="536"/>
        <w:gridCol w:w="758"/>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Broker Non-Vote</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112,263,108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533,812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756,796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jc w:val="both"/>
        <w:rPr>
          <w:rFonts w:ascii="Archivo;sans-serif" w:hAnsi="Archivo;sans-serif"/>
          <w:b w:val="false"/>
          <w:color w:val="000000"/>
          <w:sz w:val="18"/>
        </w:rPr>
      </w:pPr>
      <w:r>
        <w:rPr>
          <w:rFonts w:ascii="Archivo;sans-serif" w:hAnsi="Archivo;sans-serif"/>
          <w:b w:val="false"/>
          <w:color w:val="000000"/>
          <w:sz w:val="18"/>
        </w:rPr>
        <w:t>The stockholders ratified the appointment of Grant Thornton LLP as the Company's independent registered public accounting firm for the fiscal year ending March 31, 2027.</w:t>
      </w:r>
    </w:p>
    <w:p>
      <w:pPr>
        <w:pStyle w:val="TextBody"/>
        <w:bidi w:val="0"/>
        <w:spacing w:lineRule="auto" w:line="288" w:before="0" w:after="120"/>
        <w:jc w:val="both"/>
        <w:rPr>
          <w:rFonts w:ascii="Archivo;sans-serif" w:hAnsi="Archivo;sans-serif"/>
          <w:b/>
          <w:color w:val="000000"/>
          <w:sz w:val="18"/>
        </w:rPr>
      </w:pPr>
      <w:r>
        <w:rPr>
          <w:rFonts w:ascii="Archivo;sans-serif" w:hAnsi="Archivo;sans-serif"/>
          <w:b/>
          <w:color w:val="000000"/>
          <w:sz w:val="18"/>
        </w:rPr>
        <w:t>Proposal Four: Approval of Amendment to the Amended and Restated 2022 Equity Incentive Plan.</w:t>
      </w:r>
    </w:p>
    <w:tbl>
      <w:tblPr>
        <w:tblW w:w="5964"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354"/>
        <w:gridCol w:w="354"/>
        <w:gridCol w:w="358"/>
        <w:gridCol w:w="109"/>
        <w:gridCol w:w="109"/>
        <w:gridCol w:w="109"/>
        <w:gridCol w:w="295"/>
        <w:gridCol w:w="295"/>
        <w:gridCol w:w="296"/>
        <w:gridCol w:w="109"/>
        <w:gridCol w:w="109"/>
        <w:gridCol w:w="109"/>
        <w:gridCol w:w="536"/>
        <w:gridCol w:w="536"/>
        <w:gridCol w:w="758"/>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Broker Non-Vote</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79,480,286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8,562,761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40,552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25,470,117</w:t>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stockholders approved the amendment to the Amended and Restated 2022 Equity Incentive Plan to increase the number of shares of common stock available for issuance thereunder by 8,338,000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chivo;sans-serif" w:hAnsi="Archivo;sans-serif"/>
          <w:b/>
          <w:color w:val="000000"/>
          <w:sz w:val="20"/>
        </w:rPr>
      </w:pPr>
      <w:r>
        <w:rPr>
          <w:rFonts w:ascii="Archivo;sans-serif" w:hAnsi="Archivo;sans-serif"/>
          <w:b/>
          <w:color w:val="000000"/>
          <w:sz w:val="20"/>
        </w:rPr>
        <w:t>SIGNATURES</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Date: August 6, 2026</w:t>
      </w:r>
    </w:p>
    <w:tbl>
      <w:tblPr>
        <w:tblW w:w="3279" w:type="dxa"/>
        <w:jc w:val="left"/>
        <w:tblInd w:w="0" w:type="dxa"/>
        <w:tblLayout w:type="fixed"/>
        <w:tblCellMar>
          <w:top w:w="28" w:type="dxa"/>
          <w:left w:w="28" w:type="dxa"/>
          <w:bottom w:w="28" w:type="dxa"/>
          <w:right w:w="28" w:type="dxa"/>
        </w:tblCellMar>
      </w:tblPr>
      <w:tblGrid>
        <w:gridCol w:w="124"/>
        <w:gridCol w:w="109"/>
        <w:gridCol w:w="109"/>
        <w:gridCol w:w="853"/>
        <w:gridCol w:w="853"/>
        <w:gridCol w:w="85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8x8,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By: /s/ LAURENCE DENNY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Laurence Denny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20"/>
              </w:rPr>
            </w:pPr>
            <w:r>
              <w:rPr>
                <w:rFonts w:ascii="Archivo;sans-serif" w:hAnsi="Archivo;sans-serif"/>
                <w:b w:val="false"/>
                <w:i/>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4847</Characters>
  <CharactersWithSpaces>5608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