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chivo;sans-serif" w:hAnsi="Archivo;sans-serif"/>
          <w:b/>
          <w:color w:val="000000"/>
          <w:sz w:val="24"/>
        </w:rPr>
      </w:pPr>
      <w:r>
        <w:rPr>
          <w:rFonts w:ascii="Archivo;sans-serif" w:hAnsi="Archivo;sans-serif"/>
          <w:b/>
          <w:color w:val="000000"/>
          <w:sz w:val="24"/>
        </w:rPr>
        <w:t>UNITED STATES</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SECURITIES AND EXCHANGE COMMISSION</w:t>
      </w:r>
    </w:p>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Washington, D.C. 20549</w:t>
      </w:r>
    </w:p>
    <w:tbl>
      <w:tblPr>
        <w:tblW w:w="2784" w:type="dxa"/>
        <w:jc w:val="left"/>
        <w:tblInd w:w="0" w:type="dxa"/>
        <w:tblLayout w:type="fixed"/>
        <w:tblCellMar>
          <w:top w:w="28" w:type="dxa"/>
          <w:left w:w="28" w:type="dxa"/>
          <w:bottom w:w="28" w:type="dxa"/>
          <w:right w:w="28" w:type="dxa"/>
        </w:tblCellMar>
      </w:tblPr>
      <w:tblGrid>
        <w:gridCol w:w="124"/>
        <w:gridCol w:w="109"/>
        <w:gridCol w:w="109"/>
        <w:gridCol w:w="425"/>
        <w:gridCol w:w="425"/>
        <w:gridCol w:w="426"/>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6"/>
              </w:rPr>
            </w:pPr>
            <w:r>
              <w:rPr>
                <w:rFonts w:ascii="Archivo;sans-serif" w:hAnsi="Archivo;sans-serif"/>
                <w:b/>
                <w:color w:val="000000"/>
                <w:sz w:val="36"/>
              </w:rPr>
              <w:t>FORM</w:t>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6"/>
              </w:rPr>
            </w:pPr>
            <w:r>
              <w:rPr>
                <w:rFonts w:ascii="Archivo;sans-serif" w:hAnsi="Archivo;sans-serif"/>
                <w:b/>
                <w:color w:val="000000"/>
                <w:sz w:val="36"/>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Archivo;sans-serif" w:hAnsi="Archivo;sans-serif"/>
          <w:b/>
          <w:color w:val="000000"/>
          <w:sz w:val="24"/>
        </w:rPr>
      </w:pPr>
      <w:r>
        <w:rPr>
          <w:rFonts w:ascii="Archivo;sans-serif" w:hAnsi="Archivo;sans-serif"/>
          <w:b/>
          <w:color w:val="000000"/>
          <w:sz w:val="24"/>
        </w:rPr>
        <w:t>CURRENT REPORT</w:t>
      </w:r>
    </w:p>
    <w:p>
      <w:pPr>
        <w:pStyle w:val="TextBody"/>
        <w:bidi w:val="0"/>
        <w:spacing w:lineRule="auto" w:line="288" w:before="120" w:after="120"/>
        <w:jc w:val="center"/>
        <w:rPr>
          <w:rFonts w:ascii="Archivo;sans-serif" w:hAnsi="Archivo;sans-serif"/>
          <w:b/>
          <w:color w:val="000000"/>
          <w:sz w:val="24"/>
        </w:rPr>
      </w:pPr>
      <w:r>
        <w:rPr>
          <w:rFonts w:ascii="Archivo;sans-serif" w:hAnsi="Archivo;sans-serif"/>
          <w:b/>
          <w:color w:val="000000"/>
          <w:sz w:val="24"/>
        </w:rPr>
        <w:t>Pursuant to Section 13 or 15(d) of the Securities Exchange Act of 1934</w:t>
      </w:r>
    </w:p>
    <w:p>
      <w:pPr>
        <w:pStyle w:val="TextBody"/>
        <w:bidi w:val="0"/>
        <w:spacing w:lineRule="auto" w:line="288" w:before="160" w:after="120"/>
        <w:jc w:val="center"/>
        <w:rPr>
          <w:rFonts w:ascii="Archivo;sans-serif" w:hAnsi="Archivo;sans-serif"/>
          <w:b w:val="false"/>
          <w:color w:val="000000"/>
          <w:sz w:val="24"/>
        </w:rPr>
      </w:pPr>
      <w:r>
        <w:rPr>
          <w:rFonts w:ascii="Archivo;sans-serif" w:hAnsi="Archivo;sans-serif"/>
          <w:b w:val="false"/>
          <w:color w:val="000000"/>
          <w:sz w:val="24"/>
        </w:rPr>
        <w:t xml:space="preserve">August 3, 2026 </w:t>
      </w:r>
    </w:p>
    <w:p>
      <w:pPr>
        <w:pStyle w:val="TextBody"/>
        <w:bidi w:val="0"/>
        <w:spacing w:lineRule="auto" w:line="288" w:before="120" w:after="120"/>
        <w:jc w:val="center"/>
        <w:rPr>
          <w:rFonts w:ascii="Archivo;sans-serif" w:hAnsi="Archivo;sans-serif"/>
          <w:b w:val="false"/>
          <w:color w:val="000000"/>
          <w:sz w:val="16"/>
        </w:rPr>
      </w:pPr>
      <w:r>
        <w:rPr>
          <w:rFonts w:ascii="Archivo;sans-serif" w:hAnsi="Archivo;sans-serif"/>
          <w:b w:val="false"/>
          <w:color w:val="000000"/>
          <w:sz w:val="16"/>
        </w:rPr>
        <w:t>Date of Report (Date of earliest event reported)</w:t>
      </w:r>
    </w:p>
    <w:p>
      <w:pPr>
        <w:pStyle w:val="TextBody"/>
        <w:bidi w:val="0"/>
        <w:spacing w:before="0" w:after="0"/>
        <w:jc w:val="center"/>
        <w:rPr/>
      </w:pPr>
      <w:r>
        <w:rPr/>
        <w:drawing>
          <wp:inline distT="0" distB="0" distL="0" distR="0">
            <wp:extent cx="17335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790575"/>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val="false"/>
          <w:i/>
          <w:color w:val="000000"/>
          <w:sz w:val="16"/>
        </w:rPr>
      </w:pPr>
      <w:r>
        <w:rPr>
          <w:rFonts w:ascii="Archivo;sans-serif" w:hAnsi="Archivo;sans-serif"/>
          <w:b w:val="false"/>
          <w:i/>
          <w:color w:val="000000"/>
          <w:sz w:val="16"/>
        </w:rPr>
        <w:t>(Exact name of registrant as specified in its charter)</w:t>
      </w:r>
    </w:p>
    <w:tbl>
      <w:tblPr>
        <w:tblW w:w="10192" w:type="dxa"/>
        <w:jc w:val="center"/>
        <w:tblInd w:w="0" w:type="dxa"/>
        <w:tblLayout w:type="fixed"/>
        <w:tblCellMar>
          <w:top w:w="28" w:type="dxa"/>
          <w:left w:w="28" w:type="dxa"/>
          <w:bottom w:w="28" w:type="dxa"/>
          <w:right w:w="28" w:type="dxa"/>
        </w:tblCellMar>
      </w:tblPr>
      <w:tblGrid>
        <w:gridCol w:w="1375"/>
        <w:gridCol w:w="1207"/>
        <w:gridCol w:w="1212"/>
        <w:gridCol w:w="109"/>
        <w:gridCol w:w="109"/>
        <w:gridCol w:w="109"/>
        <w:gridCol w:w="789"/>
        <w:gridCol w:w="789"/>
        <w:gridCol w:w="792"/>
        <w:gridCol w:w="109"/>
        <w:gridCol w:w="109"/>
        <w:gridCol w:w="109"/>
        <w:gridCol w:w="987"/>
        <w:gridCol w:w="987"/>
        <w:gridCol w:w="1400"/>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001-38312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4"/>
              </w:rPr>
            </w:pPr>
            <w:r>
              <w:rPr>
                <w:rFonts w:ascii="Archivo;sans-serif" w:hAnsi="Archivo;sans-serif"/>
                <w:b/>
                <w:color w:val="000000"/>
                <w:sz w:val="24"/>
              </w:rPr>
              <w:t>77-0142404</w:t>
            </w:r>
          </w:p>
        </w:tc>
      </w:tr>
      <w:tr>
        <w:trPr/>
        <w:tc>
          <w:tcPr>
            <w:tcW w:w="3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Archivo;sans-serif" w:hAnsi="Archivo;sans-serif"/>
                <w:b w:val="false"/>
                <w:i/>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i/>
                <w:color w:val="000000"/>
                <w:sz w:val="16"/>
              </w:rPr>
            </w:pPr>
            <w:r>
              <w:rPr>
                <w:rFonts w:ascii="Archivo;sans-serif" w:hAnsi="Archivo;sans-serif"/>
                <w:b w:val="false"/>
                <w:i/>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4"/>
        </w:rPr>
      </w:pPr>
      <w:r>
        <w:rPr>
          <w:rFonts w:ascii="Archivo;sans-serif" w:hAnsi="Archivo;sans-serif"/>
          <w:b/>
          <w:color w:val="000000"/>
          <w:sz w:val="24"/>
        </w:rPr>
        <w:t xml:space="preserve">675 Creekside Way </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 xml:space="preserve">Campbell, CA 95008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(Address of principal executive offices including zip code)</w:t>
      </w:r>
    </w:p>
    <w:p>
      <w:pPr>
        <w:pStyle w:val="TextBody"/>
        <w:bidi w:val="0"/>
        <w:spacing w:lineRule="auto" w:line="288" w:before="60" w:after="283"/>
        <w:jc w:val="center"/>
        <w:rPr>
          <w:rFonts w:ascii="Archivo;sans-serif" w:hAnsi="Archivo;sans-serif"/>
          <w:b/>
          <w:color w:val="000000"/>
          <w:sz w:val="24"/>
          <w:u w:val="single"/>
        </w:rPr>
      </w:pPr>
      <w:r>
        <w:rPr>
          <w:rFonts w:ascii="Archivo;sans-serif" w:hAnsi="Archivo;sans-serif"/>
          <w:b/>
          <w:color w:val="000000"/>
          <w:sz w:val="24"/>
          <w:u w:val="single"/>
        </w:rPr>
        <w:t xml:space="preserve">(408) 727-1885 </w:t>
      </w:r>
    </w:p>
    <w:p>
      <w:pPr>
        <w:pStyle w:val="TextBody"/>
        <w:bidi w:val="0"/>
        <w:spacing w:lineRule="auto" w:line="288" w:before="0" w:after="0"/>
        <w:jc w:val="center"/>
        <w:rPr>
          <w:rFonts w:ascii="Archivo;sans-serif" w:hAnsi="Archivo;sans-serif"/>
          <w:b w:val="false"/>
          <w:i/>
          <w:color w:val="000000"/>
          <w:sz w:val="16"/>
        </w:rPr>
      </w:pPr>
      <w:r>
        <w:rPr>
          <w:rFonts w:ascii="Archivo;sans-serif" w:hAnsi="Archivo;sans-serif"/>
          <w:b w:val="false"/>
          <w:i/>
          <w:color w:val="000000"/>
          <w:sz w:val="16"/>
        </w:rPr>
        <w:t>(Registrant's telephone number, including area code)</w:t>
      </w:r>
    </w:p>
    <w:p>
      <w:pPr>
        <w:pStyle w:val="TextBody"/>
        <w:bidi w:val="0"/>
        <w:spacing w:lineRule="auto" w:line="288" w:before="0" w:after="0"/>
        <w:jc w:val="center"/>
        <w:rPr>
          <w:rFonts w:ascii="Archivo;sans-serif" w:hAnsi="Archivo;sans-serif"/>
          <w:b/>
          <w:color w:val="000000"/>
          <w:sz w:val="24"/>
          <w:u w:val="single"/>
        </w:rPr>
      </w:pPr>
      <w:r>
        <w:rPr>
          <w:rFonts w:ascii="Archivo;sans-serif" w:hAnsi="Archivo;sans-serif"/>
          <w:b/>
          <w:color w:val="000000"/>
          <w:sz w:val="24"/>
          <w:u w:val="single"/>
        </w:rPr>
        <w:t>Not Applicable</w:t>
      </w:r>
    </w:p>
    <w:p>
      <w:pPr>
        <w:pStyle w:val="TextBody"/>
        <w:bidi w:val="0"/>
        <w:spacing w:lineRule="auto" w:line="288" w:before="160" w:after="160"/>
        <w:jc w:val="center"/>
        <w:rPr>
          <w:rFonts w:ascii="Archivo;sans-serif" w:hAnsi="Archivo;sans-serif"/>
          <w:b w:val="false"/>
          <w:i/>
          <w:color w:val="000000"/>
          <w:sz w:val="16"/>
        </w:rPr>
      </w:pPr>
      <w:r>
        <w:rPr>
          <w:rFonts w:ascii="Archivo;sans-serif" w:hAnsi="Archivo;sans-serif"/>
          <w:b w:val="false"/>
          <w:i/>
          <w:color w:val="000000"/>
          <w:sz w:val="16"/>
        </w:rPr>
        <w:t>(Former Name or Former Address, if Changed Since Last Report)</w:t>
      </w:r>
    </w:p>
    <w:p>
      <w:pPr>
        <w:pStyle w:val="TextBody"/>
        <w:bidi w:val="0"/>
        <w:spacing w:lineRule="auto" w:line="288" w:before="60" w:after="60"/>
        <w:jc w:val="left"/>
        <w:rPr>
          <w:rFonts w:ascii="Archivo;sans-serif" w:hAnsi="Archivo;sans-serif"/>
          <w:b w:val="false"/>
          <w:color w:val="000000"/>
          <w:sz w:val="18"/>
        </w:rPr>
      </w:pPr>
      <w:r>
        <w:rPr>
          <w:rFonts w:ascii="Archivo;sans-serif" w:hAnsi="Archivo;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Written communications pursuant to Rule 425 under the Securities Act (17 CFR 230.425)</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Soliciting material pursuant to Rule 14a-12 under the Exchange Act (17 CFR 240.14a-12)</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Pre-commencement communications pursuant to Rule 14d-2(b) under the Exchange Act (17 CFR 240.14d-2(b))</w:t>
      </w:r>
    </w:p>
    <w:p>
      <w:pPr>
        <w:pStyle w:val="TextBody"/>
        <w:bidi w:val="0"/>
        <w:spacing w:lineRule="auto" w:line="288" w:before="160" w:after="160"/>
        <w:jc w:val="left"/>
        <w:rPr>
          <w:color w:val="000000"/>
        </w:rPr>
      </w:pPr>
      <w:r>
        <w:rPr>
          <w:color w:val="000000"/>
        </w:rPr>
        <w:t>☐ </w:t>
      </w:r>
      <w:r>
        <w:rPr>
          <w:rFonts w:ascii="Archivo;sans-serif" w:hAnsi="Archivo;sans-serif"/>
          <w:b w:val="false"/>
          <w:color w:val="000000"/>
          <w:sz w:val="18"/>
        </w:rPr>
        <w:t xml:space="preserve">Pre-commencement communications pursuant to Rule 13e-4(c) under the Exchange Act (17 CFR 240.13e-4(c))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449"/>
        <w:gridCol w:w="1222"/>
        <w:gridCol w:w="1228"/>
        <w:gridCol w:w="109"/>
        <w:gridCol w:w="109"/>
        <w:gridCol w:w="109"/>
        <w:gridCol w:w="525"/>
        <w:gridCol w:w="525"/>
        <w:gridCol w:w="527"/>
        <w:gridCol w:w="109"/>
        <w:gridCol w:w="109"/>
        <w:gridCol w:w="109"/>
        <w:gridCol w:w="1191"/>
        <w:gridCol w:w="1191"/>
        <w:gridCol w:w="1693"/>
      </w:tblGrid>
      <w:tr>
        <w:trPr/>
        <w:tc>
          <w:tcPr>
            <w:tcW w:w="144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tcMar>
              <w:top w:w="0" w:type="dxa"/>
              <w:left w:w="0" w:type="dxa"/>
              <w:bottom w:w="0" w:type="dxa"/>
              <w:right w:w="0" w:type="dxa"/>
            </w:tcMar>
            <w:vAlign w:val="center"/>
          </w:tcPr>
          <w:p>
            <w:pPr>
              <w:pStyle w:val="TableContents"/>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Name of each exchange on which registered</w:t>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EGHT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Nasdaq Global Select Market</w:t>
            </w:r>
          </w:p>
        </w:tc>
      </w:tr>
    </w:tbl>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160"/>
        <w:jc w:val="left"/>
        <w:rPr>
          <w:rFonts w:ascii="Archivo;sans-serif" w:hAnsi="Archivo;sans-serif"/>
          <w:b w:val="false"/>
          <w:color w:val="000000"/>
          <w:sz w:val="18"/>
        </w:rPr>
      </w:pPr>
      <w:r>
        <w:rPr>
          <w:rFonts w:ascii="Archivo;sans-serif" w:hAnsi="Archivo;sans-serif"/>
          <w:b w:val="false"/>
          <w:color w:val="000000"/>
          <w:sz w:val="18"/>
        </w:rPr>
        <w:t>Emerging growth company ☐</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20"/>
        <w:jc w:val="both"/>
        <w:rPr>
          <w:rFonts w:ascii="Archivo;sans-serif" w:hAnsi="Archivo;sans-serif"/>
          <w:b/>
          <w:color w:val="000000"/>
          <w:sz w:val="20"/>
        </w:rPr>
      </w:pPr>
      <w:r>
        <w:rPr>
          <w:rFonts w:ascii="Archivo;sans-serif" w:hAnsi="Archivo;sans-serif"/>
          <w:b/>
          <w:color w:val="000000"/>
          <w:sz w:val="20"/>
        </w:rPr>
        <w:t>Item 5.07. Submission of Matters to a Vote of Security Holders.</w:t>
      </w:r>
    </w:p>
    <w:p>
      <w:pPr>
        <w:pStyle w:val="TextBody"/>
        <w:bidi w:val="0"/>
        <w:spacing w:lineRule="auto" w:line="288" w:before="0" w:after="120"/>
        <w:jc w:val="both"/>
        <w:rPr>
          <w:rFonts w:ascii="Archivo;sans-serif" w:hAnsi="Archivo;sans-serif"/>
          <w:b w:val="false"/>
          <w:color w:val="000000"/>
          <w:sz w:val="20"/>
        </w:rPr>
      </w:pPr>
      <w:r>
        <w:rPr>
          <w:rFonts w:ascii="Archivo;sans-serif" w:hAnsi="Archivo;sans-serif"/>
          <w:b w:val="false"/>
          <w:color w:val="000000"/>
          <w:sz w:val="20"/>
        </w:rPr>
        <w:t>On August 3, 2026, 8x8, Inc. (the “Company”) held its annual meeting of stockholders for the calendar year 2026 (the "Annual Meeting") at which a quorum for the transaction of business was present virtually or represented by proxy. There were 141,782,325 shares of common stock entitled to be voted at the Annual Meeting, of which 113,553,670 shares were voted. The stockholders voted on the following proposals at the Annual Meeting:</w:t>
      </w:r>
    </w:p>
    <w:p>
      <w:pPr>
        <w:pStyle w:val="TextBody"/>
        <w:bidi w:val="0"/>
        <w:spacing w:lineRule="auto" w:line="288" w:before="0" w:after="0"/>
        <w:ind w:left="0" w:right="0" w:hanging="360"/>
        <w:jc w:val="both"/>
        <w:rPr>
          <w:rFonts w:ascii="Archivo;sans-serif" w:hAnsi="Archivo;sans-serif"/>
          <w:b w:val="false"/>
          <w:color w:val="000000"/>
          <w:sz w:val="20"/>
        </w:rPr>
      </w:pPr>
      <w:r>
        <w:rPr>
          <w:rFonts w:ascii="Archivo;sans-serif" w:hAnsi="Archivo;sans-serif"/>
          <w:b w:val="false"/>
          <w:color w:val="000000"/>
          <w:sz w:val="20"/>
        </w:rPr>
        <w:t>1.    Election of eight directors to hold office until the 2027 Annual Meeting of Stockholders of the Company, and until their respective successors have been duly elected and qualified. The Company's nominees were Jaswinder Pal Singh, Monique Bonner, Andrew Burton, Todd Ford, Alison Gleeson, John Pagliuca, Elizabeth Theophille and Samuel Wilson.</w:t>
      </w:r>
    </w:p>
    <w:p>
      <w:pPr>
        <w:pStyle w:val="TextBody"/>
        <w:bidi w:val="0"/>
        <w:spacing w:lineRule="auto" w:line="288" w:before="0" w:after="0"/>
        <w:ind w:left="0" w:right="0" w:hanging="360"/>
        <w:jc w:val="both"/>
        <w:rPr>
          <w:rFonts w:ascii="Archivo;sans-serif" w:hAnsi="Archivo;sans-serif"/>
          <w:b w:val="false"/>
          <w:color w:val="000000"/>
          <w:sz w:val="20"/>
        </w:rPr>
      </w:pPr>
      <w:r>
        <w:rPr>
          <w:rFonts w:ascii="Archivo;sans-serif" w:hAnsi="Archivo;sans-serif"/>
          <w:b w:val="false"/>
          <w:color w:val="000000"/>
          <w:sz w:val="20"/>
        </w:rPr>
        <w:t>2.    Approval, through an advisory vote, of the Company's executive compensation for the fiscal year ended March 31, 2026.</w:t>
      </w:r>
    </w:p>
    <w:p>
      <w:pPr>
        <w:pStyle w:val="TextBody"/>
        <w:bidi w:val="0"/>
        <w:spacing w:lineRule="auto" w:line="288" w:before="0" w:after="0"/>
        <w:ind w:left="0" w:right="0" w:hanging="360"/>
        <w:jc w:val="both"/>
        <w:rPr>
          <w:rFonts w:ascii="Archivo;sans-serif" w:hAnsi="Archivo;sans-serif"/>
          <w:b w:val="false"/>
          <w:color w:val="000000"/>
          <w:sz w:val="20"/>
        </w:rPr>
      </w:pPr>
      <w:r>
        <w:rPr>
          <w:rFonts w:ascii="Archivo;sans-serif" w:hAnsi="Archivo;sans-serif"/>
          <w:b w:val="false"/>
          <w:color w:val="000000"/>
          <w:sz w:val="20"/>
        </w:rPr>
        <w:t>3.     Ratification of the appointment of Grant Thornton LLP as the Company's independent registered public accounting firm for the fiscal year ending March 31, 2027.</w:t>
      </w:r>
    </w:p>
    <w:p>
      <w:pPr>
        <w:pStyle w:val="TextBody"/>
        <w:bidi w:val="0"/>
        <w:spacing w:lineRule="auto" w:line="288" w:before="0" w:after="120"/>
        <w:ind w:left="0" w:right="0" w:hanging="360"/>
        <w:jc w:val="both"/>
        <w:rPr>
          <w:rFonts w:ascii="Archivo;sans-serif" w:hAnsi="Archivo;sans-serif"/>
          <w:b w:val="false"/>
          <w:color w:val="000000"/>
          <w:sz w:val="20"/>
        </w:rPr>
      </w:pPr>
      <w:r>
        <w:rPr>
          <w:rFonts w:ascii="Archivo;sans-serif" w:hAnsi="Archivo;sans-serif"/>
          <w:b w:val="false"/>
          <w:color w:val="000000"/>
          <w:sz w:val="20"/>
        </w:rPr>
        <w:t>4.    Approval of an amendment to the Amended and Restated 2022 Equity Incentive Plan to increase the number of shares of common stock available for issuance thereunder by 8,338,000 shares.</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The final voting results were as follows:</w:t>
      </w:r>
    </w:p>
    <w:p>
      <w:pPr>
        <w:pStyle w:val="TextBody"/>
        <w:bidi w:val="0"/>
        <w:spacing w:lineRule="auto" w:line="288" w:before="0" w:after="120"/>
        <w:jc w:val="both"/>
        <w:rPr>
          <w:rFonts w:ascii="Archivo;sans-serif" w:hAnsi="Archivo;sans-serif"/>
          <w:b/>
          <w:color w:val="000000"/>
          <w:sz w:val="20"/>
        </w:rPr>
      </w:pPr>
      <w:r>
        <w:rPr>
          <w:rFonts w:ascii="Archivo;sans-serif" w:hAnsi="Archivo;sans-serif"/>
          <w:b/>
          <w:color w:val="000000"/>
          <w:sz w:val="20"/>
        </w:rPr>
        <w:t>Proposal One: Election of Directors</w:t>
      </w:r>
    </w:p>
    <w:tbl>
      <w:tblPr>
        <w:tblW w:w="6986" w:type="dxa"/>
        <w:jc w:val="left"/>
        <w:tblInd w:w="0" w:type="dxa"/>
        <w:tblLayout w:type="fixed"/>
        <w:tblCellMar>
          <w:top w:w="28" w:type="dxa"/>
          <w:left w:w="28" w:type="dxa"/>
          <w:bottom w:w="28" w:type="dxa"/>
          <w:right w:w="28" w:type="dxa"/>
        </w:tblCellMar>
      </w:tblPr>
      <w:tblGrid>
        <w:gridCol w:w="760"/>
        <w:gridCol w:w="668"/>
        <w:gridCol w:w="672"/>
        <w:gridCol w:w="394"/>
        <w:gridCol w:w="394"/>
        <w:gridCol w:w="398"/>
        <w:gridCol w:w="109"/>
        <w:gridCol w:w="109"/>
        <w:gridCol w:w="109"/>
        <w:gridCol w:w="355"/>
        <w:gridCol w:w="355"/>
        <w:gridCol w:w="356"/>
        <w:gridCol w:w="109"/>
        <w:gridCol w:w="109"/>
        <w:gridCol w:w="109"/>
        <w:gridCol w:w="580"/>
        <w:gridCol w:w="580"/>
        <w:gridCol w:w="820"/>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Broker Non-Vote</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Jaswinder Pal Singh</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79,583,180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8,499,668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Monique Bonner</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86,656,448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1,426,400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Andrew Burton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87,117,096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965,752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Todd Ford</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86,835,814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1,247,034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Alison Gleeson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86,805,517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1,277,331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John Pagliuca</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87,116,847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966,001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Elizabeth Theophille</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86,961,520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1,121,328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Samuel Wilson</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86,780,049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1,302,799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bl>
    <w:p>
      <w:pPr>
        <w:pStyle w:val="TextBody"/>
        <w:bidi w:val="0"/>
        <w:spacing w:lineRule="auto" w:line="288" w:before="0" w:after="120"/>
        <w:jc w:val="both"/>
        <w:rPr>
          <w:rFonts w:ascii="Archivo;sans-serif" w:hAnsi="Archivo;sans-serif"/>
          <w:b w:val="false"/>
          <w:color w:val="000000"/>
          <w:sz w:val="20"/>
        </w:rPr>
      </w:pPr>
      <w:r>
        <w:rPr>
          <w:rFonts w:ascii="Archivo;sans-serif" w:hAnsi="Archivo;sans-serif"/>
          <w:b w:val="false"/>
          <w:color w:val="000000"/>
          <w:sz w:val="20"/>
        </w:rPr>
        <w:t>Each of the Company's nominees was elected to serve as a director until the next Annual Meeting of Stockholders, and until such director's successor has been duly elected and qualified.</w:t>
      </w:r>
    </w:p>
    <w:p>
      <w:pPr>
        <w:pStyle w:val="TextBody"/>
        <w:bidi w:val="0"/>
        <w:spacing w:lineRule="auto" w:line="288" w:before="0" w:after="120"/>
        <w:jc w:val="both"/>
        <w:rPr>
          <w:rFonts w:ascii="Archivo;sans-serif" w:hAnsi="Archivo;sans-serif"/>
          <w:b/>
          <w:color w:val="000000"/>
          <w:sz w:val="20"/>
        </w:rPr>
      </w:pPr>
      <w:r>
        <w:rPr>
          <w:rFonts w:ascii="Archivo;sans-serif" w:hAnsi="Archivo;sans-serif"/>
          <w:b/>
          <w:color w:val="000000"/>
          <w:sz w:val="20"/>
        </w:rPr>
        <w:t>Proposal Two: Advisory Vote on Executive Compensation</w:t>
      </w:r>
    </w:p>
    <w:tbl>
      <w:tblPr>
        <w:tblW w:w="6159"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354"/>
        <w:gridCol w:w="354"/>
        <w:gridCol w:w="358"/>
        <w:gridCol w:w="109"/>
        <w:gridCol w:w="109"/>
        <w:gridCol w:w="109"/>
        <w:gridCol w:w="310"/>
        <w:gridCol w:w="310"/>
        <w:gridCol w:w="311"/>
        <w:gridCol w:w="109"/>
        <w:gridCol w:w="109"/>
        <w:gridCol w:w="109"/>
        <w:gridCol w:w="580"/>
        <w:gridCol w:w="580"/>
        <w:gridCol w:w="820"/>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Broker Non-Vote</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85,481,353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2,383,751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217,744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bl>
    <w:p>
      <w:pPr>
        <w:pStyle w:val="TextBody"/>
        <w:bidi w:val="0"/>
        <w:spacing w:lineRule="auto" w:line="288" w:before="0" w:after="120"/>
        <w:jc w:val="both"/>
        <w:rPr>
          <w:rFonts w:ascii="Archivo;sans-serif" w:hAnsi="Archivo;sans-serif"/>
          <w:b w:val="false"/>
          <w:color w:val="000000"/>
          <w:sz w:val="20"/>
        </w:rPr>
      </w:pPr>
      <w:r>
        <w:rPr>
          <w:rFonts w:ascii="Archivo;sans-serif" w:hAnsi="Archivo;sans-serif"/>
          <w:b w:val="false"/>
          <w:color w:val="000000"/>
          <w:sz w:val="20"/>
        </w:rPr>
        <w:t>The stockholders approved, on an advisory basis, the Company's executive compensation for the fiscal year ended March 31, 2026.</w:t>
      </w:r>
    </w:p>
    <w:p>
      <w:pPr>
        <w:pStyle w:val="TextBody"/>
        <w:bidi w:val="0"/>
        <w:spacing w:lineRule="auto" w:line="288" w:before="0" w:after="120"/>
        <w:jc w:val="both"/>
        <w:rPr>
          <w:rFonts w:ascii="Archivo;sans-serif" w:hAnsi="Archivo;sans-serif"/>
          <w:b/>
          <w:color w:val="000000"/>
          <w:sz w:val="20"/>
        </w:rPr>
      </w:pPr>
      <w:r>
        <w:rPr>
          <w:rFonts w:ascii="Archivo;sans-serif" w:hAnsi="Archivo;sans-serif"/>
          <w:b/>
          <w:color w:val="000000"/>
          <w:sz w:val="20"/>
        </w:rPr>
        <w:t>Proposal Three: Ratification of Independent Registered Public Accounting Firm</w:t>
      </w:r>
    </w:p>
    <w:tbl>
      <w:tblPr>
        <w:tblW w:w="6144" w:type="dxa"/>
        <w:jc w:val="left"/>
        <w:tblInd w:w="0" w:type="dxa"/>
        <w:tblLayout w:type="fixed"/>
        <w:tblCellMar>
          <w:top w:w="28" w:type="dxa"/>
          <w:left w:w="28" w:type="dxa"/>
          <w:bottom w:w="28" w:type="dxa"/>
          <w:right w:w="28" w:type="dxa"/>
        </w:tblCellMar>
      </w:tblPr>
      <w:tblGrid>
        <w:gridCol w:w="477"/>
        <w:gridCol w:w="420"/>
        <w:gridCol w:w="424"/>
        <w:gridCol w:w="109"/>
        <w:gridCol w:w="109"/>
        <w:gridCol w:w="109"/>
        <w:gridCol w:w="310"/>
        <w:gridCol w:w="310"/>
        <w:gridCol w:w="311"/>
        <w:gridCol w:w="109"/>
        <w:gridCol w:w="109"/>
        <w:gridCol w:w="109"/>
        <w:gridCol w:w="310"/>
        <w:gridCol w:w="310"/>
        <w:gridCol w:w="311"/>
        <w:gridCol w:w="109"/>
        <w:gridCol w:w="109"/>
        <w:gridCol w:w="109"/>
        <w:gridCol w:w="580"/>
        <w:gridCol w:w="580"/>
        <w:gridCol w:w="820"/>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Broker Non-Vote</w:t>
            </w:r>
          </w:p>
        </w:tc>
      </w:tr>
      <w:tr>
        <w:trPr/>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112,266,764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529,978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756,928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jc w:val="both"/>
        <w:rPr>
          <w:rFonts w:ascii="Archivo;sans-serif" w:hAnsi="Archivo;sans-serif"/>
          <w:b w:val="false"/>
          <w:color w:val="000000"/>
          <w:sz w:val="20"/>
        </w:rPr>
      </w:pPr>
      <w:r>
        <w:rPr>
          <w:rFonts w:ascii="Archivo;sans-serif" w:hAnsi="Archivo;sans-serif"/>
          <w:b w:val="false"/>
          <w:color w:val="000000"/>
          <w:sz w:val="20"/>
        </w:rPr>
        <w:t>The stockholders ratified the appointment of Grant Thornton LLP as the Company's independent registered public accounting firm for the fiscal year ending March 31, 2027.</w:t>
      </w:r>
    </w:p>
    <w:p>
      <w:pPr>
        <w:pStyle w:val="TextBody"/>
        <w:bidi w:val="0"/>
        <w:spacing w:lineRule="auto" w:line="288" w:before="0" w:after="120"/>
        <w:jc w:val="both"/>
        <w:rPr>
          <w:rFonts w:ascii="Archivo;sans-serif" w:hAnsi="Archivo;sans-serif"/>
          <w:b/>
          <w:color w:val="000000"/>
          <w:sz w:val="20"/>
        </w:rPr>
      </w:pPr>
      <w:r>
        <w:rPr>
          <w:rFonts w:ascii="Archivo;sans-serif" w:hAnsi="Archivo;sans-serif"/>
          <w:b/>
          <w:color w:val="000000"/>
          <w:sz w:val="20"/>
        </w:rPr>
        <w:t>Proposal Four: Approval of Amendment to the Amended and Restated 2022 Equity Incentive Plan.</w:t>
      </w:r>
    </w:p>
    <w:tbl>
      <w:tblPr>
        <w:tblW w:w="6159"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354"/>
        <w:gridCol w:w="354"/>
        <w:gridCol w:w="358"/>
        <w:gridCol w:w="109"/>
        <w:gridCol w:w="109"/>
        <w:gridCol w:w="109"/>
        <w:gridCol w:w="310"/>
        <w:gridCol w:w="310"/>
        <w:gridCol w:w="311"/>
        <w:gridCol w:w="109"/>
        <w:gridCol w:w="109"/>
        <w:gridCol w:w="109"/>
        <w:gridCol w:w="580"/>
        <w:gridCol w:w="580"/>
        <w:gridCol w:w="820"/>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20"/>
              </w:rPr>
            </w:pPr>
            <w:r>
              <w:rPr>
                <w:rFonts w:ascii="Archivo;sans-serif" w:hAnsi="Archivo;sans-serif"/>
                <w:b/>
                <w:color w:val="000000"/>
                <w:sz w:val="20"/>
              </w:rPr>
              <w:t>Broker Non-Vote</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79,479,534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8,562,761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40,553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20"/>
              </w:rPr>
            </w:pPr>
            <w:r>
              <w:rPr>
                <w:rFonts w:ascii="Archivo;sans-serif" w:hAnsi="Archivo;sans-serif"/>
                <w:b w:val="false"/>
                <w:color w:val="000000"/>
                <w:sz w:val="20"/>
              </w:rPr>
              <w:t>25,470,822</w:t>
            </w:r>
          </w:p>
        </w:tc>
      </w:tr>
    </w:tbl>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The stockholders approved the amendment to the Amended and Restated 2022 Equity Incentive Plan to increase the number of shares of common stock available for issuance thereunder by 8,338,000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chivo;sans-serif" w:hAnsi="Archivo;sans-serif"/>
          <w:b/>
          <w:color w:val="000000"/>
          <w:sz w:val="20"/>
        </w:rPr>
      </w:pPr>
      <w:r>
        <w:rPr>
          <w:rFonts w:ascii="Archivo;sans-serif" w:hAnsi="Archivo;sans-serif"/>
          <w:b/>
          <w:color w:val="000000"/>
          <w:sz w:val="20"/>
        </w:rPr>
        <w:t>SIGNATURES</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160" w:after="160"/>
        <w:jc w:val="left"/>
        <w:rPr>
          <w:rFonts w:ascii="Archivo;sans-serif" w:hAnsi="Archivo;sans-serif"/>
          <w:b w:val="false"/>
          <w:color w:val="000000"/>
          <w:sz w:val="20"/>
        </w:rPr>
      </w:pPr>
      <w:r>
        <w:rPr>
          <w:rFonts w:ascii="Archivo;sans-serif" w:hAnsi="Archivo;sans-serif"/>
          <w:b w:val="false"/>
          <w:color w:val="000000"/>
          <w:sz w:val="20"/>
        </w:rPr>
        <w:t>Date: August 3, 2026</w:t>
      </w:r>
    </w:p>
    <w:tbl>
      <w:tblPr>
        <w:tblW w:w="3279" w:type="dxa"/>
        <w:jc w:val="left"/>
        <w:tblInd w:w="0" w:type="dxa"/>
        <w:tblLayout w:type="fixed"/>
        <w:tblCellMar>
          <w:top w:w="28" w:type="dxa"/>
          <w:left w:w="28" w:type="dxa"/>
          <w:bottom w:w="28" w:type="dxa"/>
          <w:right w:w="28" w:type="dxa"/>
        </w:tblCellMar>
      </w:tblPr>
      <w:tblGrid>
        <w:gridCol w:w="124"/>
        <w:gridCol w:w="109"/>
        <w:gridCol w:w="109"/>
        <w:gridCol w:w="853"/>
        <w:gridCol w:w="853"/>
        <w:gridCol w:w="85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8x8,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By: /s/ LAURENCE DENNY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Laurence Denny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20"/>
              </w:rPr>
            </w:pPr>
            <w:r>
              <w:rPr>
                <w:rFonts w:ascii="Archivo;sans-serif" w:hAnsi="Archivo;sans-serif"/>
                <w:b w:val="false"/>
                <w:i/>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4406</Characters>
  <CharactersWithSpaces>5079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