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tbl>
      <w:tblPr>
        <w:tblW w:w="2544" w:type="dxa"/>
        <w:jc w:val="center"/>
        <w:tblInd w:w="0" w:type="dxa"/>
        <w:tblLayout w:type="fixed"/>
        <w:tblCellMar>
          <w:top w:w="28" w:type="dxa"/>
          <w:left w:w="28" w:type="dxa"/>
          <w:bottom w:w="28" w:type="dxa"/>
          <w:right w:w="28" w:type="dxa"/>
        </w:tblCellMar>
      </w:tblPr>
      <w:tblGrid>
        <w:gridCol w:w="124"/>
        <w:gridCol w:w="109"/>
        <w:gridCol w:w="109"/>
        <w:gridCol w:w="340"/>
        <w:gridCol w:w="340"/>
        <w:gridCol w:w="341"/>
        <w:gridCol w:w="269"/>
        <w:gridCol w:w="269"/>
        <w:gridCol w:w="2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right"/>
              <w:rPr>
                <w:rFonts w:ascii="Arial;sans-serif" w:hAnsi="Arial;sans-serif"/>
                <w:b/>
                <w:color w:val="000000"/>
                <w:sz w:val="32"/>
              </w:rPr>
            </w:pPr>
            <w:r>
              <w:rPr>
                <w:rFonts w:ascii="Arial;sans-serif" w:hAnsi="Arial;sans-serif"/>
                <w:b/>
                <w:color w:val="000000"/>
                <w:sz w:val="32"/>
              </w:rPr>
              <w:t>FORM</w:t>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left"/>
              <w:rPr>
                <w:rFonts w:ascii="Arial;sans-serif" w:hAnsi="Arial;sans-serif"/>
                <w:b/>
                <w:color w:val="000000"/>
                <w:sz w:val="32"/>
              </w:rPr>
            </w:pPr>
            <w:r>
              <w:rPr>
                <w:rFonts w:ascii="Arial;sans-serif" w:hAnsi="Arial;sans-serif"/>
                <w:b/>
                <w:color w:val="000000"/>
                <w:sz w:val="32"/>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color w:val="000000"/>
        </w:rPr>
        <w:t xml:space="preserve">☒ </w:t>
      </w:r>
      <w:r>
        <w:rPr>
          <w:rFonts w:ascii="Arial;sans-serif" w:hAnsi="Arial;sans-serif"/>
          <w:b/>
          <w:color w:val="000000"/>
          <w:sz w:val="18"/>
        </w:rPr>
        <w:t>QUARTERLY REPORT PURSUANT TO SECTION 13 OR 15(d) OF THE SECURITIES EXCHANGE ACT OF 1934</w:t>
      </w:r>
    </w:p>
    <w:p>
      <w:pPr>
        <w:pStyle w:val="TextBody"/>
        <w:bidi w:val="0"/>
        <w:spacing w:lineRule="auto" w:line="288" w:before="120" w:after="120"/>
        <w:jc w:val="center"/>
        <w:rPr>
          <w:rFonts w:ascii="Arial;sans-serif" w:hAnsi="Arial;sans-serif"/>
          <w:b/>
          <w:color w:val="000000"/>
          <w:sz w:val="18"/>
        </w:rPr>
      </w:pPr>
      <w:r>
        <w:rPr>
          <w:rFonts w:ascii="Arial;sans-serif" w:hAnsi="Arial;sans-serif"/>
          <w:b/>
          <w:color w:val="000000"/>
          <w:sz w:val="18"/>
        </w:rPr>
        <w:t xml:space="preserve">For the quarterly period ended June 30, 2023 </w:t>
      </w:r>
    </w:p>
    <w:p>
      <w:pPr>
        <w:pStyle w:val="TextBody"/>
        <w:bidi w:val="0"/>
        <w:spacing w:lineRule="auto" w:line="288" w:before="60" w:after="60"/>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120" w:after="120"/>
        <w:jc w:val="both"/>
        <w:rPr/>
      </w:pPr>
      <w:r>
        <w:rPr>
          <w:color w:val="000000"/>
        </w:rPr>
        <w:t xml:space="preserve">☐ </w:t>
      </w:r>
      <w:r>
        <w:rPr>
          <w:rFonts w:ascii="Arial;sans-serif" w:hAnsi="Arial;sans-serif"/>
          <w:b/>
          <w:color w:val="000000"/>
          <w:sz w:val="18"/>
        </w:rPr>
        <w:t>TRANSITION REPORT PURSUANT TO SECTION 13 OR 15(d) OF THE SECURITIES EXCHANGE ACT OF 1934</w:t>
      </w:r>
    </w:p>
    <w:p>
      <w:pPr>
        <w:pStyle w:val="TextBody"/>
        <w:bidi w:val="0"/>
        <w:spacing w:lineRule="auto" w:line="288" w:before="120" w:after="120"/>
        <w:jc w:val="center"/>
        <w:rPr>
          <w:rFonts w:ascii="Arial;sans-serif" w:hAnsi="Arial;sans-serif"/>
          <w:b/>
          <w:color w:val="000000"/>
          <w:sz w:val="18"/>
        </w:rPr>
      </w:pPr>
      <w:r>
        <w:rPr>
          <w:rFonts w:ascii="Arial;sans-serif" w:hAnsi="Arial;sans-serif"/>
          <w:b/>
          <w:color w:val="000000"/>
          <w:sz w:val="18"/>
        </w:rPr>
        <w:t>For the transition period from ________to _________</w:t>
      </w:r>
    </w:p>
    <w:p>
      <w:pPr>
        <w:pStyle w:val="TextBody"/>
        <w:bidi w:val="0"/>
        <w:spacing w:lineRule="auto" w:line="288" w:before="60" w:after="60"/>
        <w:jc w:val="center"/>
        <w:rPr>
          <w:rFonts w:ascii="Arial;sans-serif" w:hAnsi="Arial;sans-serif"/>
          <w:b/>
          <w:color w:val="000000"/>
          <w:sz w:val="18"/>
        </w:rPr>
      </w:pPr>
      <w:r>
        <w:rPr>
          <w:rFonts w:ascii="Arial;sans-serif" w:hAnsi="Arial;sans-serif"/>
          <w:b/>
          <w:color w:val="000000"/>
          <w:sz w:val="18"/>
        </w:rPr>
        <w:t>Commission file number: 001-38312</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_________________</w:t>
      </w:r>
    </w:p>
    <w:p>
      <w:pPr>
        <w:pStyle w:val="TextBody"/>
        <w:bidi w:val="0"/>
        <w:spacing w:before="60" w:after="60"/>
        <w:jc w:val="center"/>
        <w:rPr/>
      </w:pPr>
      <w:r>
        <w:rPr/>
        <w:drawing>
          <wp:inline distT="0" distB="0" distL="0" distR="0">
            <wp:extent cx="80010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 cy="800100"/>
                    </a:xfrm>
                    <a:prstGeom prst="rect">
                      <a:avLst/>
                    </a:prstGeom>
                  </pic:spPr>
                </pic:pic>
              </a:graphicData>
            </a:graphic>
          </wp:inline>
        </w:drawing>
      </w:r>
    </w:p>
    <w:p>
      <w:pPr>
        <w:pStyle w:val="TextBody"/>
        <w:bidi w:val="0"/>
        <w:spacing w:lineRule="auto" w:line="288" w:before="60" w:after="60"/>
        <w:jc w:val="center"/>
        <w:rPr>
          <w:rFonts w:ascii="Arial;sans-serif" w:hAnsi="Arial;sans-serif"/>
          <w:b/>
          <w:color w:val="000000"/>
          <w:sz w:val="28"/>
        </w:rPr>
      </w:pPr>
      <w:r>
        <w:rPr>
          <w:rFonts w:ascii="Arial;sans-serif" w:hAnsi="Arial;sans-serif"/>
          <w:b/>
          <w:color w:val="000000"/>
          <w:sz w:val="28"/>
        </w:rPr>
        <w:t>8x8,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_________________</w:t>
      </w:r>
    </w:p>
    <w:tbl>
      <w:tblPr>
        <w:tblW w:w="7856" w:type="dxa"/>
        <w:jc w:val="center"/>
        <w:tblInd w:w="0" w:type="dxa"/>
        <w:tblLayout w:type="fixed"/>
        <w:tblCellMar>
          <w:top w:w="28" w:type="dxa"/>
          <w:left w:w="28" w:type="dxa"/>
          <w:bottom w:w="28" w:type="dxa"/>
          <w:right w:w="28" w:type="dxa"/>
        </w:tblCellMar>
      </w:tblPr>
      <w:tblGrid>
        <w:gridCol w:w="1644"/>
        <w:gridCol w:w="1442"/>
        <w:gridCol w:w="1459"/>
        <w:gridCol w:w="109"/>
        <w:gridCol w:w="109"/>
        <w:gridCol w:w="109"/>
        <w:gridCol w:w="871"/>
        <w:gridCol w:w="871"/>
        <w:gridCol w:w="1242"/>
      </w:tblGrid>
      <w:tr>
        <w:trPr/>
        <w:tc>
          <w:tcPr>
            <w:tcW w:w="1644"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77-0142404</w:t>
            </w:r>
          </w:p>
        </w:tc>
      </w:tr>
      <w:tr>
        <w:trPr/>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675 Creekside Way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Campbell, CA 95008</w:t>
      </w:r>
    </w:p>
    <w:tbl>
      <w:tblPr>
        <w:tblW w:w="3000" w:type="dxa"/>
        <w:jc w:val="center"/>
        <w:tblInd w:w="0" w:type="dxa"/>
        <w:tblLayout w:type="fixed"/>
        <w:tblCellMar>
          <w:top w:w="28" w:type="dxa"/>
          <w:left w:w="28" w:type="dxa"/>
          <w:bottom w:w="28" w:type="dxa"/>
          <w:right w:w="28" w:type="dxa"/>
        </w:tblCellMar>
      </w:tblPr>
      <w:tblGrid>
        <w:gridCol w:w="961"/>
        <w:gridCol w:w="844"/>
        <w:gridCol w:w="1195"/>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(408) 727-1885 </w:t>
      </w:r>
    </w:p>
    <w:tbl>
      <w:tblPr>
        <w:tblW w:w="4004" w:type="dxa"/>
        <w:jc w:val="center"/>
        <w:tblInd w:w="0" w:type="dxa"/>
        <w:tblLayout w:type="fixed"/>
        <w:tblCellMar>
          <w:top w:w="28" w:type="dxa"/>
          <w:left w:w="28" w:type="dxa"/>
          <w:bottom w:w="28" w:type="dxa"/>
          <w:right w:w="28" w:type="dxa"/>
        </w:tblCellMar>
      </w:tblPr>
      <w:tblGrid>
        <w:gridCol w:w="1282"/>
        <w:gridCol w:w="1125"/>
        <w:gridCol w:w="1597"/>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w:t>
      </w:r>
    </w:p>
    <w:p>
      <w:pPr>
        <w:pStyle w:val="TextBody"/>
        <w:bidi w:val="0"/>
        <w:spacing w:lineRule="auto" w:line="288" w:before="60" w:after="60"/>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043" w:type="dxa"/>
        <w:jc w:val="center"/>
        <w:tblInd w:w="0" w:type="dxa"/>
        <w:tblLayout w:type="fixed"/>
        <w:tblCellMar>
          <w:top w:w="28" w:type="dxa"/>
          <w:left w:w="28" w:type="dxa"/>
          <w:bottom w:w="28" w:type="dxa"/>
          <w:right w:w="28" w:type="dxa"/>
        </w:tblCellMar>
      </w:tblPr>
      <w:tblGrid>
        <w:gridCol w:w="1453"/>
        <w:gridCol w:w="1276"/>
        <w:gridCol w:w="1291"/>
        <w:gridCol w:w="454"/>
        <w:gridCol w:w="454"/>
        <w:gridCol w:w="456"/>
        <w:gridCol w:w="1071"/>
        <w:gridCol w:w="1071"/>
        <w:gridCol w:w="1517"/>
      </w:tblGrid>
      <w:tr>
        <w:trPr/>
        <w:tc>
          <w:tcPr>
            <w:tcW w:w="145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0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$0.001 PER SHARE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EGHT</w:t>
            </w:r>
          </w:p>
        </w:tc>
        <w:tc>
          <w:tcPr>
            <w:tcW w:w="36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Nasdaq Global Select Market</w:t>
            </w:r>
          </w:p>
        </w:tc>
      </w:tr>
    </w:tbl>
    <w:p>
      <w:pPr>
        <w:pStyle w:val="TextBody"/>
        <w:bidi w:val="0"/>
        <w:spacing w:lineRule="auto" w:line="288" w:before="0" w:after="60"/>
        <w:jc w:val="both"/>
        <w:rPr/>
      </w:pPr>
      <w:r>
        <w:rPr>
          <w:rFonts w:ascii="Arial;sans-serif" w:hAnsi="Arial;sans-serif"/>
          <w:b w:val="false"/>
          <w:color w:val="000000"/>
          <w:sz w:val="16"/>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color w:val="000000"/>
        </w:rPr>
        <w:t xml:space="preserve">   ☒ </w:t>
      </w:r>
      <w:r>
        <w:rPr>
          <w:rFonts w:ascii="Arial;sans-serif" w:hAnsi="Arial;sans-serif"/>
          <w:b w:val="false"/>
          <w:color w:val="000000"/>
          <w:sz w:val="16"/>
        </w:rPr>
        <w:t>Yes  </w:t>
      </w:r>
      <w:r>
        <w:rPr>
          <w:color w:val="000000"/>
        </w:rPr>
        <w:t xml:space="preserve">  ☐ </w:t>
      </w:r>
      <w:r>
        <w:rPr>
          <w:rFonts w:ascii="Arial;sans-serif" w:hAnsi="Arial;sans-serif"/>
          <w:b w:val="false"/>
          <w:color w:val="000000"/>
          <w:sz w:val="16"/>
        </w:rPr>
        <w:t>No</w:t>
      </w:r>
    </w:p>
    <w:p>
      <w:pPr>
        <w:pStyle w:val="TextBody"/>
        <w:bidi w:val="0"/>
        <w:spacing w:lineRule="auto" w:line="288" w:before="60" w:after="60"/>
        <w:jc w:val="both"/>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     </w:t>
      </w:r>
      <w:r>
        <w:rPr>
          <w:rFonts w:ascii="Arial;sans-serif" w:hAnsi="Arial;sans-serif"/>
          <w:b w:val="false"/>
          <w:color w:val="000000"/>
          <w:sz w:val="16"/>
        </w:rPr>
        <w:t>No</w:t>
      </w:r>
      <w:r>
        <w:rPr>
          <w:color w:val="000000"/>
        </w:rPr>
        <w:t>  ☐</w:t>
      </w:r>
    </w:p>
    <w:p>
      <w:pPr>
        <w:pStyle w:val="TextBody"/>
        <w:bidi w:val="0"/>
        <w:spacing w:lineRule="auto" w:line="288" w:before="60" w:after="60"/>
        <w:jc w:val="both"/>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sans-serif" w:hAnsi="Arial;sans-serif"/>
          <w:b w:val="false"/>
          <w:color w:val="000000"/>
          <w:sz w:val="18"/>
        </w:rPr>
        <w:t>.</w:t>
      </w:r>
    </w:p>
    <w:tbl>
      <w:tblPr>
        <w:tblW w:w="5474"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09"/>
        <w:gridCol w:w="109"/>
        <w:gridCol w:w="109"/>
        <w:gridCol w:w="109"/>
        <w:gridCol w:w="109"/>
        <w:gridCol w:w="109"/>
        <w:gridCol w:w="684"/>
        <w:gridCol w:w="684"/>
        <w:gridCol w:w="68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60" w:after="60"/>
        <w:jc w:val="both"/>
        <w:rPr/>
      </w:pPr>
      <w:r>
        <w:rPr>
          <w:rFonts w:ascii="Arial;sans-serif" w:hAnsi="Arial;sans-serif"/>
          <w:b w:val="false"/>
          <w:color w:val="000000"/>
          <w:sz w:val="16"/>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6"/>
        </w:rPr>
        <w:t>No</w:t>
      </w:r>
      <w:r>
        <w:rPr>
          <w:color w:val="000000"/>
        </w:rPr>
        <w:t xml:space="preserve">    ☒</w:t>
      </w:r>
    </w:p>
    <w:p>
      <w:pPr>
        <w:pStyle w:val="TextBody"/>
        <w:bidi w:val="0"/>
        <w:spacing w:lineRule="auto" w:line="288" w:before="60" w:after="60"/>
        <w:jc w:val="both"/>
        <w:rPr>
          <w:rFonts w:ascii="Arial;sans-serif" w:hAnsi="Arial;sans-serif"/>
          <w:b w:val="false"/>
          <w:color w:val="000000"/>
          <w:sz w:val="16"/>
        </w:rPr>
      </w:pPr>
      <w:r>
        <w:rPr>
          <w:rFonts w:ascii="Arial;sans-serif" w:hAnsi="Arial;sans-serif"/>
          <w:b w:val="false"/>
          <w:color w:val="000000"/>
          <w:sz w:val="16"/>
        </w:rPr>
        <w:t>The number of shares of the Registrant's Common Stock outstanding as of July 25, 2023 was 119,945,713.</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INDEX TO QUARTERLY REPORT ON FORM 10-Q</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FOR THE QUARTER ENDED JUNE 30, 2023</w:t>
      </w:r>
    </w:p>
    <w:tbl>
      <w:tblPr>
        <w:tblW w:w="8520" w:type="dxa"/>
        <w:jc w:val="left"/>
        <w:tblInd w:w="0" w:type="dxa"/>
        <w:tblLayout w:type="fixed"/>
        <w:tblCellMar>
          <w:top w:w="28" w:type="dxa"/>
          <w:left w:w="28" w:type="dxa"/>
          <w:bottom w:w="28" w:type="dxa"/>
          <w:right w:w="28" w:type="dxa"/>
        </w:tblCellMar>
      </w:tblPr>
      <w:tblGrid>
        <w:gridCol w:w="2871"/>
        <w:gridCol w:w="2526"/>
        <w:gridCol w:w="2537"/>
        <w:gridCol w:w="171"/>
        <w:gridCol w:w="171"/>
        <w:gridCol w:w="244"/>
      </w:tblGrid>
      <w:tr>
        <w:trPr/>
        <w:tc>
          <w:tcPr>
            <w:tcW w:w="2871"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0">
              <w:r>
                <w:rPr>
                  <w:rStyle w:val="InternetLink"/>
                  <w:rFonts w:ascii="Arial;sans-serif" w:hAnsi="Arial;sans-serif"/>
                  <w:b/>
                  <w:color w:val="0000FF"/>
                  <w:sz w:val="18"/>
                  <w:u w:val="single"/>
                </w:rPr>
                <w:t>Forward-Looking Statements and Risk Factors</w:t>
              </w:r>
            </w:hyperlink>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98c8c1b722ce4ad7b59ec7e0214dcdb8_23140">
              <w:r>
                <w:rPr>
                  <w:rStyle w:val="InternetLink"/>
                  <w:rFonts w:ascii="Arial;sans-serif" w:hAnsi="Arial;sans-serif"/>
                  <w:b w:val="false"/>
                  <w:color w:val="0000FF"/>
                  <w:sz w:val="18"/>
                  <w:u w:val="single"/>
                </w:rPr>
                <w:t>2</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3">
              <w:r>
                <w:rPr>
                  <w:rStyle w:val="InternetLink"/>
                  <w:rFonts w:ascii="Arial;sans-serif" w:hAnsi="Arial;sans-serif"/>
                  <w:b/>
                  <w:color w:val="0000FF"/>
                  <w:sz w:val="18"/>
                  <w:u w:val="single"/>
                </w:rPr>
                <w:t>PART I. FINANCIAL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c6eaaa8a21f4475b037775b57830dd7_101">
              <w:r>
                <w:rPr>
                  <w:rStyle w:val="InternetLink"/>
                  <w:rFonts w:ascii="Arial;sans-serif" w:hAnsi="Arial;sans-serif"/>
                  <w:b w:val="false"/>
                  <w:color w:val="0000FF"/>
                  <w:sz w:val="18"/>
                  <w:u w:val="single"/>
                </w:rPr>
                <w:t>3</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6">
              <w:r>
                <w:rPr>
                  <w:rStyle w:val="InternetLink"/>
                  <w:rFonts w:ascii="Arial;sans-serif" w:hAnsi="Arial;sans-serif"/>
                  <w:b w:val="false"/>
                  <w:color w:val="0000FF"/>
                  <w:sz w:val="18"/>
                  <w:u w:val="single"/>
                </w:rPr>
                <w:t>Item 1. Financial Statements (unaudited):</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50bb56402d48d9bcad2e14014dbfc1_75">
              <w:r>
                <w:rPr>
                  <w:rStyle w:val="InternetLink"/>
                  <w:rFonts w:ascii="Arial;sans-serif" w:hAnsi="Arial;sans-serif"/>
                  <w:b w:val="false"/>
                  <w:color w:val="0000FF"/>
                  <w:sz w:val="18"/>
                  <w:u w:val="single"/>
                </w:rPr>
                <w:t>3</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9">
              <w:r>
                <w:rPr>
                  <w:rStyle w:val="InternetLink"/>
                  <w:rFonts w:ascii="Arial;sans-serif" w:hAnsi="Arial;sans-serif"/>
                  <w:b w:val="false"/>
                  <w:color w:val="0000FF"/>
                  <w:sz w:val="18"/>
                  <w:u w:val="single"/>
                </w:rPr>
                <w:t>Condensed 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aac74253b9463caaf69b14d280751d_109">
              <w:r>
                <w:rPr>
                  <w:rStyle w:val="InternetLink"/>
                  <w:rFonts w:ascii="Arial;sans-serif" w:hAnsi="Arial;sans-serif"/>
                  <w:b w:val="false"/>
                  <w:color w:val="0000FF"/>
                  <w:sz w:val="18"/>
                  <w:u w:val="single"/>
                </w:rPr>
                <w:t>3</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25">
              <w:r>
                <w:rPr>
                  <w:rStyle w:val="InternetLink"/>
                  <w:rFonts w:ascii="Arial;sans-serif" w:hAnsi="Arial;sans-serif"/>
                  <w:b w:val="false"/>
                  <w:color w:val="0000FF"/>
                  <w:sz w:val="18"/>
                  <w:u w:val="single"/>
                </w:rPr>
                <w:t>Condensed Consolidated Statements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840af24b40a43e7a7328705aad994e4_235">
              <w:r>
                <w:rPr>
                  <w:rStyle w:val="InternetLink"/>
                  <w:rFonts w:ascii="Arial;sans-serif" w:hAnsi="Arial;sans-serif"/>
                  <w:b w:val="false"/>
                  <w:color w:val="0000FF"/>
                  <w:sz w:val="18"/>
                  <w:u w:val="single"/>
                </w:rPr>
                <w:t>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28">
              <w:r>
                <w:rPr>
                  <w:rStyle w:val="InternetLink"/>
                  <w:rFonts w:ascii="Arial;sans-serif" w:hAnsi="Arial;sans-serif"/>
                  <w:b w:val="false"/>
                  <w:color w:val="0000FF"/>
                  <w:sz w:val="18"/>
                  <w:u w:val="single"/>
                </w:rPr>
                <w:t>Condensed Consolidated Statements of Comprehensive Loss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614679939484cb9bf6418e8b660d7f3_99">
              <w:r>
                <w:rPr>
                  <w:rStyle w:val="InternetLink"/>
                  <w:rFonts w:ascii="Arial;sans-serif" w:hAnsi="Arial;sans-serif"/>
                  <w:b w:val="false"/>
                  <w:color w:val="0000FF"/>
                  <w:sz w:val="18"/>
                  <w:u w:val="single"/>
                </w:rPr>
                <w:t>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31">
              <w:r>
                <w:rPr>
                  <w:rStyle w:val="InternetLink"/>
                  <w:rFonts w:ascii="Arial;sans-serif" w:hAnsi="Arial;sans-serif"/>
                  <w:b w:val="false"/>
                  <w:color w:val="0000FF"/>
                  <w:sz w:val="18"/>
                  <w:u w:val="single"/>
                </w:rPr>
                <w:t>Condensed 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bccac23aba46fdb2e83d8f5fc43779_154">
              <w:r>
                <w:rPr>
                  <w:rStyle w:val="InternetLink"/>
                  <w:rFonts w:ascii="Arial;sans-serif" w:hAnsi="Arial;sans-serif"/>
                  <w:b w:val="false"/>
                  <w:color w:val="0000FF"/>
                  <w:sz w:val="18"/>
                  <w:u w:val="single"/>
                </w:rPr>
                <w:t>6</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34">
              <w:r>
                <w:rPr>
                  <w:rStyle w:val="InternetLink"/>
                  <w:rFonts w:ascii="Arial;sans-serif" w:hAnsi="Arial;sans-serif"/>
                  <w:b w:val="false"/>
                  <w:color w:val="0000FF"/>
                  <w:sz w:val="18"/>
                  <w:u w:val="single"/>
                </w:rPr>
                <w:t>Condensed 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cd74e769e124d40980bc919ef2ea830_451">
              <w:r>
                <w:rPr>
                  <w:rStyle w:val="InternetLink"/>
                  <w:rFonts w:ascii="Arial;sans-serif" w:hAnsi="Arial;sans-serif"/>
                  <w:b w:val="false"/>
                  <w:color w:val="0000FF"/>
                  <w:sz w:val="18"/>
                  <w:u w:val="single"/>
                </w:rPr>
                <w:t>7</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37">
              <w:r>
                <w:rPr>
                  <w:rStyle w:val="InternetLink"/>
                  <w:rFonts w:ascii="Arial;sans-serif" w:hAnsi="Arial;sans-serif"/>
                  <w:b w:val="false"/>
                  <w:color w:val="0000FF"/>
                  <w:sz w:val="18"/>
                  <w:u w:val="single"/>
                </w:rPr>
                <w:t>Notes to Unaudited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e3353f46314ceeb08d3d0527dae42d_100">
              <w:r>
                <w:rPr>
                  <w:rStyle w:val="InternetLink"/>
                  <w:rFonts w:ascii="Arial;sans-serif" w:hAnsi="Arial;sans-serif"/>
                  <w:b w:val="false"/>
                  <w:color w:val="0E32E1"/>
                  <w:sz w:val="18"/>
                  <w:u w:val="single"/>
                </w:rPr>
                <w:t>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91">
              <w:r>
                <w:rPr>
                  <w:rStyle w:val="InternetLink"/>
                  <w:rFonts w:ascii="Arial;sans-serif" w:hAnsi="Arial;sans-serif"/>
                  <w:b w:val="false"/>
                  <w:color w:val="0000FF"/>
                  <w:sz w:val="18"/>
                  <w:u w:val="single"/>
                </w:rPr>
                <w:t>Item 2. Management's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2d438014af847349c4bf984e4a35729_243">
              <w:r>
                <w:rPr>
                  <w:rStyle w:val="InternetLink"/>
                  <w:rFonts w:ascii="Arial;sans-serif" w:hAnsi="Arial;sans-serif"/>
                  <w:b w:val="false"/>
                  <w:color w:val="0E32E1"/>
                  <w:sz w:val="18"/>
                  <w:u w:val="single"/>
                </w:rPr>
                <w:t>18</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12">
              <w:r>
                <w:rPr>
                  <w:rStyle w:val="InternetLink"/>
                  <w:rFonts w:ascii="Arial;sans-serif" w:hAnsi="Arial;sans-serif"/>
                  <w:b w:val="false"/>
                  <w:color w:val="0000FF"/>
                  <w:sz w:val="18"/>
                  <w:u w:val="single"/>
                </w:rPr>
                <w:t>Item 3. Quantitative and Qualitative Disclosures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10fd29291549be85fa7f03880b7217_10840">
              <w:r>
                <w:rPr>
                  <w:rStyle w:val="InternetLink"/>
                  <w:rFonts w:ascii="Arial;sans-serif" w:hAnsi="Arial;sans-serif"/>
                  <w:b w:val="false"/>
                  <w:color w:val="0E32E1"/>
                  <w:sz w:val="18"/>
                  <w:u w:val="single"/>
                </w:rPr>
                <w:t>24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15">
              <w:r>
                <w:rPr>
                  <w:rStyle w:val="InternetLink"/>
                  <w:rFonts w:ascii="Arial;sans-serif" w:hAnsi="Arial;sans-serif"/>
                  <w:b w:val="false"/>
                  <w:color w:val="0000FF"/>
                  <w:sz w:val="18"/>
                  <w:u w:val="single"/>
                </w:rPr>
                <w:t>Item 4. Controls and Procedures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1e16443918d49678435a8c3363d83a1_2909">
              <w:r>
                <w:rPr>
                  <w:rStyle w:val="InternetLink"/>
                  <w:rFonts w:ascii="Arial;sans-serif" w:hAnsi="Arial;sans-serif"/>
                  <w:b w:val="false"/>
                  <w:color w:val="0E32E1"/>
                  <w:sz w:val="18"/>
                  <w:u w:val="single"/>
                </w:rPr>
                <w:t>24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18">
              <w:r>
                <w:rPr>
                  <w:rStyle w:val="InternetLink"/>
                  <w:rFonts w:ascii="Arial;sans-serif" w:hAnsi="Arial;sans-serif"/>
                  <w:b/>
                  <w:color w:val="0000FF"/>
                  <w:sz w:val="18"/>
                  <w:u w:val="single"/>
                </w:rPr>
                <w:t>PART II. 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d2f0aaf4deb46bc9c3426ddcc3f4505_192">
              <w:r>
                <w:rPr>
                  <w:rStyle w:val="InternetLink"/>
                  <w:rFonts w:ascii="Arial;sans-serif" w:hAnsi="Arial;sans-serif"/>
                  <w:b w:val="false"/>
                  <w:color w:val="0E32E1"/>
                  <w:sz w:val="18"/>
                  <w:u w:val="single"/>
                </w:rPr>
                <w:t>25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21">
              <w:r>
                <w:rPr>
                  <w:rStyle w:val="InternetLink"/>
                  <w:rFonts w:ascii="Arial;sans-serif" w:hAnsi="Arial;sans-serif"/>
                  <w:b w:val="false"/>
                  <w:color w:val="0000FF"/>
                  <w:sz w:val="18"/>
                  <w:u w:val="single"/>
                </w:rPr>
                <w:t>Item 1. Legal Proceedings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a2de9d01aee44b995f1fedda1200cad_407">
              <w:r>
                <w:rPr>
                  <w:rStyle w:val="InternetLink"/>
                  <w:rFonts w:ascii="Arial;sans-serif" w:hAnsi="Arial;sans-serif"/>
                  <w:b w:val="false"/>
                  <w:color w:val="0E32E1"/>
                  <w:sz w:val="18"/>
                  <w:u w:val="single"/>
                </w:rPr>
                <w:t>25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24">
              <w:r>
                <w:rPr>
                  <w:rStyle w:val="InternetLink"/>
                  <w:rFonts w:ascii="Arial;sans-serif" w:hAnsi="Arial;sans-serif"/>
                  <w:b w:val="false"/>
                  <w:color w:val="0000FF"/>
                  <w:sz w:val="18"/>
                  <w:u w:val="single"/>
                </w:rPr>
                <w:t>Item 1A. 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3224d90228a41f8b146bf4e9a7972d7_11591">
              <w:r>
                <w:rPr>
                  <w:rStyle w:val="InternetLink"/>
                  <w:rFonts w:ascii="Arial;sans-serif" w:hAnsi="Arial;sans-serif"/>
                  <w:b w:val="false"/>
                  <w:color w:val="0E32E1"/>
                  <w:sz w:val="18"/>
                  <w:u w:val="single"/>
                </w:rPr>
                <w:t>25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27">
              <w:r>
                <w:rPr>
                  <w:rStyle w:val="InternetLink"/>
                  <w:rFonts w:ascii="Arial;sans-serif" w:hAnsi="Arial;sans-serif"/>
                  <w:b w:val="false"/>
                  <w:color w:val="0000FF"/>
                  <w:sz w:val="18"/>
                  <w:u w:val="single"/>
                </w:rPr>
                <w:t>Item 2. 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82a4d7e1c04c8598ea578a4d0974d0_218">
              <w:r>
                <w:rPr>
                  <w:rStyle w:val="InternetLink"/>
                  <w:rFonts w:ascii="Arial;sans-serif" w:hAnsi="Arial;sans-serif"/>
                  <w:b w:val="false"/>
                  <w:color w:val="0E32E1"/>
                  <w:sz w:val="18"/>
                  <w:u w:val="single"/>
                </w:rPr>
                <w:t>25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30">
              <w:r>
                <w:rPr>
                  <w:rStyle w:val="InternetLink"/>
                  <w:rFonts w:ascii="Arial;sans-serif" w:hAnsi="Arial;sans-serif"/>
                  <w:b w:val="false"/>
                  <w:color w:val="0000FF"/>
                  <w:sz w:val="18"/>
                  <w:u w:val="single"/>
                </w:rPr>
                <w:t>Item 3. Defaults Upon Senior Securities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0f538314a824e59973d4fae4a561469_105">
              <w:r>
                <w:rPr>
                  <w:rStyle w:val="InternetLink"/>
                  <w:rFonts w:ascii="Arial;sans-serif" w:hAnsi="Arial;sans-serif"/>
                  <w:b w:val="false"/>
                  <w:color w:val="0E32E1"/>
                  <w:sz w:val="18"/>
                  <w:u w:val="single"/>
                </w:rPr>
                <w:t>25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33">
              <w:r>
                <w:rPr>
                  <w:rStyle w:val="InternetLink"/>
                  <w:rFonts w:ascii="Arial;sans-serif" w:hAnsi="Arial;sans-serif"/>
                  <w:b w:val="false"/>
                  <w:color w:val="0000FF"/>
                  <w:sz w:val="18"/>
                  <w:u w:val="single"/>
                </w:rPr>
                <w:t>Item 4. Mine Safety Disclosures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3a3fae12ce4d968c8cb6e0e3d28aeb_92">
              <w:r>
                <w:rPr>
                  <w:rStyle w:val="InternetLink"/>
                  <w:rFonts w:ascii="Arial;sans-serif" w:hAnsi="Arial;sans-serif"/>
                  <w:b w:val="false"/>
                  <w:color w:val="0E32E1"/>
                  <w:sz w:val="18"/>
                  <w:u w:val="single"/>
                </w:rPr>
                <w:t>25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36">
              <w:r>
                <w:rPr>
                  <w:rStyle w:val="InternetLink"/>
                  <w:rFonts w:ascii="Arial;sans-serif" w:hAnsi="Arial;sans-serif"/>
                  <w:b w:val="false"/>
                  <w:color w:val="0000FF"/>
                  <w:sz w:val="18"/>
                  <w:u w:val="single"/>
                </w:rPr>
                <w:t>Item 5. Other Information</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24866928f854812914230691177ac22_131">
              <w:r>
                <w:rPr>
                  <w:rStyle w:val="InternetLink"/>
                  <w:rFonts w:ascii="Arial;sans-serif" w:hAnsi="Arial;sans-serif"/>
                  <w:b w:val="false"/>
                  <w:color w:val="0E32E1"/>
                  <w:sz w:val="18"/>
                  <w:u w:val="single"/>
                </w:rPr>
                <w:t>25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decece38d2340bc858ca8cc1da3049d_139">
              <w:r>
                <w:rPr>
                  <w:rStyle w:val="InternetLink"/>
                  <w:rFonts w:ascii="Arial;sans-serif" w:hAnsi="Arial;sans-serif"/>
                  <w:b w:val="false"/>
                  <w:color w:val="0000FF"/>
                  <w:sz w:val="18"/>
                  <w:u w:val="single"/>
                </w:rPr>
                <w:t>Item 6. Exhibits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d6830c215b48e196dd81a45b7c7c80_180">
              <w:r>
                <w:rPr>
                  <w:rStyle w:val="InternetLink"/>
                  <w:rFonts w:ascii="Arial;sans-serif" w:hAnsi="Arial;sans-serif"/>
                  <w:b w:val="false"/>
                  <w:color w:val="0E32E1"/>
                  <w:sz w:val="18"/>
                  <w:u w:val="single"/>
                </w:rPr>
                <w:t>25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decece38d2340bc858ca8cc1da3049d_142">
              <w:r>
                <w:rPr>
                  <w:rStyle w:val="InternetLink"/>
                  <w:rFonts w:ascii="Arial;sans-serif" w:hAnsi="Arial;sans-serif"/>
                  <w:b/>
                  <w:color w:val="0000FF"/>
                  <w:sz w:val="18"/>
                  <w:u w:val="single"/>
                </w:rPr>
                <w:t>Signature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f9327cc1754480a266137ae8eee67d_354">
              <w:r>
                <w:rPr>
                  <w:rStyle w:val="InternetLink"/>
                  <w:rFonts w:ascii="Arial;sans-serif" w:hAnsi="Arial;sans-serif"/>
                  <w:b w:val="false"/>
                  <w:color w:val="0E32E1"/>
                  <w:sz w:val="18"/>
                  <w:u w:val="single"/>
                </w:rPr>
                <w:t>26</w:t>
              </w:r>
            </w:hyperlink>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color w:val="000000"/>
          <w:sz w:val="18"/>
        </w:rPr>
      </w:pPr>
      <w:bookmarkStart w:id="0" w:name="i98c8c1b722ce4ad7b59ec7e0214dcdb8_23140"/>
      <w:bookmarkEnd w:id="0"/>
      <w:r>
        <w:rPr>
          <w:rFonts w:ascii="Arial;sans-serif" w:hAnsi="Arial;sans-serif"/>
          <w:b/>
          <w:color w:val="000000"/>
          <w:sz w:val="18"/>
        </w:rPr>
        <w:t>Forward-Looking Statements and Risk Factors</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Statements contained in this quarterly report on Form 10-Q, or this "Quarterly Report", regarding our expectations, beliefs, estimates, intentions or strategies are forward-looking statements within the meaning of Section 27A of the Securities Act of 1933 (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service revenue; cost of service revenue; research and development expenses; reducing unit costs and improving gross profit margin, or driving sustainable growth and increasing profitability and cash flow; new debt and interest expense; hiring of employees; sales and marketing expenses; general and administrative expenses in future periods; and the impact of foreign currency exchange rate and interest rate fluctuations.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impact of economic downturns on us and our customers;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impact of cost increases and general inflationary pressures, as well as supply chain shortages and disruptions, on our operating expenses;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customer cancellations and rate of customer churn;</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ongoing volatility and conflict in the political and economic environment, including the impact of Russia’s invasion of Ukraine and any macro-economic impact that may have;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customer acceptance and demand for our new and existing cloud communication and collaboration services and features, including voice, contact center, video, messaging, and communication application programming interfaces;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competitive market pressures, and any changes in the competitive dynamics of the markets in which we compete;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quality and reliability of our services;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our ability to scale our business;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customer acquisition costs;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our reliance on a network of channel partners to provide substantial new customer demand;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timing and extent of improvements in operating results from increased spending in marketing, sales, and research and development;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amount and timing of costs associated with recruiting, training, and integrating new employees and retaining existing employees;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our reliance on infrastructure of third-party network service providers;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 of failure in our physical infrastructure;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 of defects or bugs in our software;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 of cybersecurity breaches;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our ability to maintain the compatibility of our software with third-party applications and mobile platforms;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continued compliance with industry standards and regulatory and privacy requirements, globally;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introduction and adoption of our cloud software solutions in markets outside of the United States;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risks that any reduction in spending may not achieve the desired result or may result in a reduction in revenue;</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risks relating to the acquisition and integration of businesses we have acquired or may acquire in the future, including most recently, Fuze, Inc.;</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risks related to the fluctuations in the value of the United States Dollar and other currencies that underlie our business transactions;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risks related to our substantial amount of indebtedness, which could have important consequences to our business;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potential future intellectual property infringement claims and other litigation that could adversely impact our business and operating results; and</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the current instability in the banking system, which could adversely impact our operations and operating results.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Please refer to the "Risk Factors" section of our annual report on Form 10-K for the fiscal year ended March 31, 2023 (the "Form 10-K")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fiscal year ends on March 31 of each calendar year. Each reference to a fiscal year in this Quarterly Report refers to the fiscal year ended March 31 of the calendar year indicated (for example, fiscal 2024 refers to the fiscal year ended March 31, 2024). Unless the context requires otherwise, references to "we," "us," "our," "8x8," and the "Company" refer to 8x8,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60" w:after="160"/>
        <w:jc w:val="center"/>
        <w:rPr>
          <w:rFonts w:ascii="Arial;sans-serif" w:hAnsi="Arial;sans-serif"/>
          <w:b/>
          <w:color w:val="000000"/>
          <w:sz w:val="20"/>
        </w:rPr>
      </w:pPr>
      <w:bookmarkStart w:id="1" w:name="i8c6eaaa8a21f4475b037775b57830dd7_101"/>
      <w:bookmarkEnd w:id="1"/>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bookmarkStart w:id="2" w:name="i6750bb56402d48d9bcad2e14014dbfc1_75"/>
      <w:bookmarkEnd w:id="2"/>
      <w:r>
        <w:rPr>
          <w:rFonts w:ascii="Arial;sans-serif" w:hAnsi="Arial;sans-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ial;sans-serif" w:hAnsi="Arial;sans-serif"/>
          <w:b/>
          <w:color w:val="000000"/>
          <w:sz w:val="20"/>
        </w:rPr>
      </w:pPr>
      <w:bookmarkStart w:id="3" w:name="ibdaac74253b9463caaf69b14d280751d_109"/>
      <w:bookmarkEnd w:id="3"/>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 except share and per share amounts)</w:t>
      </w:r>
    </w:p>
    <w:tbl>
      <w:tblPr>
        <w:tblW w:w="9896" w:type="dxa"/>
        <w:jc w:val="left"/>
        <w:tblInd w:w="0" w:type="dxa"/>
        <w:tblLayout w:type="fixed"/>
        <w:tblCellMar>
          <w:top w:w="28" w:type="dxa"/>
          <w:left w:w="28" w:type="dxa"/>
          <w:bottom w:w="28" w:type="dxa"/>
          <w:right w:w="28" w:type="dxa"/>
        </w:tblCellMar>
      </w:tblPr>
      <w:tblGrid>
        <w:gridCol w:w="2565"/>
        <w:gridCol w:w="2259"/>
        <w:gridCol w:w="2271"/>
        <w:gridCol w:w="215"/>
        <w:gridCol w:w="844"/>
        <w:gridCol w:w="111"/>
        <w:gridCol w:w="109"/>
        <w:gridCol w:w="109"/>
        <w:gridCol w:w="109"/>
        <w:gridCol w:w="231"/>
        <w:gridCol w:w="905"/>
        <w:gridCol w:w="168"/>
      </w:tblGrid>
      <w:tr>
        <w:trPr/>
        <w:tc>
          <w:tcPr>
            <w:tcW w:w="2565"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for expected credit losses of $3,768 and $3,644</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as of June 30, 2023 and March 31, 2023, respectively</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sales commission costs, current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274,468 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273,124 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sales commission costs, non-current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non-current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828,463 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841,810 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taxes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senior notes, current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236,317 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229,887 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senior notes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non-current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723,594 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741,904 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5)</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$0.001 par value, 5,000,000 shares authorized, none issued and</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outstanding as of June 30, 2023 and March 31, 2023</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$0.001 par value, 300,000,000 shares authorized, 119,231,643</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shares and 114,659,255 shares issued and outstanding as of June 30, 2023 and</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March 31, 2023, respectively</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924,190 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905,635 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(808,244)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(792,917)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104,869 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828,463 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841,810 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06730"/>
                <wp:effectExtent l="0" t="0" r="0" b="0"/>
                <wp:wrapNone/>
                <wp:docPr id="5" name="Frame4"/>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bookmarkStart w:id="4" w:name="i3840af24b40a43e7a7328705aad994e4_235"/>
      <w:bookmarkEnd w:id="4"/>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 except per share amounts)</w:t>
      </w:r>
    </w:p>
    <w:tbl>
      <w:tblPr>
        <w:tblW w:w="6245" w:type="dxa"/>
        <w:jc w:val="left"/>
        <w:tblInd w:w="0" w:type="dxa"/>
        <w:tblLayout w:type="fixed"/>
        <w:tblCellMar>
          <w:top w:w="28" w:type="dxa"/>
          <w:left w:w="28" w:type="dxa"/>
          <w:bottom w:w="28" w:type="dxa"/>
          <w:right w:w="28" w:type="dxa"/>
        </w:tblCellMar>
      </w:tblPr>
      <w:tblGrid>
        <w:gridCol w:w="1176"/>
        <w:gridCol w:w="1034"/>
        <w:gridCol w:w="1044"/>
        <w:gridCol w:w="211"/>
        <w:gridCol w:w="826"/>
        <w:gridCol w:w="109"/>
        <w:gridCol w:w="109"/>
        <w:gridCol w:w="109"/>
        <w:gridCol w:w="109"/>
        <w:gridCol w:w="211"/>
        <w:gridCol w:w="826"/>
        <w:gridCol w:w="109"/>
        <w:gridCol w:w="109"/>
        <w:gridCol w:w="109"/>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OTHER (EXPENSE) INCOME, NET DETAILS</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(Unaudited, in thousands)</w:t>
      </w:r>
    </w:p>
    <w:tbl>
      <w:tblPr>
        <w:tblW w:w="7016" w:type="dxa"/>
        <w:jc w:val="left"/>
        <w:tblInd w:w="0" w:type="dxa"/>
        <w:tblLayout w:type="fixed"/>
        <w:tblCellMar>
          <w:top w:w="28" w:type="dxa"/>
          <w:left w:w="28" w:type="dxa"/>
          <w:bottom w:w="28" w:type="dxa"/>
          <w:right w:w="28" w:type="dxa"/>
        </w:tblCellMar>
      </w:tblPr>
      <w:tblGrid>
        <w:gridCol w:w="1476"/>
        <w:gridCol w:w="1299"/>
        <w:gridCol w:w="1304"/>
        <w:gridCol w:w="218"/>
        <w:gridCol w:w="823"/>
        <w:gridCol w:w="112"/>
        <w:gridCol w:w="112"/>
        <w:gridCol w:w="112"/>
        <w:gridCol w:w="112"/>
        <w:gridCol w:w="218"/>
        <w:gridCol w:w="637"/>
        <w:gridCol w:w="112"/>
        <w:gridCol w:w="109"/>
        <w:gridCol w:w="109"/>
        <w:gridCol w:w="109"/>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warrants remeasurement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debt extinguishment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gain on foreign exchange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(12,473)</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06730"/>
                <wp:effectExtent l="0" t="0" r="0" b="0"/>
                <wp:wrapNone/>
                <wp:docPr id="6" name="Frame5"/>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bookmarkStart w:id="5" w:name="i7614679939484cb9bf6418e8b660d7f3_99"/>
      <w:bookmarkEnd w:id="5"/>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LOSS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w:t>
      </w:r>
    </w:p>
    <w:tbl>
      <w:tblPr>
        <w:tblW w:w="7146" w:type="dxa"/>
        <w:jc w:val="left"/>
        <w:tblInd w:w="0" w:type="dxa"/>
        <w:tblLayout w:type="fixed"/>
        <w:tblCellMar>
          <w:top w:w="28" w:type="dxa"/>
          <w:left w:w="28" w:type="dxa"/>
          <w:bottom w:w="28" w:type="dxa"/>
          <w:right w:w="28" w:type="dxa"/>
        </w:tblCellMar>
      </w:tblPr>
      <w:tblGrid>
        <w:gridCol w:w="1523"/>
        <w:gridCol w:w="1334"/>
        <w:gridCol w:w="1358"/>
        <w:gridCol w:w="211"/>
        <w:gridCol w:w="796"/>
        <w:gridCol w:w="109"/>
        <w:gridCol w:w="109"/>
        <w:gridCol w:w="109"/>
        <w:gridCol w:w="109"/>
        <w:gridCol w:w="211"/>
        <w:gridCol w:w="796"/>
        <w:gridCol w:w="109"/>
        <w:gridCol w:w="109"/>
        <w:gridCol w:w="109"/>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investments in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06730"/>
                <wp:effectExtent l="0" t="0" r="0" b="0"/>
                <wp:wrapNone/>
                <wp:docPr id="7" name="Frame6"/>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bookmarkStart w:id="6" w:name="iaebccac23aba46fdb2e83d8f5fc43779_154"/>
      <w:bookmarkEnd w:id="6"/>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w:t>
      </w:r>
    </w:p>
    <w:tbl>
      <w:tblPr>
        <w:tblW w:w="10205" w:type="dxa"/>
        <w:jc w:val="left"/>
        <w:tblInd w:w="0" w:type="dxa"/>
        <w:tblLayout w:type="fixed"/>
        <w:tblCellMar>
          <w:top w:w="28" w:type="dxa"/>
          <w:left w:w="28" w:type="dxa"/>
          <w:bottom w:w="28" w:type="dxa"/>
          <w:right w:w="28" w:type="dxa"/>
        </w:tblCellMar>
      </w:tblPr>
      <w:tblGrid>
        <w:gridCol w:w="1037"/>
        <w:gridCol w:w="782"/>
        <w:gridCol w:w="785"/>
        <w:gridCol w:w="368"/>
        <w:gridCol w:w="368"/>
        <w:gridCol w:w="186"/>
        <w:gridCol w:w="109"/>
        <w:gridCol w:w="109"/>
        <w:gridCol w:w="109"/>
        <w:gridCol w:w="196"/>
        <w:gridCol w:w="421"/>
        <w:gridCol w:w="109"/>
        <w:gridCol w:w="109"/>
        <w:gridCol w:w="109"/>
        <w:gridCol w:w="109"/>
        <w:gridCol w:w="196"/>
        <w:gridCol w:w="736"/>
        <w:gridCol w:w="109"/>
        <w:gridCol w:w="109"/>
        <w:gridCol w:w="109"/>
        <w:gridCol w:w="109"/>
        <w:gridCol w:w="222"/>
        <w:gridCol w:w="749"/>
        <w:gridCol w:w="125"/>
        <w:gridCol w:w="109"/>
        <w:gridCol w:w="109"/>
        <w:gridCol w:w="109"/>
        <w:gridCol w:w="196"/>
        <w:gridCol w:w="788"/>
        <w:gridCol w:w="109"/>
        <w:gridCol w:w="109"/>
        <w:gridCol w:w="109"/>
        <w:gridCol w:w="109"/>
        <w:gridCol w:w="196"/>
        <w:gridCol w:w="736"/>
        <w:gridCol w:w="156"/>
      </w:tblGrid>
      <w:tr>
        <w:trPr/>
        <w:tc>
          <w:tcPr>
            <w:tcW w:w="103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March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 related to adoption of ASU</w:t>
              <w:br/>
              <w:t>  2020-06</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stock plans,</w:t>
              <w:br/>
              <w:t>  less withholding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investment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June 30,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119,659 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(16,391)</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(745,809)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133,522 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3"/>
        <w:gridCol w:w="745"/>
        <w:gridCol w:w="748"/>
        <w:gridCol w:w="368"/>
        <w:gridCol w:w="368"/>
        <w:gridCol w:w="186"/>
        <w:gridCol w:w="109"/>
        <w:gridCol w:w="109"/>
        <w:gridCol w:w="109"/>
        <w:gridCol w:w="196"/>
        <w:gridCol w:w="421"/>
        <w:gridCol w:w="109"/>
        <w:gridCol w:w="109"/>
        <w:gridCol w:w="109"/>
        <w:gridCol w:w="109"/>
        <w:gridCol w:w="196"/>
        <w:gridCol w:w="736"/>
        <w:gridCol w:w="109"/>
        <w:gridCol w:w="109"/>
        <w:gridCol w:w="109"/>
        <w:gridCol w:w="109"/>
        <w:gridCol w:w="222"/>
        <w:gridCol w:w="749"/>
        <w:gridCol w:w="125"/>
        <w:gridCol w:w="109"/>
        <w:gridCol w:w="109"/>
        <w:gridCol w:w="109"/>
        <w:gridCol w:w="196"/>
        <w:gridCol w:w="767"/>
        <w:gridCol w:w="109"/>
        <w:gridCol w:w="109"/>
        <w:gridCol w:w="109"/>
        <w:gridCol w:w="109"/>
        <w:gridCol w:w="196"/>
        <w:gridCol w:w="736"/>
        <w:gridCol w:w="155"/>
      </w:tblGrid>
      <w:tr>
        <w:trPr/>
        <w:tc>
          <w:tcPr>
            <w:tcW w:w="113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March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114,659 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(12,927)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stock plans,</w:t>
              <w:br/>
              <w:t>  less withholding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 under stock plans, less withholding, related to Fuze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investment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as of June 30,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119,232 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(808,244)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06730"/>
                <wp:effectExtent l="0" t="0" r="0" b="0"/>
                <wp:wrapNone/>
                <wp:docPr id="8" name="Frame7"/>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bookmarkStart w:id="7" w:name="iacd74e769e124d40980bc919ef2ea830_451"/>
      <w:bookmarkEnd w:id="7"/>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w:t>
      </w:r>
    </w:p>
    <w:tbl>
      <w:tblPr>
        <w:tblW w:w="8978" w:type="dxa"/>
        <w:jc w:val="left"/>
        <w:tblInd w:w="0" w:type="dxa"/>
        <w:tblLayout w:type="fixed"/>
        <w:tblCellMar>
          <w:top w:w="28" w:type="dxa"/>
          <w:left w:w="28" w:type="dxa"/>
          <w:bottom w:w="28" w:type="dxa"/>
          <w:right w:w="28" w:type="dxa"/>
        </w:tblCellMar>
      </w:tblPr>
      <w:tblGrid>
        <w:gridCol w:w="2296"/>
        <w:gridCol w:w="2017"/>
        <w:gridCol w:w="2031"/>
        <w:gridCol w:w="211"/>
        <w:gridCol w:w="826"/>
        <w:gridCol w:w="109"/>
        <w:gridCol w:w="109"/>
        <w:gridCol w:w="109"/>
        <w:gridCol w:w="109"/>
        <w:gridCol w:w="211"/>
        <w:gridCol w:w="796"/>
        <w:gridCol w:w="154"/>
      </w:tblGrid>
      <w:tr>
        <w:trPr/>
        <w:tc>
          <w:tcPr>
            <w:tcW w:w="2296"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capitalized internal-use software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sales commission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 net of accretion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debt extinguishment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remeasurement of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sales commission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investments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maturities of investments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businesses,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stock under employee stock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principal on 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beginning of year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06730"/>
                <wp:effectExtent l="0" t="0" r="0" b="0"/>
                <wp:wrapNone/>
                <wp:docPr id="9" name="Frame8"/>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8X8,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(continued)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(Unaudited, in thousands)</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Supplemental disclosures of cash flow information:</w:t>
      </w:r>
    </w:p>
    <w:tbl>
      <w:tblPr>
        <w:tblW w:w="4646" w:type="dxa"/>
        <w:jc w:val="left"/>
        <w:tblInd w:w="0" w:type="dxa"/>
        <w:tblLayout w:type="fixed"/>
        <w:tblCellMar>
          <w:top w:w="28" w:type="dxa"/>
          <w:left w:w="28" w:type="dxa"/>
          <w:bottom w:w="28" w:type="dxa"/>
          <w:right w:w="28" w:type="dxa"/>
        </w:tblCellMar>
      </w:tblPr>
      <w:tblGrid>
        <w:gridCol w:w="777"/>
        <w:gridCol w:w="683"/>
        <w:gridCol w:w="685"/>
        <w:gridCol w:w="297"/>
        <w:gridCol w:w="508"/>
        <w:gridCol w:w="153"/>
        <w:gridCol w:w="153"/>
        <w:gridCol w:w="153"/>
        <w:gridCol w:w="153"/>
        <w:gridCol w:w="297"/>
        <w:gridCol w:w="571"/>
        <w:gridCol w:w="216"/>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for fixed assets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Reconciliation of cash, cash equivalents and restricted cash to the condensed consolidated balance sheets:</w:t>
      </w:r>
    </w:p>
    <w:tbl>
      <w:tblPr>
        <w:tblW w:w="6578" w:type="dxa"/>
        <w:jc w:val="left"/>
        <w:tblInd w:w="0" w:type="dxa"/>
        <w:tblLayout w:type="fixed"/>
        <w:tblCellMar>
          <w:top w:w="28" w:type="dxa"/>
          <w:left w:w="28" w:type="dxa"/>
          <w:bottom w:w="28" w:type="dxa"/>
          <w:right w:w="28" w:type="dxa"/>
        </w:tblCellMar>
      </w:tblPr>
      <w:tblGrid>
        <w:gridCol w:w="1455"/>
        <w:gridCol w:w="1279"/>
        <w:gridCol w:w="1285"/>
        <w:gridCol w:w="211"/>
        <w:gridCol w:w="826"/>
        <w:gridCol w:w="109"/>
        <w:gridCol w:w="109"/>
        <w:gridCol w:w="109"/>
        <w:gridCol w:w="109"/>
        <w:gridCol w:w="211"/>
        <w:gridCol w:w="721"/>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06730"/>
                <wp:effectExtent l="0" t="0" r="0" b="0"/>
                <wp:wrapNone/>
                <wp:docPr id="10" name="Frame9"/>
                <a:graphic xmlns:a="http://schemas.openxmlformats.org/drawingml/2006/main">
                  <a:graphicData uri="http://schemas.microsoft.com/office/word/2010/wordprocessingShape">
                    <wps:wsp>
                      <wps:cNvSpPr txBox="1"/>
                      <wps:spPr>
                        <a:xfrm>
                          <a:off x="0" y="0"/>
                          <a:ext cx="6480175" cy="506730"/>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20"/>
        </w:rPr>
      </w:pPr>
      <w:bookmarkStart w:id="8" w:name="i43e3353f46314ceeb08d3d0527dae42d_100"/>
      <w:bookmarkEnd w:id="8"/>
      <w:r>
        <w:rPr>
          <w:rFonts w:ascii="Arial;sans-serif" w:hAnsi="Arial;sans-serif"/>
          <w:b/>
          <w:color w:val="000000"/>
          <w:sz w:val="20"/>
        </w:rPr>
        <w:t>8X8, INC.</w:t>
      </w:r>
    </w:p>
    <w:p>
      <w:pPr>
        <w:pStyle w:val="TextBody"/>
        <w:bidi w:val="0"/>
        <w:spacing w:lineRule="auto" w:line="288" w:before="0" w:after="360"/>
        <w:jc w:val="center"/>
        <w:rPr>
          <w:rFonts w:ascii="Arial;sans-serif" w:hAnsi="Arial;sans-serif"/>
          <w:b/>
          <w:color w:val="000000"/>
          <w:sz w:val="20"/>
        </w:rPr>
      </w:pPr>
      <w:r>
        <w:rPr>
          <w:rFonts w:ascii="Arial;sans-serif" w:hAnsi="Arial;sans-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1. THE COMPANY AND SIGNIFICANT ACCOUNTING POLICIES</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THE COMPANY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8x8, Inc. ("8x8" or the "Company") was incorporated in California in February 1987 and was reincorporated in Delaware in December 1996. The Company trades under the symbol "EGHT" on the Nasdaq Global Select Market. </w:t>
      </w:r>
    </w:p>
    <w:p>
      <w:pPr>
        <w:pStyle w:val="TextBody"/>
        <w:bidi w:val="0"/>
        <w:spacing w:lineRule="auto" w:line="256" w:before="120" w:after="120"/>
        <w:jc w:val="both"/>
        <w:rPr>
          <w:rFonts w:ascii="Arial;sans-serif" w:hAnsi="Arial;sans-serif"/>
          <w:b w:val="false"/>
          <w:color w:val="000000"/>
          <w:sz w:val="18"/>
        </w:rPr>
      </w:pPr>
      <w:r>
        <w:rPr>
          <w:rFonts w:ascii="Arial;sans-serif" w:hAnsi="Arial;sans-serif"/>
          <w:b w:val="false"/>
          <w:color w:val="000000"/>
          <w:sz w:val="18"/>
        </w:rPr>
        <w:t xml:space="preserve">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 </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BASIS OF PRESENTATION AND CONSOLIDATION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2023 and notes thereto included in the Form 10-K. There were no material changes during the three months ended June 30, 2023 to the Company's significant accounting policies as described in the Form 10-K.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2024.</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USE OF ESTIMATES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preparation of the condensed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intangible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RECENTLY ADOPTED ACCOUNTING PRONOUNCEMENTS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were no recent accounting pronouncements that were applicable to the Company adopted during the three months ended June 30, 2023.</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RECENTLY ISSUED ACCOUNTING PRONOUNCEMENTS NOT YET ADOPTED</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Recent accounting pronouncements that may be applicable to the Company are not expected to have a material impact on its present or future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2. REVENUE RECOGNITION</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Disaggregation of Revenue</w:t>
      </w:r>
    </w:p>
    <w:p>
      <w:pPr>
        <w:pStyle w:val="TextBody"/>
        <w:bidi w:val="0"/>
        <w:spacing w:lineRule="auto" w:line="288" w:before="120" w:after="120"/>
        <w:jc w:val="both"/>
        <w:rPr/>
      </w:pPr>
      <w:r>
        <w:rPr>
          <w:rFonts w:ascii="Arial;sans-serif" w:hAnsi="Arial;sans-serif"/>
          <w:b w:val="false"/>
          <w:color w:val="000000"/>
          <w:sz w:val="18"/>
        </w:rPr>
        <w:t>The Company disaggregates its revenue by geographic region. See Note </w:t>
      </w:r>
      <w:hyperlink w:anchor="ifdecece38d2340bc858ca8cc1da3049d_85">
        <w:r>
          <w:rPr>
            <w:rStyle w:val="InternetLink"/>
            <w:rFonts w:ascii="Arial;sans-serif" w:hAnsi="Arial;sans-serif"/>
            <w:b w:val="false"/>
            <w:color w:val="0000FF"/>
            <w:sz w:val="18"/>
            <w:u w:val="single"/>
          </w:rPr>
          <w:t>10</w:t>
        </w:r>
      </w:hyperlink>
      <w:r>
        <w:rPr>
          <w:rFonts w:ascii="Arial;sans-serif" w:hAnsi="Arial;sans-serif"/>
          <w:b w:val="false"/>
          <w:color w:val="000000"/>
          <w:sz w:val="18"/>
        </w:rPr>
        <w:t xml:space="preserve">. </w:t>
      </w:r>
      <w:r>
        <w:rPr>
          <w:rFonts w:ascii="Arial;sans-serif" w:hAnsi="Arial;sans-serif"/>
          <w:b w:val="false"/>
          <w:i/>
          <w:color w:val="000000"/>
          <w:sz w:val="18"/>
        </w:rPr>
        <w:t>Geographical Information</w:t>
      </w:r>
      <w:r>
        <w:rPr>
          <w:rFonts w:ascii="Arial;sans-serif" w:hAnsi="Arial;sans-serif"/>
          <w:b w:val="false"/>
          <w:color w:val="000000"/>
          <w:sz w:val="18"/>
        </w:rPr>
        <w:t>.</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Contract Balances</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The following table provides amounts of receivables, contract assets, and deferred revenue from contracts with customers (dollars in thousands):</w:t>
      </w:r>
    </w:p>
    <w:tbl>
      <w:tblPr>
        <w:tblW w:w="7797" w:type="dxa"/>
        <w:jc w:val="left"/>
        <w:tblInd w:w="0" w:type="dxa"/>
        <w:tblLayout w:type="fixed"/>
        <w:tblCellMar>
          <w:top w:w="28" w:type="dxa"/>
          <w:left w:w="28" w:type="dxa"/>
          <w:bottom w:w="28" w:type="dxa"/>
          <w:right w:w="28" w:type="dxa"/>
        </w:tblCellMar>
      </w:tblPr>
      <w:tblGrid>
        <w:gridCol w:w="1810"/>
        <w:gridCol w:w="1590"/>
        <w:gridCol w:w="1595"/>
        <w:gridCol w:w="237"/>
        <w:gridCol w:w="811"/>
        <w:gridCol w:w="122"/>
        <w:gridCol w:w="109"/>
        <w:gridCol w:w="109"/>
        <w:gridCol w:w="109"/>
        <w:gridCol w:w="253"/>
        <w:gridCol w:w="867"/>
        <w:gridCol w:w="185"/>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64,951 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Contract assets, current (component of Other current assets)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Contract assets, non-current (component of Other assets</w:t>
            </w:r>
            <w:r>
              <w:rPr>
                <w:rFonts w:ascii="Arial;sans-serif" w:hAnsi="Arial;sans-serif"/>
                <w:b w:val="false"/>
                <w:i/>
                <w:color w:val="000000"/>
                <w:sz w:val="18"/>
              </w:rPr>
              <w:t>)</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change in contract assets was primarily driven by the recognition of revenue that has not yet been billed. The increase in deferred revenue was due to billings made in advance of performance obligations being satisfied. During the three months ended June 30, 2023, the Company recognized revenues of approximately $16.9 million that were included in deferred revenue at the beginning of the fiscal year.</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Remaining Performance Obligations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subscription terms typically range from one to five years. Contract revenue from the remaining performance obligations that had not yet been recognized as of June 30, 2023 was approximately $790.0 million. This amount excludes contracts with an original expected length of less than one year. The Company expects to recognize revenue on approximately 85% of the remaining performance obligations over the next 24 months and approximately 15% over the remainder of the subscription period.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purposes of this disclosure, the Company excludes contracts with an original expected length of less than one year. Since the new and renewal contracts entered into with customers are generally for terms of one year or longer, updating this disclosure to include contracts with a term of one year or more presents a more appropriate measure of the Company's remaining performance obligations.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Deferred Sales Commission Costs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Amortization of deferred sales commission costs for the three months ended June 30, 2023 and 2022 was approximately $10.0 million and $9.2 million, respectively. There were no material write-offs during the three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3. FAIR VALUE MEASUREMENTS</w:t>
      </w:r>
    </w:p>
    <w:p>
      <w:pPr>
        <w:pStyle w:val="TextBody"/>
        <w:bidi w:val="0"/>
        <w:spacing w:lineRule="auto" w:line="288" w:before="120" w:after="60"/>
        <w:jc w:val="both"/>
        <w:rPr/>
      </w:pPr>
      <w:r>
        <w:rPr>
          <w:rFonts w:ascii="Arial;sans-serif" w:hAnsi="Arial;sans-serif"/>
          <w:b w:val="false"/>
          <w:color w:val="000000"/>
          <w:sz w:val="18"/>
        </w:rPr>
        <w:t xml:space="preserve">Cash, cash equivalents, and available-for-sale investments were as follows </w:t>
      </w:r>
      <w:r>
        <w:rPr>
          <w:rFonts w:ascii="Arial;sans-serif" w:hAnsi="Arial;sans-serif"/>
          <w:b w:val="false"/>
          <w:i/>
          <w:color w:val="000000"/>
          <w:sz w:val="18"/>
        </w:rPr>
        <w:t>(dollars in thousands)</w:t>
      </w:r>
      <w:r>
        <w:rPr>
          <w:rFonts w:ascii="Arial;sans-serif" w:hAnsi="Arial;sans-serif"/>
          <w:b w:val="false"/>
          <w:color w:val="000000"/>
          <w:sz w:val="18"/>
        </w:rPr>
        <w:t>:</w:t>
      </w:r>
    </w:p>
    <w:tbl>
      <w:tblPr>
        <w:tblW w:w="11305" w:type="dxa"/>
        <w:jc w:val="left"/>
        <w:tblInd w:w="0" w:type="dxa"/>
        <w:tblLayout w:type="fixed"/>
        <w:tblCellMar>
          <w:top w:w="28" w:type="dxa"/>
          <w:left w:w="28" w:type="dxa"/>
          <w:bottom w:w="28" w:type="dxa"/>
          <w:right w:w="28" w:type="dxa"/>
        </w:tblCellMar>
      </w:tblPr>
      <w:tblGrid>
        <w:gridCol w:w="646"/>
        <w:gridCol w:w="301"/>
        <w:gridCol w:w="164"/>
        <w:gridCol w:w="109"/>
        <w:gridCol w:w="109"/>
        <w:gridCol w:w="109"/>
        <w:gridCol w:w="211"/>
        <w:gridCol w:w="826"/>
        <w:gridCol w:w="109"/>
        <w:gridCol w:w="109"/>
        <w:gridCol w:w="109"/>
        <w:gridCol w:w="109"/>
        <w:gridCol w:w="274"/>
        <w:gridCol w:w="529"/>
        <w:gridCol w:w="143"/>
        <w:gridCol w:w="109"/>
        <w:gridCol w:w="109"/>
        <w:gridCol w:w="109"/>
        <w:gridCol w:w="274"/>
        <w:gridCol w:w="529"/>
        <w:gridCol w:w="143"/>
        <w:gridCol w:w="109"/>
        <w:gridCol w:w="109"/>
        <w:gridCol w:w="109"/>
        <w:gridCol w:w="211"/>
        <w:gridCol w:w="826"/>
        <w:gridCol w:w="109"/>
        <w:gridCol w:w="109"/>
        <w:gridCol w:w="109"/>
        <w:gridCol w:w="109"/>
        <w:gridCol w:w="211"/>
        <w:gridCol w:w="826"/>
        <w:gridCol w:w="109"/>
        <w:gridCol w:w="109"/>
        <w:gridCol w:w="109"/>
        <w:gridCol w:w="109"/>
        <w:gridCol w:w="330"/>
        <w:gridCol w:w="729"/>
        <w:gridCol w:w="172"/>
        <w:gridCol w:w="109"/>
        <w:gridCol w:w="109"/>
        <w:gridCol w:w="109"/>
        <w:gridCol w:w="219"/>
        <w:gridCol w:w="748"/>
        <w:gridCol w:w="114"/>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w:t>
              <w:br/>
              <w:t>Cash</w:t>
              <w:br/>
              <w:t>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Cash</w:t>
              <w:br/>
              <w:t>(Current &amp;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tbl>
      <w:tblPr>
        <w:tblW w:w="11305" w:type="dxa"/>
        <w:jc w:val="left"/>
        <w:tblInd w:w="0" w:type="dxa"/>
        <w:tblLayout w:type="fixed"/>
        <w:tblCellMar>
          <w:top w:w="28" w:type="dxa"/>
          <w:left w:w="28" w:type="dxa"/>
          <w:bottom w:w="28" w:type="dxa"/>
          <w:right w:w="28" w:type="dxa"/>
        </w:tblCellMar>
      </w:tblPr>
      <w:tblGrid>
        <w:gridCol w:w="645"/>
        <w:gridCol w:w="273"/>
        <w:gridCol w:w="193"/>
        <w:gridCol w:w="109"/>
        <w:gridCol w:w="109"/>
        <w:gridCol w:w="109"/>
        <w:gridCol w:w="211"/>
        <w:gridCol w:w="826"/>
        <w:gridCol w:w="109"/>
        <w:gridCol w:w="109"/>
        <w:gridCol w:w="109"/>
        <w:gridCol w:w="109"/>
        <w:gridCol w:w="274"/>
        <w:gridCol w:w="529"/>
        <w:gridCol w:w="143"/>
        <w:gridCol w:w="109"/>
        <w:gridCol w:w="109"/>
        <w:gridCol w:w="109"/>
        <w:gridCol w:w="274"/>
        <w:gridCol w:w="529"/>
        <w:gridCol w:w="143"/>
        <w:gridCol w:w="109"/>
        <w:gridCol w:w="109"/>
        <w:gridCol w:w="109"/>
        <w:gridCol w:w="211"/>
        <w:gridCol w:w="826"/>
        <w:gridCol w:w="109"/>
        <w:gridCol w:w="109"/>
        <w:gridCol w:w="109"/>
        <w:gridCol w:w="109"/>
        <w:gridCol w:w="211"/>
        <w:gridCol w:w="826"/>
        <w:gridCol w:w="109"/>
        <w:gridCol w:w="109"/>
        <w:gridCol w:w="109"/>
        <w:gridCol w:w="109"/>
        <w:gridCol w:w="277"/>
        <w:gridCol w:w="810"/>
        <w:gridCol w:w="144"/>
        <w:gridCol w:w="109"/>
        <w:gridCol w:w="109"/>
        <w:gridCol w:w="109"/>
        <w:gridCol w:w="219"/>
        <w:gridCol w:w="748"/>
        <w:gridCol w:w="114"/>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w:t>
              <w:br/>
              <w:t>Cash</w:t>
              <w:br/>
              <w:t>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Cash</w:t>
              <w:br/>
              <w:t>(Current &amp;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restricted cash component of the money market funds is comprised of letters of credit securing leases for certain office facilities.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considers its investments available to support its current operations and has classified investments in debt securities as available-for-sale securities. The Company does not intend to sell any of its investments that are in unrealized loss positions and, as of June 30, 2023, has determined that it is not more likely than not that it will be required to sell any of these investments before recovery of the entire amortized cost basis.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regularly reviews the changes to the rating of its securities at the individual security level by rating agencies and reasonably monitors the surrounding economic conditions to assess the risk of expected credit losses. As of June 30, 2023, the Company did not record any allowance for credit losses on its investments.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uses the Black-Scholes option-pricing valuation model to value its detachable warrants from inception and at each reporting period. Changes in the fair values of the detachable warrants liability are recorded as loss on warrants remeasurement within Other (expense) income, net in the condensed consolidated statements of operations.</w:t>
      </w:r>
    </w:p>
    <w:p>
      <w:pPr>
        <w:pStyle w:val="TextBody"/>
        <w:bidi w:val="0"/>
        <w:spacing w:lineRule="auto" w:line="288" w:before="120" w:after="60"/>
        <w:jc w:val="both"/>
        <w:rPr/>
      </w:pPr>
      <w:r>
        <w:rPr>
          <w:rFonts w:ascii="Arial;sans-serif" w:hAnsi="Arial;sans-serif"/>
          <w:b w:val="false"/>
          <w:color w:val="000000"/>
          <w:sz w:val="18"/>
        </w:rPr>
        <w:t xml:space="preserve">The following table presents additional information about valuation techniques and inputs used for the detachable warrants (see Note </w:t>
      </w:r>
      <w:hyperlink w:anchor="ifdecece38d2340bc858ca8cc1da3049d_67">
        <w:r>
          <w:rPr>
            <w:rStyle w:val="InternetLink"/>
            <w:rFonts w:ascii="Arial;sans-serif" w:hAnsi="Arial;sans-serif"/>
            <w:b w:val="false"/>
            <w:color w:val="0000FF"/>
            <w:sz w:val="18"/>
            <w:u w:val="single"/>
          </w:rPr>
          <w:t>6</w:t>
        </w:r>
      </w:hyperlink>
      <w:r>
        <w:rPr>
          <w:rFonts w:ascii="Arial;sans-serif" w:hAnsi="Arial;sans-serif"/>
          <w:b w:val="false"/>
          <w:color w:val="000000"/>
          <w:sz w:val="18"/>
        </w:rPr>
        <w:t xml:space="preserve">, </w:t>
      </w:r>
      <w:r>
        <w:rPr>
          <w:rFonts w:ascii="Arial;sans-serif" w:hAnsi="Arial;sans-serif"/>
          <w:b w:val="false"/>
          <w:i/>
          <w:color w:val="000000"/>
          <w:sz w:val="18"/>
        </w:rPr>
        <w:t>Convertible Senior Notes and Term Loan</w:t>
      </w:r>
      <w:r>
        <w:rPr>
          <w:rFonts w:ascii="Arial;sans-serif" w:hAnsi="Arial;sans-serif"/>
          <w:b w:val="false"/>
          <w:color w:val="000000"/>
          <w:sz w:val="18"/>
        </w:rPr>
        <w:t xml:space="preserve">) that are measured at fair value and categorized within Level 3 as of June 30, 2023 and March 31, 2023 </w:t>
      </w:r>
      <w:r>
        <w:rPr>
          <w:rFonts w:ascii="Arial;sans-serif" w:hAnsi="Arial;sans-serif"/>
          <w:b w:val="false"/>
          <w:i/>
          <w:color w:val="000000"/>
          <w:sz w:val="18"/>
        </w:rPr>
        <w:t>(dollars in thousands)</w:t>
      </w:r>
      <w:r>
        <w:rPr>
          <w:rFonts w:ascii="Arial;sans-serif" w:hAnsi="Arial;sans-serif"/>
          <w:b w:val="false"/>
          <w:color w:val="000000"/>
          <w:sz w:val="18"/>
        </w:rPr>
        <w:t>:</w:t>
      </w:r>
    </w:p>
    <w:tbl>
      <w:tblPr>
        <w:tblW w:w="6431" w:type="dxa"/>
        <w:jc w:val="left"/>
        <w:tblInd w:w="0" w:type="dxa"/>
        <w:tblLayout w:type="fixed"/>
        <w:tblCellMar>
          <w:top w:w="28" w:type="dxa"/>
          <w:left w:w="28" w:type="dxa"/>
          <w:bottom w:w="28" w:type="dxa"/>
          <w:right w:w="28" w:type="dxa"/>
        </w:tblCellMar>
      </w:tblPr>
      <w:tblGrid>
        <w:gridCol w:w="1314"/>
        <w:gridCol w:w="1156"/>
        <w:gridCol w:w="1160"/>
        <w:gridCol w:w="263"/>
        <w:gridCol w:w="770"/>
        <w:gridCol w:w="136"/>
        <w:gridCol w:w="109"/>
        <w:gridCol w:w="109"/>
        <w:gridCol w:w="109"/>
        <w:gridCol w:w="280"/>
        <w:gridCol w:w="820"/>
        <w:gridCol w:w="205"/>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Estimated fair value of detachable warrants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Stock volatility</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67.2%</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Risk-free rate</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3.6%</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Expected term</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 years</w:t>
            </w:r>
          </w:p>
        </w:tc>
      </w:tr>
    </w:tbl>
    <w:p>
      <w:pPr>
        <w:pStyle w:val="TextBody"/>
        <w:bidi w:val="0"/>
        <w:spacing w:lineRule="auto" w:line="288" w:before="120" w:after="120"/>
        <w:jc w:val="both"/>
        <w:rPr/>
      </w:pPr>
      <w:r>
        <w:rPr>
          <w:rFonts w:ascii="Arial;sans-serif" w:hAnsi="Arial;sans-serif"/>
          <w:b w:val="false"/>
          <w:color w:val="000000"/>
          <w:sz w:val="18"/>
        </w:rPr>
        <w:t xml:space="preserve">As of June 30, 2023 and March 31, 2023, the estimated fair value of the Company's convertible senior notes due in 2024 was $60.3 million and $57.3 million, respectively, and the estimated fair value of the Company’s convertible senior notes due in 2028 was $192.3 million and $183.0 million, respectively (refer to Note </w:t>
      </w:r>
      <w:hyperlink w:anchor="ifdecece38d2340bc858ca8cc1da3049d_67">
        <w:r>
          <w:rPr>
            <w:rStyle w:val="InternetLink"/>
            <w:rFonts w:ascii="Arial;sans-serif" w:hAnsi="Arial;sans-serif"/>
            <w:b w:val="false"/>
            <w:strike w:val="false"/>
            <w:dstrike w:val="false"/>
            <w:color w:val="000000"/>
            <w:sz w:val="18"/>
            <w:u w:val="none"/>
            <w:effect w:val="none"/>
          </w:rPr>
          <w:t>6</w:t>
        </w:r>
      </w:hyperlink>
      <w:r>
        <w:rPr>
          <w:rFonts w:ascii="Arial;sans-serif" w:hAnsi="Arial;sans-serif"/>
          <w:b w:val="false"/>
          <w:color w:val="000000"/>
          <w:sz w:val="18"/>
        </w:rPr>
        <w:t xml:space="preserve">, </w:t>
      </w:r>
      <w:r>
        <w:rPr>
          <w:rFonts w:ascii="Arial;sans-serif" w:hAnsi="Arial;sans-serif"/>
          <w:b w:val="false"/>
          <w:i/>
          <w:color w:val="000000"/>
          <w:sz w:val="18"/>
        </w:rPr>
        <w:t>Convertible Senior Notes and Term Loan</w:t>
      </w:r>
      <w:r>
        <w:rPr>
          <w:rFonts w:ascii="Arial;sans-serif" w:hAnsi="Arial;sans-serif"/>
          <w:b w:val="false"/>
          <w:color w:val="000000"/>
          <w:sz w:val="18"/>
        </w:rPr>
        <w:t>). The fair value of the convertible senior notes was determined based on the closing price of each of the securities on the last trading day of the reporting period, and each is considered to be Level 2 in the fair value hierarchy due to limited trading activity of the debt instruments. As of June 30, 2023 and March 31, 2023, the carrying value of the Company’s Term Loan approximates its estimated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4. INTANGIBLE ASSETS AND GOODWILL</w:t>
      </w:r>
    </w:p>
    <w:p>
      <w:pPr>
        <w:pStyle w:val="TextBody"/>
        <w:bidi w:val="0"/>
        <w:spacing w:lineRule="auto" w:line="288" w:before="120" w:after="60"/>
        <w:jc w:val="both"/>
        <w:rPr/>
      </w:pPr>
      <w:r>
        <w:rPr>
          <w:rFonts w:ascii="Arial;sans-serif" w:hAnsi="Arial;sans-serif"/>
          <w:b w:val="false"/>
          <w:color w:val="000000"/>
          <w:sz w:val="18"/>
        </w:rPr>
        <w:t xml:space="preserve">The carrying value of intangible assets consisted of the following </w:t>
      </w:r>
      <w:r>
        <w:rPr>
          <w:rFonts w:ascii="Arial;sans-serif" w:hAnsi="Arial;sans-serif"/>
          <w:b w:val="false"/>
          <w:i/>
          <w:color w:val="000000"/>
          <w:sz w:val="18"/>
        </w:rPr>
        <w:t>(dollars in thousands)</w:t>
      </w:r>
      <w:r>
        <w:rPr>
          <w:rFonts w:ascii="Arial;sans-serif" w:hAnsi="Arial;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588"/>
        <w:gridCol w:w="517"/>
        <w:gridCol w:w="522"/>
        <w:gridCol w:w="211"/>
        <w:gridCol w:w="826"/>
        <w:gridCol w:w="109"/>
        <w:gridCol w:w="109"/>
        <w:gridCol w:w="109"/>
        <w:gridCol w:w="109"/>
        <w:gridCol w:w="230"/>
        <w:gridCol w:w="805"/>
        <w:gridCol w:w="121"/>
        <w:gridCol w:w="109"/>
        <w:gridCol w:w="109"/>
        <w:gridCol w:w="109"/>
        <w:gridCol w:w="211"/>
        <w:gridCol w:w="826"/>
        <w:gridCol w:w="109"/>
        <w:gridCol w:w="109"/>
        <w:gridCol w:w="109"/>
        <w:gridCol w:w="109"/>
        <w:gridCol w:w="211"/>
        <w:gridCol w:w="826"/>
        <w:gridCol w:w="109"/>
        <w:gridCol w:w="109"/>
        <w:gridCol w:w="109"/>
        <w:gridCol w:w="109"/>
        <w:gridCol w:w="230"/>
        <w:gridCol w:w="805"/>
        <w:gridCol w:w="121"/>
        <w:gridCol w:w="109"/>
        <w:gridCol w:w="109"/>
        <w:gridCol w:w="109"/>
        <w:gridCol w:w="211"/>
        <w:gridCol w:w="826"/>
        <w:gridCol w:w="156"/>
      </w:tblGrid>
      <w:tr>
        <w:trPr/>
        <w:tc>
          <w:tcPr>
            <w:tcW w:w="58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w:t>
              <w:br/>
              <w:t>Amount</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(30,468)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(28,361)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(19,796)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 and domains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acquired identifiable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(50,847)</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(45,769)</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As of June 30, 2023, the weighted average remaining useful lives for technology and customer relationships were 2.1 years and 7.4 years, respectively.</w:t>
      </w:r>
    </w:p>
    <w:p>
      <w:pPr>
        <w:pStyle w:val="TextBody"/>
        <w:bidi w:val="0"/>
        <w:spacing w:lineRule="auto" w:line="288" w:before="120" w:after="60"/>
        <w:jc w:val="both"/>
        <w:rPr/>
      </w:pPr>
      <w:r>
        <w:rPr>
          <w:rFonts w:ascii="Arial;sans-serif" w:hAnsi="Arial;sans-serif"/>
          <w:b w:val="false"/>
          <w:color w:val="000000"/>
          <w:sz w:val="18"/>
        </w:rPr>
        <w:t xml:space="preserve">The annual amortization of the Company's intangible assets, based upon existing intangible assets and current useful lives, is estimated to be as follows </w:t>
      </w:r>
      <w:r>
        <w:rPr>
          <w:rFonts w:ascii="Arial;sans-serif" w:hAnsi="Arial;sans-serif"/>
          <w:b w:val="false"/>
          <w:i/>
          <w:color w:val="000000"/>
          <w:sz w:val="18"/>
        </w:rPr>
        <w:t>(dollars in thousands)</w:t>
      </w:r>
      <w:r>
        <w:rPr>
          <w:rFonts w:ascii="Arial;sans-serif" w:hAnsi="Arial;sans-serif"/>
          <w:b w:val="false"/>
          <w:color w:val="000000"/>
          <w:sz w:val="18"/>
        </w:rPr>
        <w:t>:</w:t>
      </w:r>
    </w:p>
    <w:tbl>
      <w:tblPr>
        <w:tblW w:w="2885" w:type="dxa"/>
        <w:jc w:val="left"/>
        <w:tblInd w:w="0" w:type="dxa"/>
        <w:tblLayout w:type="fixed"/>
        <w:tblCellMar>
          <w:top w:w="28" w:type="dxa"/>
          <w:left w:w="28" w:type="dxa"/>
          <w:bottom w:w="28" w:type="dxa"/>
          <w:right w:w="28" w:type="dxa"/>
        </w:tblCellMar>
      </w:tblPr>
      <w:tblGrid>
        <w:gridCol w:w="613"/>
        <w:gridCol w:w="540"/>
        <w:gridCol w:w="541"/>
        <w:gridCol w:w="211"/>
        <w:gridCol w:w="82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Remainder of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pPr>
      <w:r>
        <w:rPr>
          <w:rFonts w:ascii="Arial;sans-serif" w:hAnsi="Arial;sans-serif"/>
          <w:b w:val="false"/>
          <w:color w:val="000000"/>
          <w:sz w:val="18"/>
        </w:rPr>
        <w:t xml:space="preserve">The following table provides a summary of the changes in the carrying amounts of goodwill </w:t>
      </w:r>
      <w:r>
        <w:rPr>
          <w:rFonts w:ascii="Arial;sans-serif" w:hAnsi="Arial;sans-serif"/>
          <w:b w:val="false"/>
          <w:i/>
          <w:color w:val="000000"/>
          <w:sz w:val="18"/>
        </w:rPr>
        <w:t>(dollars in thousands)</w:t>
      </w:r>
      <w:r>
        <w:rPr>
          <w:rFonts w:ascii="Arial;sans-serif" w:hAnsi="Arial;sans-serif"/>
          <w:b w:val="false"/>
          <w:color w:val="000000"/>
          <w:sz w:val="18"/>
        </w:rPr>
        <w:t>:</w:t>
      </w:r>
    </w:p>
    <w:tbl>
      <w:tblPr>
        <w:tblW w:w="3740" w:type="dxa"/>
        <w:jc w:val="left"/>
        <w:tblInd w:w="0" w:type="dxa"/>
        <w:tblLayout w:type="fixed"/>
        <w:tblCellMar>
          <w:top w:w="28" w:type="dxa"/>
          <w:left w:w="28" w:type="dxa"/>
          <w:bottom w:w="28" w:type="dxa"/>
          <w:right w:w="28" w:type="dxa"/>
        </w:tblCellMar>
      </w:tblPr>
      <w:tblGrid>
        <w:gridCol w:w="922"/>
        <w:gridCol w:w="810"/>
        <w:gridCol w:w="817"/>
        <w:gridCol w:w="211"/>
        <w:gridCol w:w="82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5. COMMITMENTS AND CONTINGENCIES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Indemnifications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may not have a contractual limit.</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Operating Leases</w:t>
      </w:r>
    </w:p>
    <w:p>
      <w:pPr>
        <w:pStyle w:val="TextBody"/>
        <w:bidi w:val="0"/>
        <w:spacing w:lineRule="auto" w:line="288" w:before="120" w:after="120"/>
        <w:jc w:val="both"/>
        <w:rPr/>
      </w:pPr>
      <w:r>
        <w:rPr>
          <w:rFonts w:ascii="Arial;sans-serif" w:hAnsi="Arial;sans-serif"/>
          <w:b w:val="false"/>
          <w:color w:val="000000"/>
          <w:sz w:val="18"/>
        </w:rPr>
        <w:t xml:space="preserve">The Company's lease obligations consist of the Company's principal facility and various leased facilities under operating lease agreements. No material leases were executed during the three months ended June 30, 2023. See Note 5. </w:t>
      </w:r>
      <w:r>
        <w:rPr>
          <w:rFonts w:ascii="Arial;sans-serif" w:hAnsi="Arial;sans-serif"/>
          <w:b w:val="false"/>
          <w:i/>
          <w:color w:val="000000"/>
          <w:sz w:val="18"/>
        </w:rPr>
        <w:t>Leases</w:t>
      </w:r>
      <w:r>
        <w:rPr>
          <w:color w:val="000000"/>
        </w:rPr>
        <w:t xml:space="preserve"> </w:t>
      </w:r>
      <w:r>
        <w:rPr>
          <w:rFonts w:ascii="Arial;sans-serif" w:hAnsi="Arial;sans-serif"/>
          <w:b w:val="false"/>
          <w:color w:val="000000"/>
          <w:sz w:val="18"/>
        </w:rPr>
        <w:t>in the Company's Form 10-K for more information on the Company's leases and the future minimum lease payments.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Purchase Obligations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During the three months ended June 30, 2023, the Company entered into a $28.1 million noncancellable three-year hosting services contract. Under this agreement, $5.7 million remains due during fiscal 2024, $10.0 million will be due during fiscal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and $10.5 million will be due during fiscal 2026. The total contractual minimum commitments were approximately $70.0 million as of June 30, 2023.</w:t>
      </w:r>
    </w:p>
    <w:p>
      <w:pPr>
        <w:pStyle w:val="TextBody"/>
        <w:bidi w:val="0"/>
        <w:spacing w:lineRule="auto" w:line="288" w:before="120" w:after="120"/>
        <w:jc w:val="left"/>
        <w:rPr>
          <w:rFonts w:ascii="Arial;sans-serif" w:hAnsi="Arial;sans-serif"/>
          <w:b w:val="false"/>
          <w:i/>
          <w:color w:val="000000"/>
          <w:sz w:val="18"/>
        </w:rPr>
      </w:pPr>
      <w:r>
        <w:rPr>
          <w:rFonts w:ascii="Arial;sans-serif" w:hAnsi="Arial;sans-serif"/>
          <w:b w:val="false"/>
          <w:i/>
          <w:color w:val="000000"/>
          <w:sz w:val="18"/>
        </w:rPr>
        <w:t>Legal Proceedings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believes it has recorded adequate provisions for any such lawsuits and claims and proceedings as of June 30, 2023.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State and Local Taxes and Surcharges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As of June 30, 2023 and March 31, 2023, the Company had accrued contingent indirect tax liabilities of $13.8 million and $13.5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6. CONVERTIBLE SENIOR NOTES AND TERM LOAN</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2024 Notes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both June 30, 2023 and March 31, 2023, the Company had $63.3 million aggregate principal amount of 0.50% convertible senior notes due 2024 (the "2024 Notes") in a private placement, including the exercise in full of the initial purchasers' option to purchase additional notes. In August 2022, the Company used the proceeds from the issuance of the Term Loan (as defined below) to fund the cash portion of an exchange of the Company’s approximately $403.8 million aggregate principal amount of the 2024 Notes for cash plus approximately $201.9 million aggregate principal amount of the 2028 Notes (as defined below), and the concurrent repurchase of approximately $60.0 million of the Company’s common stock with the counterparties to such exchange.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2024 Notes are senior unsecured obligations of the Company, and interest is payable semiannually in arrears on February 1 and August 1 of each year. The Notes will mature on February 1, 2024, unless earlier repurchased, redeemed, or converted. During the three months ended June 30, 2023, the conditions allowing holders of the 2024 Notes to convert were not met. As of June 30, 2023, the Company was in compliance with all covenants set forth in the indenture governing the 2024 Notes.</w:t>
      </w:r>
    </w:p>
    <w:p>
      <w:pPr>
        <w:pStyle w:val="TextBody"/>
        <w:bidi w:val="0"/>
        <w:spacing w:lineRule="auto" w:line="288" w:before="120" w:after="60"/>
        <w:jc w:val="both"/>
        <w:rPr/>
      </w:pPr>
      <w:r>
        <w:rPr>
          <w:rFonts w:ascii="Arial;sans-serif" w:hAnsi="Arial;sans-serif"/>
          <w:b w:val="false"/>
          <w:color w:val="000000"/>
          <w:sz w:val="18"/>
        </w:rPr>
        <w:t xml:space="preserve">The following table presents the net carrying amount and fair value of the liability component of the 2024 Notes </w:t>
      </w:r>
      <w:r>
        <w:rPr>
          <w:rFonts w:ascii="Arial;sans-serif" w:hAnsi="Arial;sans-serif"/>
          <w:b w:val="false"/>
          <w:i/>
          <w:color w:val="000000"/>
          <w:sz w:val="18"/>
        </w:rPr>
        <w:t>(dollars in thousands)</w:t>
      </w:r>
      <w:r>
        <w:rPr>
          <w:rFonts w:ascii="Arial;sans-serif" w:hAnsi="Arial;sans-serif"/>
          <w:b w:val="false"/>
          <w:color w:val="000000"/>
          <w:sz w:val="18"/>
        </w:rPr>
        <w:t>:</w:t>
      </w:r>
    </w:p>
    <w:tbl>
      <w:tblPr>
        <w:tblW w:w="6716" w:type="dxa"/>
        <w:jc w:val="left"/>
        <w:tblInd w:w="0" w:type="dxa"/>
        <w:tblLayout w:type="fixed"/>
        <w:tblCellMar>
          <w:top w:w="28" w:type="dxa"/>
          <w:left w:w="28" w:type="dxa"/>
          <w:bottom w:w="28" w:type="dxa"/>
          <w:right w:w="28" w:type="dxa"/>
        </w:tblCellMar>
      </w:tblPr>
      <w:tblGrid>
        <w:gridCol w:w="1414"/>
        <w:gridCol w:w="1247"/>
        <w:gridCol w:w="1254"/>
        <w:gridCol w:w="237"/>
        <w:gridCol w:w="811"/>
        <w:gridCol w:w="122"/>
        <w:gridCol w:w="109"/>
        <w:gridCol w:w="109"/>
        <w:gridCol w:w="109"/>
        <w:gridCol w:w="213"/>
        <w:gridCol w:w="731"/>
        <w:gridCol w:w="360"/>
      </w:tblGrid>
      <w:tr>
        <w:trPr/>
        <w:tc>
          <w:tcPr>
            <w:tcW w:w="14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Principal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63,295 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Unamortized debt discount and issuance costs</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360" w:type="dxa"/>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carrying amount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63,039 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62,932 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debt discount and debt issuance costs are amortized to interest expense over the term of the 2024 Notes at an effective interest rate of 1.2%.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20" w:after="60"/>
        <w:jc w:val="both"/>
        <w:rPr/>
      </w:pPr>
      <w:r>
        <w:rPr>
          <w:rFonts w:ascii="Arial;sans-serif" w:hAnsi="Arial;sans-serif"/>
          <w:b w:val="false"/>
          <w:color w:val="000000"/>
          <w:sz w:val="18"/>
        </w:rPr>
        <w:t xml:space="preserve">Interest expense recognized related to the 2024 Notes was as follows </w:t>
      </w:r>
      <w:r>
        <w:rPr>
          <w:rFonts w:ascii="Arial;sans-serif" w:hAnsi="Arial;sans-serif"/>
          <w:b w:val="false"/>
          <w:i/>
          <w:color w:val="000000"/>
          <w:sz w:val="18"/>
        </w:rPr>
        <w:t>(dollars in thousands)</w:t>
      </w:r>
      <w:r>
        <w:rPr>
          <w:rFonts w:ascii="Arial;sans-serif" w:hAnsi="Arial;sans-serif"/>
          <w:b w:val="false"/>
          <w:color w:val="000000"/>
          <w:sz w:val="18"/>
        </w:rPr>
        <w:t>:</w:t>
      </w:r>
    </w:p>
    <w:tbl>
      <w:tblPr>
        <w:tblW w:w="7015" w:type="dxa"/>
        <w:jc w:val="left"/>
        <w:tblInd w:w="0" w:type="dxa"/>
        <w:tblLayout w:type="fixed"/>
        <w:tblCellMar>
          <w:top w:w="28" w:type="dxa"/>
          <w:left w:w="28" w:type="dxa"/>
          <w:bottom w:w="28" w:type="dxa"/>
          <w:right w:w="28" w:type="dxa"/>
        </w:tblCellMar>
      </w:tblPr>
      <w:tblGrid>
        <w:gridCol w:w="1478"/>
        <w:gridCol w:w="1297"/>
        <w:gridCol w:w="1305"/>
        <w:gridCol w:w="253"/>
        <w:gridCol w:w="559"/>
        <w:gridCol w:w="130"/>
        <w:gridCol w:w="130"/>
        <w:gridCol w:w="130"/>
        <w:gridCol w:w="130"/>
        <w:gridCol w:w="253"/>
        <w:gridCol w:w="739"/>
        <w:gridCol w:w="130"/>
        <w:gridCol w:w="109"/>
        <w:gridCol w:w="109"/>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Term Loan and Warrants</w:t>
      </w:r>
    </w:p>
    <w:p>
      <w:pPr>
        <w:pStyle w:val="TextBody"/>
        <w:bidi w:val="0"/>
        <w:spacing w:lineRule="auto" w:line="268" w:before="120" w:after="120"/>
        <w:jc w:val="both"/>
        <w:rPr/>
      </w:pPr>
      <w:r>
        <w:rPr>
          <w:rFonts w:ascii="Arial;sans-serif" w:hAnsi="Arial;sans-serif"/>
          <w:b w:val="false"/>
          <w:color w:val="000000"/>
          <w:sz w:val="18"/>
        </w:rPr>
        <w:t xml:space="preserve">As of June 30, 2023 and March 31, 2023, the Company had </w:t>
      </w:r>
      <w:r>
        <w:rPr>
          <w:rFonts w:ascii="Arial;sans-serif" w:hAnsi="Arial;sans-serif"/>
          <w:b w:val="false"/>
          <w:color w:val="000000"/>
          <w:sz w:val="18"/>
          <w:shd w:fill="FFFFFF" w:val="clear"/>
        </w:rPr>
        <w:t>$225.0 million</w:t>
      </w:r>
      <w:r>
        <w:rPr>
          <w:color w:val="000000"/>
        </w:rPr>
        <w:t xml:space="preserve"> </w:t>
      </w:r>
      <w:r>
        <w:rPr>
          <w:rFonts w:ascii="Arial;sans-serif" w:hAnsi="Arial;sans-serif"/>
          <w:b w:val="false"/>
          <w:color w:val="000000"/>
          <w:sz w:val="18"/>
        </w:rPr>
        <w:t xml:space="preserve">and </w:t>
      </w:r>
      <w:r>
        <w:rPr>
          <w:rFonts w:ascii="Arial;sans-serif" w:hAnsi="Arial;sans-serif"/>
          <w:b w:val="false"/>
          <w:color w:val="000000"/>
          <w:sz w:val="18"/>
          <w:shd w:fill="FFFFFF" w:val="clear"/>
        </w:rPr>
        <w:t>$250.0 million, respectively,</w:t>
      </w:r>
      <w:r>
        <w:rPr>
          <w:color w:val="000000"/>
        </w:rPr>
        <w:t xml:space="preserve"> </w:t>
      </w:r>
      <w:r>
        <w:rPr>
          <w:rFonts w:ascii="Arial;sans-serif" w:hAnsi="Arial;sans-serif"/>
          <w:b w:val="false"/>
          <w:color w:val="000000"/>
          <w:sz w:val="18"/>
        </w:rPr>
        <w:t>of principal amount outstanding in a senior secured term loan facility (the “Term Loan”) under a term loan credit agreement (the “Credit Agreement”) entered into on August 3, 2022 with Wilmington Savings Fund Society, FSB, as administrative agent, and certain affiliates of Francisco Partners (“FP”). The Term Loan matures on August 3, 2027 and bears interest at an annual rate equal to the term Standard Overnight Financing Rate ("Term SOFR") (subject to a floor of 1.00% and a credit spread adjustment of 0.10%), plus a margin of 6.50%. As of June 30, 2023, the effective interest rate for the Term Loan was 11.7%.</w:t>
      </w:r>
    </w:p>
    <w:p>
      <w:pPr>
        <w:pStyle w:val="TextBody"/>
        <w:bidi w:val="0"/>
        <w:spacing w:lineRule="auto" w:line="268" w:before="120" w:after="120"/>
        <w:jc w:val="both"/>
        <w:rPr/>
      </w:pPr>
      <w:r>
        <w:rPr>
          <w:rFonts w:ascii="Arial;sans-serif" w:hAnsi="Arial;sans-serif"/>
          <w:b w:val="false"/>
          <w:color w:val="000000"/>
          <w:sz w:val="18"/>
          <w:shd w:fill="FFFFFF" w:val="clear"/>
        </w:rPr>
        <w:t xml:space="preserve">On May 9, 2023, the Company voluntarily prepaid $25.0 million of principal amount outstanding and $0.2 million of accrued interest on the Term Loan. This payment had no impact on the Company's compliance with the Term Loan covenants. </w:t>
      </w:r>
      <w:r>
        <w:rPr>
          <w:rFonts w:ascii="Arial;sans-serif" w:hAnsi="Arial;sans-serif"/>
          <w:b w:val="false"/>
          <w:color w:val="000000"/>
          <w:sz w:val="18"/>
        </w:rPr>
        <w:t>As of June 30, 2023, the Company was in compliance with all covenants set forth in the credit agreement governing the Term Loan.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obligations under the Credit Agreement will be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connection with the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measured at fair value during each reporting period as the Warrants contain certain terms that could result in cash settlement as a result of events outside of the Company’s control. As of June 30, 2023 and March 31, 2023, the fair value of the Warrants was $5.7 million and $5.5 million, respectively, and was recorded within other liabilities, non-current on the condensed consolidated balance sheets.</w:t>
      </w:r>
    </w:p>
    <w:p>
      <w:pPr>
        <w:pStyle w:val="TextBody"/>
        <w:bidi w:val="0"/>
        <w:spacing w:lineRule="auto" w:line="288" w:before="120" w:after="60"/>
        <w:jc w:val="both"/>
        <w:rPr/>
      </w:pPr>
      <w:r>
        <w:rPr>
          <w:rFonts w:ascii="Arial;sans-serif" w:hAnsi="Arial;sans-serif"/>
          <w:b w:val="false"/>
          <w:color w:val="000000"/>
          <w:sz w:val="18"/>
        </w:rPr>
        <w:t xml:space="preserve">The following table presents the net carrying amount of the Term Loan </w:t>
      </w:r>
      <w:r>
        <w:rPr>
          <w:rFonts w:ascii="Arial;sans-serif" w:hAnsi="Arial;sans-serif"/>
          <w:b w:val="false"/>
          <w:i/>
          <w:color w:val="000000"/>
          <w:sz w:val="18"/>
        </w:rPr>
        <w:t>(dollars in thousands)</w:t>
      </w:r>
      <w:r>
        <w:rPr>
          <w:rFonts w:ascii="Arial;sans-serif" w:hAnsi="Arial;sans-serif"/>
          <w:b w:val="false"/>
          <w:color w:val="000000"/>
          <w:sz w:val="18"/>
        </w:rPr>
        <w:t>:</w:t>
      </w:r>
    </w:p>
    <w:tbl>
      <w:tblPr>
        <w:tblW w:w="6805" w:type="dxa"/>
        <w:jc w:val="left"/>
        <w:tblInd w:w="0" w:type="dxa"/>
        <w:tblLayout w:type="fixed"/>
        <w:tblCellMar>
          <w:top w:w="28" w:type="dxa"/>
          <w:left w:w="28" w:type="dxa"/>
          <w:bottom w:w="28" w:type="dxa"/>
          <w:right w:w="28" w:type="dxa"/>
        </w:tblCellMar>
      </w:tblPr>
      <w:tblGrid>
        <w:gridCol w:w="1414"/>
        <w:gridCol w:w="1247"/>
        <w:gridCol w:w="1254"/>
        <w:gridCol w:w="215"/>
        <w:gridCol w:w="844"/>
        <w:gridCol w:w="111"/>
        <w:gridCol w:w="109"/>
        <w:gridCol w:w="109"/>
        <w:gridCol w:w="109"/>
        <w:gridCol w:w="211"/>
        <w:gridCol w:w="826"/>
        <w:gridCol w:w="356"/>
      </w:tblGrid>
      <w:tr>
        <w:trPr/>
        <w:tc>
          <w:tcPr>
            <w:tcW w:w="14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Principal</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Unamortized debt discount and issuance costs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carrying amount</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209,534 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231,993 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pPr>
      <w:r>
        <w:rPr>
          <w:rFonts w:ascii="Arial;sans-serif" w:hAnsi="Arial;sans-serif"/>
          <w:b w:val="false"/>
          <w:color w:val="000000"/>
          <w:sz w:val="18"/>
        </w:rPr>
        <w:t xml:space="preserve">Interest expense recognized related to the Term Loans was as follows </w:t>
      </w:r>
      <w:r>
        <w:rPr>
          <w:rFonts w:ascii="Arial;sans-serif" w:hAnsi="Arial;sans-serif"/>
          <w:b w:val="false"/>
          <w:i/>
          <w:color w:val="000000"/>
          <w:sz w:val="18"/>
        </w:rPr>
        <w:t>(dollars in thousands)</w:t>
      </w:r>
      <w:r>
        <w:rPr>
          <w:rFonts w:ascii="Arial;sans-serif" w:hAnsi="Arial;sans-serif"/>
          <w:b w:val="false"/>
          <w:color w:val="000000"/>
          <w:sz w:val="18"/>
        </w:rPr>
        <w:t>:</w:t>
      </w:r>
    </w:p>
    <w:tbl>
      <w:tblPr>
        <w:tblW w:w="6097" w:type="dxa"/>
        <w:jc w:val="left"/>
        <w:tblInd w:w="0" w:type="dxa"/>
        <w:tblLayout w:type="fixed"/>
        <w:tblCellMar>
          <w:top w:w="28" w:type="dxa"/>
          <w:left w:w="28" w:type="dxa"/>
          <w:bottom w:w="28" w:type="dxa"/>
          <w:right w:w="28" w:type="dxa"/>
        </w:tblCellMar>
      </w:tblPr>
      <w:tblGrid>
        <w:gridCol w:w="1478"/>
        <w:gridCol w:w="1297"/>
        <w:gridCol w:w="1305"/>
        <w:gridCol w:w="395"/>
        <w:gridCol w:w="1155"/>
        <w:gridCol w:w="204"/>
        <w:gridCol w:w="109"/>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7,654 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2028 Notes</w:t>
      </w:r>
    </w:p>
    <w:p>
      <w:pPr>
        <w:pStyle w:val="TextBody"/>
        <w:bidi w:val="0"/>
        <w:spacing w:lineRule="auto" w:line="268" w:before="120" w:after="120"/>
        <w:jc w:val="both"/>
        <w:rPr>
          <w:rFonts w:ascii="Arial;sans-serif" w:hAnsi="Arial;sans-serif"/>
          <w:b w:val="false"/>
          <w:color w:val="000000"/>
          <w:sz w:val="18"/>
        </w:rPr>
      </w:pPr>
      <w:r>
        <w:rPr>
          <w:rFonts w:ascii="Arial;sans-serif" w:hAnsi="Arial;sans-serif"/>
          <w:b w:val="false"/>
          <w:color w:val="000000"/>
          <w:sz w:val="18"/>
        </w:rPr>
        <w:t>As of June 30, 2023 and March 31, 2023, the Company had $201.9 million aggregate principal amount of 4.00% convertible senior notes due 2028 (the “2028 Notes”), with debt issuance costs of approximately $5.6 million, of which 50% was paid in the form of shares of the Company's common stock.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2028 Notes are senior obligations of the Company that accrue interest, payable semi-annually in arrears on February 1 and August 1 of each year. The 2028 Notes will mature on February 1, 2028, unless earlier converted, redeemed or repurchased. As of June 30, 2023, the Company was in compliance with all covenants set forth in the indenture governing the 2028 Notes.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debt discount and debt issuance costs are amortized to interest expense over the term of the 2028 Notes at an effective interest rate of 4.7%.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20" w:after="60"/>
        <w:jc w:val="both"/>
        <w:rPr/>
      </w:pPr>
      <w:r>
        <w:rPr>
          <w:rFonts w:ascii="Arial;sans-serif" w:hAnsi="Arial;sans-serif"/>
          <w:b w:val="false"/>
          <w:color w:val="000000"/>
          <w:sz w:val="18"/>
        </w:rPr>
        <w:t xml:space="preserve">The following table presents the net carrying amount of the 2028 Notes </w:t>
      </w:r>
      <w:r>
        <w:rPr>
          <w:rFonts w:ascii="Arial;sans-serif" w:hAnsi="Arial;sans-serif"/>
          <w:b w:val="false"/>
          <w:i/>
          <w:color w:val="000000"/>
          <w:sz w:val="18"/>
        </w:rPr>
        <w:t>(dollars in thousands)</w:t>
      </w:r>
      <w:r>
        <w:rPr>
          <w:rFonts w:ascii="Arial;sans-serif" w:hAnsi="Arial;sans-serif"/>
          <w:b w:val="false"/>
          <w:color w:val="000000"/>
          <w:sz w:val="18"/>
        </w:rPr>
        <w:t>:</w:t>
      </w:r>
    </w:p>
    <w:tbl>
      <w:tblPr>
        <w:tblW w:w="6805" w:type="dxa"/>
        <w:jc w:val="left"/>
        <w:tblInd w:w="0" w:type="dxa"/>
        <w:tblLayout w:type="fixed"/>
        <w:tblCellMar>
          <w:top w:w="28" w:type="dxa"/>
          <w:left w:w="28" w:type="dxa"/>
          <w:bottom w:w="28" w:type="dxa"/>
          <w:right w:w="28" w:type="dxa"/>
        </w:tblCellMar>
      </w:tblPr>
      <w:tblGrid>
        <w:gridCol w:w="1414"/>
        <w:gridCol w:w="1247"/>
        <w:gridCol w:w="1254"/>
        <w:gridCol w:w="215"/>
        <w:gridCol w:w="844"/>
        <w:gridCol w:w="111"/>
        <w:gridCol w:w="109"/>
        <w:gridCol w:w="109"/>
        <w:gridCol w:w="109"/>
        <w:gridCol w:w="211"/>
        <w:gridCol w:w="826"/>
        <w:gridCol w:w="356"/>
      </w:tblGrid>
      <w:tr>
        <w:trPr/>
        <w:tc>
          <w:tcPr>
            <w:tcW w:w="14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Principal</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201,914 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201,914 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Unamortized debt discount and issuance costs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(4,866)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(5,093)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carrying amount</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197,048 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196,821 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left"/>
        <w:rPr/>
      </w:pPr>
      <w:r>
        <w:rPr>
          <w:rFonts w:ascii="Arial;sans-serif" w:hAnsi="Arial;sans-serif"/>
          <w:b w:val="false"/>
          <w:color w:val="000000"/>
          <w:sz w:val="18"/>
        </w:rPr>
        <w:t xml:space="preserve">Interest expense recognized related to the 2028 Notes was as follows </w:t>
      </w:r>
      <w:r>
        <w:rPr>
          <w:rFonts w:ascii="Arial;sans-serif" w:hAnsi="Arial;sans-serif"/>
          <w:b w:val="false"/>
          <w:i/>
          <w:color w:val="000000"/>
          <w:sz w:val="18"/>
        </w:rPr>
        <w:t>(dollars in thousands)</w:t>
      </w:r>
      <w:r>
        <w:rPr>
          <w:rFonts w:ascii="Arial;sans-serif" w:hAnsi="Arial;sans-serif"/>
          <w:b w:val="false"/>
          <w:color w:val="000000"/>
          <w:sz w:val="18"/>
        </w:rPr>
        <w:t>:</w:t>
      </w:r>
    </w:p>
    <w:tbl>
      <w:tblPr>
        <w:tblW w:w="6517" w:type="dxa"/>
        <w:jc w:val="left"/>
        <w:tblInd w:w="0" w:type="dxa"/>
        <w:tblLayout w:type="fixed"/>
        <w:tblCellMar>
          <w:top w:w="28" w:type="dxa"/>
          <w:left w:w="28" w:type="dxa"/>
          <w:bottom w:w="28" w:type="dxa"/>
          <w:right w:w="28" w:type="dxa"/>
        </w:tblCellMar>
      </w:tblPr>
      <w:tblGrid>
        <w:gridCol w:w="1478"/>
        <w:gridCol w:w="1297"/>
        <w:gridCol w:w="1305"/>
        <w:gridCol w:w="395"/>
        <w:gridCol w:w="1155"/>
        <w:gridCol w:w="204"/>
        <w:gridCol w:w="109"/>
        <w:gridCol w:w="109"/>
        <w:gridCol w:w="109"/>
        <w:gridCol w:w="356"/>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2,014 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ind w:left="0" w:right="0" w:firstLine="225"/>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2,241 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18"/>
        </w:rPr>
      </w:pPr>
      <w:r>
        <w:rPr>
          <w:rFonts w:ascii="Arial;sans-serif" w:hAnsi="Arial;sans-serif"/>
          <w:b/>
          <w:color w:val="000000"/>
          <w:sz w:val="18"/>
        </w:rPr>
        <w:t>7. STOCK-BASED COMPENSATION AND STOCKHOLDERS' EQUITY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accounts for stock-based compensation through the measurement and recognition of compensation expense for share-based payment awards made to employees, directors or consultants over the related requisite service period, including stock appreciation rights, restricted stock, restricted stock units ("RSUs") and performance units ("PSUs"), qualified performance-based awards, and stock grants (all issuable under the Company's equity incentive plans).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July 2022, the Company's board of directors and the majority of the Company's stockholders approved increasing the number of authorized shares of the Company’s common stock from 200,000,000 authorized shares to 300,000,000 authorized shares. The additional shares of common stock authorized have rights identical to the Company’s outstanding common stock.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May 26, 2022, the Company's board of directors approved the 2022 Equity Incentive Plan (the "2022 Plan"), which was adopted by the Company's stockholders on July 12, 2022. The Company reserved 8.0 million shares of the Company's common stock for issuance under the 2022 Plan plus the number of shares subject to awards that were outstanding under the 2012 Plan as of 12:01 a.m. Pacific Time on June 22, 2022 (the “Prior Plan Expiration Time”), to the extent that, after the Prior Plan Expiration Time, such shares would have recycled back to the 2012 Plan (as defined below) in connection with the awards’ expiration, termination, cancellation, forfeiture, or repurchase, as described further below, and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or four years and expire ten years after the grant. As of June 30, 2023, 1,860,669 shares remained available for future grants under the 2022 Plan.</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Stock-Based Compensation</w:t>
      </w:r>
    </w:p>
    <w:p>
      <w:pPr>
        <w:pStyle w:val="TextBody"/>
        <w:bidi w:val="0"/>
        <w:spacing w:lineRule="auto" w:line="288" w:before="120" w:after="60"/>
        <w:jc w:val="both"/>
        <w:rPr/>
      </w:pPr>
      <w:r>
        <w:rPr>
          <w:rFonts w:ascii="Arial;sans-serif" w:hAnsi="Arial;sans-serif"/>
          <w:b w:val="false"/>
          <w:color w:val="000000"/>
          <w:sz w:val="18"/>
        </w:rPr>
        <w:t xml:space="preserve">The following table presents stock-based compensation expense </w:t>
      </w:r>
      <w:r>
        <w:rPr>
          <w:rFonts w:ascii="Arial;sans-serif" w:hAnsi="Arial;sans-serif"/>
          <w:b w:val="false"/>
          <w:i/>
          <w:color w:val="000000"/>
          <w:sz w:val="18"/>
        </w:rPr>
        <w:t>(dollars in thousands)</w:t>
      </w:r>
      <w:r>
        <w:rPr>
          <w:rFonts w:ascii="Arial;sans-serif" w:hAnsi="Arial;sans-serif"/>
          <w:b w:val="false"/>
          <w:color w:val="000000"/>
          <w:sz w:val="18"/>
        </w:rPr>
        <w:t>:</w:t>
      </w:r>
    </w:p>
    <w:tbl>
      <w:tblPr>
        <w:tblW w:w="5323" w:type="dxa"/>
        <w:jc w:val="left"/>
        <w:tblInd w:w="0" w:type="dxa"/>
        <w:tblLayout w:type="fixed"/>
        <w:tblCellMar>
          <w:top w:w="28" w:type="dxa"/>
          <w:left w:w="28" w:type="dxa"/>
          <w:bottom w:w="28" w:type="dxa"/>
          <w:right w:w="28" w:type="dxa"/>
        </w:tblCellMar>
      </w:tblPr>
      <w:tblGrid>
        <w:gridCol w:w="863"/>
        <w:gridCol w:w="758"/>
        <w:gridCol w:w="764"/>
        <w:gridCol w:w="215"/>
        <w:gridCol w:w="736"/>
        <w:gridCol w:w="111"/>
        <w:gridCol w:w="111"/>
        <w:gridCol w:w="111"/>
        <w:gridCol w:w="111"/>
        <w:gridCol w:w="215"/>
        <w:gridCol w:w="736"/>
        <w:gridCol w:w="111"/>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other revenue</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18,195 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Restricted Stock Units</w:t>
      </w:r>
    </w:p>
    <w:p>
      <w:pPr>
        <w:pStyle w:val="TextBody"/>
        <w:bidi w:val="0"/>
        <w:spacing w:lineRule="auto" w:line="288" w:before="120" w:after="60"/>
        <w:jc w:val="both"/>
        <w:rPr/>
      </w:pPr>
      <w:r>
        <w:rPr>
          <w:rFonts w:ascii="Arial;sans-serif" w:hAnsi="Arial;sans-serif"/>
          <w:b w:val="false"/>
          <w:color w:val="000000"/>
          <w:sz w:val="18"/>
        </w:rPr>
        <w:t>The following table presents the RSU activity (</w:t>
      </w:r>
      <w:r>
        <w:rPr>
          <w:rFonts w:ascii="Arial;sans-serif" w:hAnsi="Arial;sans-serif"/>
          <w:b w:val="false"/>
          <w:i/>
          <w:color w:val="000000"/>
          <w:sz w:val="18"/>
        </w:rPr>
        <w:t>shares in thousands</w:t>
      </w:r>
      <w:r>
        <w:rPr>
          <w:rFonts w:ascii="Arial;sans-serif" w:hAnsi="Arial;sans-serif"/>
          <w:b w:val="false"/>
          <w:color w:val="000000"/>
          <w:sz w:val="18"/>
        </w:rPr>
        <w:t>):</w:t>
      </w:r>
    </w:p>
    <w:tbl>
      <w:tblPr>
        <w:tblW w:w="7510" w:type="dxa"/>
        <w:jc w:val="left"/>
        <w:tblInd w:w="0" w:type="dxa"/>
        <w:tblLayout w:type="fixed"/>
        <w:tblCellMar>
          <w:top w:w="28" w:type="dxa"/>
          <w:left w:w="28" w:type="dxa"/>
          <w:bottom w:w="28" w:type="dxa"/>
          <w:right w:w="28" w:type="dxa"/>
        </w:tblCellMar>
      </w:tblPr>
      <w:tblGrid>
        <w:gridCol w:w="922"/>
        <w:gridCol w:w="810"/>
        <w:gridCol w:w="817"/>
        <w:gridCol w:w="360"/>
        <w:gridCol w:w="361"/>
        <w:gridCol w:w="316"/>
        <w:gridCol w:w="109"/>
        <w:gridCol w:w="109"/>
        <w:gridCol w:w="109"/>
        <w:gridCol w:w="327"/>
        <w:gridCol w:w="793"/>
        <w:gridCol w:w="170"/>
        <w:gridCol w:w="109"/>
        <w:gridCol w:w="109"/>
        <w:gridCol w:w="109"/>
        <w:gridCol w:w="579"/>
        <w:gridCol w:w="579"/>
        <w:gridCol w:w="822"/>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Remaining Contractual</w:t>
              <w:br/>
              <w:t>Term (in Years)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released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2023, there was $69.6 million of total unrecognized compensation cost related to RSUs, which is expected to be recognized over a weighted average of 2.18 years.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Performance Stock Units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PSUs are issued to a group of executives with vesting that is contingent on both market performance and continued service. The PSUs generally vest over periods ranging from one to three years based on Total Shareholder Return ("TSR"), as measured relative to specified market indices during the period from grant date through vesting date. A 2x multiplier will be applied for each percentage point of positive or negative relative TSR, such that the number of shares of common stock earned will increase or decrease by 2% of the target number of shares, subject to a maximum of 200% of the target number of shares. In the event that the Company’s relative TSR performance is less than negative 30%, relative to the specified index, no shares will be earned for the applicable performance period. All PSU awards vest at the end of the respective performance periods, for those executives with continued service.</w:t>
      </w:r>
    </w:p>
    <w:p>
      <w:pPr>
        <w:pStyle w:val="TextBody"/>
        <w:bidi w:val="0"/>
        <w:spacing w:lineRule="auto" w:line="288" w:before="120" w:after="60"/>
        <w:jc w:val="both"/>
        <w:rPr/>
      </w:pPr>
      <w:r>
        <w:rPr>
          <w:rFonts w:ascii="Arial;sans-serif" w:hAnsi="Arial;sans-serif"/>
          <w:b w:val="false"/>
          <w:color w:val="000000"/>
          <w:sz w:val="18"/>
        </w:rPr>
        <w:t>The following table presents the PSU activity (</w:t>
      </w:r>
      <w:r>
        <w:rPr>
          <w:rFonts w:ascii="Arial;sans-serif" w:hAnsi="Arial;sans-serif"/>
          <w:b w:val="false"/>
          <w:i/>
          <w:color w:val="000000"/>
          <w:sz w:val="18"/>
        </w:rPr>
        <w:t>shares in thousands</w:t>
      </w:r>
      <w:r>
        <w:rPr>
          <w:rFonts w:ascii="Arial;sans-serif" w:hAnsi="Arial;sans-serif"/>
          <w:b w:val="false"/>
          <w:color w:val="000000"/>
          <w:sz w:val="18"/>
        </w:rPr>
        <w:t>):</w:t>
      </w:r>
    </w:p>
    <w:tbl>
      <w:tblPr>
        <w:tblW w:w="7417" w:type="dxa"/>
        <w:jc w:val="left"/>
        <w:tblInd w:w="0" w:type="dxa"/>
        <w:tblLayout w:type="fixed"/>
        <w:tblCellMar>
          <w:top w:w="28" w:type="dxa"/>
          <w:left w:w="28" w:type="dxa"/>
          <w:bottom w:w="28" w:type="dxa"/>
          <w:right w:w="28" w:type="dxa"/>
        </w:tblCellMar>
      </w:tblPr>
      <w:tblGrid>
        <w:gridCol w:w="922"/>
        <w:gridCol w:w="810"/>
        <w:gridCol w:w="817"/>
        <w:gridCol w:w="314"/>
        <w:gridCol w:w="314"/>
        <w:gridCol w:w="316"/>
        <w:gridCol w:w="109"/>
        <w:gridCol w:w="109"/>
        <w:gridCol w:w="109"/>
        <w:gridCol w:w="291"/>
        <w:gridCol w:w="849"/>
        <w:gridCol w:w="150"/>
        <w:gridCol w:w="109"/>
        <w:gridCol w:w="109"/>
        <w:gridCol w:w="109"/>
        <w:gridCol w:w="579"/>
        <w:gridCol w:w="579"/>
        <w:gridCol w:w="822"/>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Remaining Contractual</w:t>
              <w:br/>
              <w:t>Term (in Years)</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March 31, 2023</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6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Total unrecognized compensation cost related to PSUs was $12.6 million as of June 30, 2023, which is expected to be recognized over a weighted average of 3.40 years.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Employee Stock Purchase Plan ("ESPP")</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2023, there was approximately $0.4 million of unrecognized compensation cost related to employee stock purchases. This cost is expected to be recognized over a weighted average period of 0.1 years. In July 2022, the Company added 3.6 million shares to the ESPP for future issuances, and, as of June 30, 2023, a total of 1.3 million shares were available for issuance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8. INCOME TAXES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The Company's effective tax rate was 10.4% and 1.6% for the three months ended June 30, 2023 and 2022, respectively. The difference in the effective tax rate and the U.S. federal statutory rate was primarily due to the full valuation allowance the Company maintains against its deferred tax assets after adjusting for the impact of certain provisions enacted under the Tax Cuts and Jobs Act, current tax liabilities of profitable foreign subsidiaries subject to different local income tax rates, and state taxes in the United States. The effective tax rate is calculated by dividing the Provision for income taxes by the Loss before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9. NET LOSS PER SHARE</w:t>
      </w:r>
    </w:p>
    <w:p>
      <w:pPr>
        <w:pStyle w:val="TextBody"/>
        <w:bidi w:val="0"/>
        <w:spacing w:lineRule="auto" w:line="288" w:before="120" w:after="60"/>
        <w:jc w:val="both"/>
        <w:rPr/>
      </w:pPr>
      <w:r>
        <w:rPr>
          <w:rFonts w:ascii="Arial;sans-serif" w:hAnsi="Arial;sans-serif"/>
          <w:b w:val="false"/>
          <w:color w:val="000000"/>
          <w:sz w:val="18"/>
        </w:rPr>
        <w:t>The following is a reconciliation of the weighted average number of common shares outstanding used in calculating basic and diluted net loss per share (</w:t>
      </w:r>
      <w:r>
        <w:rPr>
          <w:rFonts w:ascii="Arial;sans-serif" w:hAnsi="Arial;sans-serif"/>
          <w:b w:val="false"/>
          <w:i/>
          <w:color w:val="000000"/>
          <w:sz w:val="18"/>
        </w:rPr>
        <w:t>in thousands, except per share data</w:t>
      </w:r>
      <w:r>
        <w:rPr>
          <w:rFonts w:ascii="Arial;sans-serif" w:hAnsi="Arial;sans-serif"/>
          <w:b w:val="false"/>
          <w:color w:val="000000"/>
          <w:sz w:val="18"/>
        </w:rPr>
        <w:t>):</w:t>
      </w:r>
    </w:p>
    <w:tbl>
      <w:tblPr>
        <w:tblW w:w="8450" w:type="dxa"/>
        <w:jc w:val="left"/>
        <w:tblInd w:w="0" w:type="dxa"/>
        <w:tblLayout w:type="fixed"/>
        <w:tblCellMar>
          <w:top w:w="28" w:type="dxa"/>
          <w:left w:w="28" w:type="dxa"/>
          <w:bottom w:w="28" w:type="dxa"/>
          <w:right w:w="28" w:type="dxa"/>
        </w:tblCellMar>
      </w:tblPr>
      <w:tblGrid>
        <w:gridCol w:w="1991"/>
        <w:gridCol w:w="1746"/>
        <w:gridCol w:w="1782"/>
        <w:gridCol w:w="211"/>
        <w:gridCol w:w="796"/>
        <w:gridCol w:w="109"/>
        <w:gridCol w:w="109"/>
        <w:gridCol w:w="109"/>
        <w:gridCol w:w="109"/>
        <w:gridCol w:w="211"/>
        <w:gridCol w:w="796"/>
        <w:gridCol w:w="109"/>
        <w:gridCol w:w="109"/>
        <w:gridCol w:w="109"/>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basic and diluted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pPr>
      <w:r>
        <w:rPr>
          <w:rFonts w:ascii="Arial;sans-serif" w:hAnsi="Arial;sans-serif"/>
          <w:b w:val="false"/>
          <w:color w:val="000000"/>
          <w:sz w:val="18"/>
        </w:rPr>
        <w:t>The following potentially dilutive common shares were excluded from the calculation of diluted earnings per share because their inclusion would have been anti-dilutive (</w:t>
      </w:r>
      <w:r>
        <w:rPr>
          <w:rFonts w:ascii="Arial;sans-serif" w:hAnsi="Arial;sans-serif"/>
          <w:b w:val="false"/>
          <w:i/>
          <w:color w:val="000000"/>
          <w:sz w:val="18"/>
        </w:rPr>
        <w:t>shares in thousands</w:t>
      </w:r>
      <w:r>
        <w:rPr>
          <w:rFonts w:ascii="Arial;sans-serif" w:hAnsi="Arial;sans-serif"/>
          <w:b w:val="false"/>
          <w:color w:val="000000"/>
          <w:sz w:val="18"/>
        </w:rPr>
        <w:t>):</w:t>
      </w:r>
    </w:p>
    <w:tbl>
      <w:tblPr>
        <w:tblW w:w="7082" w:type="dxa"/>
        <w:jc w:val="left"/>
        <w:tblInd w:w="0" w:type="dxa"/>
        <w:tblLayout w:type="fixed"/>
        <w:tblCellMar>
          <w:top w:w="28" w:type="dxa"/>
          <w:left w:w="28" w:type="dxa"/>
          <w:bottom w:w="28" w:type="dxa"/>
          <w:right w:w="28" w:type="dxa"/>
        </w:tblCellMar>
      </w:tblPr>
      <w:tblGrid>
        <w:gridCol w:w="1521"/>
        <w:gridCol w:w="1334"/>
        <w:gridCol w:w="1345"/>
        <w:gridCol w:w="411"/>
        <w:gridCol w:w="310"/>
        <w:gridCol w:w="266"/>
        <w:gridCol w:w="266"/>
        <w:gridCol w:w="266"/>
        <w:gridCol w:w="266"/>
        <w:gridCol w:w="411"/>
        <w:gridCol w:w="310"/>
        <w:gridCol w:w="376"/>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Performance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Potential shares attributable to the 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anti-dilutive shares</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18,929 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18,632 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10. GEOGRAPHICAL INFORMATION</w:t>
      </w:r>
    </w:p>
    <w:p>
      <w:pPr>
        <w:pStyle w:val="TextBody"/>
        <w:bidi w:val="0"/>
        <w:spacing w:lineRule="auto" w:line="288" w:before="120" w:after="60"/>
        <w:jc w:val="both"/>
        <w:rPr/>
      </w:pPr>
      <w:r>
        <w:rPr>
          <w:rFonts w:ascii="Arial;sans-serif" w:hAnsi="Arial;sans-serif"/>
          <w:b w:val="false"/>
          <w:color w:val="000000"/>
          <w:sz w:val="18"/>
        </w:rPr>
        <w:t xml:space="preserve">The following tables set forth the geographic information for each period </w:t>
      </w:r>
      <w:r>
        <w:rPr>
          <w:rFonts w:ascii="Arial;sans-serif" w:hAnsi="Arial;sans-serif"/>
          <w:b w:val="false"/>
          <w:i/>
          <w:color w:val="000000"/>
          <w:sz w:val="18"/>
        </w:rPr>
        <w:t>(dollars in thousands)</w:t>
      </w:r>
      <w:r>
        <w:rPr>
          <w:rFonts w:ascii="Arial;sans-serif" w:hAnsi="Arial;sans-serif"/>
          <w:b w:val="false"/>
          <w:color w:val="000000"/>
          <w:sz w:val="18"/>
        </w:rPr>
        <w:t>:</w:t>
      </w:r>
    </w:p>
    <w:tbl>
      <w:tblPr>
        <w:tblW w:w="4235" w:type="dxa"/>
        <w:jc w:val="left"/>
        <w:tblInd w:w="0" w:type="dxa"/>
        <w:tblLayout w:type="fixed"/>
        <w:tblCellMar>
          <w:top w:w="28" w:type="dxa"/>
          <w:left w:w="28" w:type="dxa"/>
          <w:bottom w:w="28" w:type="dxa"/>
          <w:right w:w="28" w:type="dxa"/>
        </w:tblCellMar>
      </w:tblPr>
      <w:tblGrid>
        <w:gridCol w:w="450"/>
        <w:gridCol w:w="395"/>
        <w:gridCol w:w="399"/>
        <w:gridCol w:w="211"/>
        <w:gridCol w:w="826"/>
        <w:gridCol w:w="109"/>
        <w:gridCol w:w="109"/>
        <w:gridCol w:w="109"/>
        <w:gridCol w:w="109"/>
        <w:gridCol w:w="211"/>
        <w:gridCol w:w="826"/>
        <w:gridCol w:w="109"/>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666" w:type="dxa"/>
        <w:jc w:val="left"/>
        <w:tblInd w:w="0" w:type="dxa"/>
        <w:tblLayout w:type="fixed"/>
        <w:tblCellMar>
          <w:top w:w="28" w:type="dxa"/>
          <w:left w:w="28" w:type="dxa"/>
          <w:bottom w:w="28" w:type="dxa"/>
          <w:right w:w="28" w:type="dxa"/>
        </w:tblCellMar>
      </w:tblPr>
      <w:tblGrid>
        <w:gridCol w:w="1035"/>
        <w:gridCol w:w="910"/>
        <w:gridCol w:w="919"/>
        <w:gridCol w:w="237"/>
        <w:gridCol w:w="811"/>
        <w:gridCol w:w="122"/>
        <w:gridCol w:w="109"/>
        <w:gridCol w:w="109"/>
        <w:gridCol w:w="109"/>
        <w:gridCol w:w="253"/>
        <w:gridCol w:w="867"/>
        <w:gridCol w:w="185"/>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632" w:type="dxa"/>
            <w:gridSpan w:val="6"/>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51,016 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and equipment, net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54,538 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57,871 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11. RELATED PARTY TRANSACTIONS</w:t>
      </w:r>
    </w:p>
    <w:p>
      <w:pPr>
        <w:pStyle w:val="TextBody"/>
        <w:bidi w:val="0"/>
        <w:spacing w:lineRule="auto" w:line="288" w:before="120" w:after="360"/>
        <w:jc w:val="both"/>
        <w:rPr>
          <w:rFonts w:ascii="Arial;sans-serif" w:hAnsi="Arial;sans-serif"/>
          <w:b w:val="false"/>
          <w:color w:val="000000"/>
          <w:sz w:val="18"/>
        </w:rPr>
      </w:pPr>
      <w:r>
        <w:rPr>
          <w:rFonts w:ascii="Arial;sans-serif" w:hAnsi="Arial;sans-serif"/>
          <w:b w:val="false"/>
          <w:color w:val="000000"/>
          <w:sz w:val="18"/>
        </w:rPr>
        <w:t>The Company has been doing business with an outside sales and marketing vendor since December 2017, which became a related party in July 2022 when a member of the Company's board of directors joined the vendor's board of directors. The Company has a two-year contract with this vendor valued at $1.4 million and paid $0.7 million during fiscal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360" w:after="240"/>
        <w:jc w:val="left"/>
        <w:rPr>
          <w:rFonts w:ascii="Arial;sans-serif" w:hAnsi="Arial;sans-serif"/>
          <w:b/>
          <w:color w:val="000000"/>
          <w:sz w:val="18"/>
        </w:rPr>
      </w:pPr>
      <w:bookmarkStart w:id="9" w:name="i72d438014af847349c4bf984e4a35729_243"/>
      <w:bookmarkEnd w:id="9"/>
      <w:r>
        <w:rPr>
          <w:rFonts w:ascii="Arial;sans-serif" w:hAnsi="Arial;sans-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Arial;sans-serif" w:hAnsi="Arial;sans-serif"/>
          <w:b w:val="false"/>
          <w:i/>
          <w:color w:val="000000"/>
          <w:sz w:val="18"/>
        </w:rPr>
      </w:pPr>
      <w:r>
        <w:rPr>
          <w:rFonts w:ascii="Arial;sans-serif" w:hAnsi="Arial;sans-serif"/>
          <w:b w:val="false"/>
          <w:i/>
          <w:color w:val="000000"/>
          <w:sz w:val="18"/>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particularly those set forth under the section entitled "Risk Factors" in the Form 10-K.</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are a leading provider of software-as-a-service ("SaaS") solutions for contact center, voice communications, video meetings, employee collaboration, and embeddable communication application program interfaces ("APIs"). Our solutions empower workforces worldwide by connecting individuals and teams so they can collaborate faster, work smarter, and better serve customers, from any location. The communications capabilities and advanced AI/ML (artificial intelligence/machine learning) technologies of our contact center, communication and collaboration solutions are integrated into a comprehensive cloud-based offering powered by our global communications platform, which together comprise our 8x8 XCaaS platform solution. The XCaaS platform delivers our unified communications ("UCaaS"), contact center ("CCaaS") and communication APIs ("CPaaS") services and includes AI-driven digital assistance, intuitive user interfaces, and real-time business analytics and intelligence, enabling organizations of all sizes to design, deploy and adapt tailored communications and workflows for differentiated employee and customer experiences.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8x8 XCaaS platform offers a complete cloud technology stack. It delivers the security, scalability, high availability, and ease-of-use of a modern cloud-based architecture while masking the complexity of a global communications infrastructure. A consistent data layer across the platform powers 8x8 AI/ML algorithms, as well as vertical-specific and purpose-built AI applications from our ecosystem of technology partners, to deliver data-driven business insights and intelligent integrated applications that drive employee productivity, resource optimization, and more effective end-customer interactions through simplified and automated workflows. Built from core cloud technologies that we own and manage internally and integrated with third-party applications from our technology partners, our XCaaS platform enables agile workplaces and fosters seamless communications and collaboration between an organization’s customers, contact center agents, and employees, regardless of geographic location.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customers use our XCaaS platform to create tailored employee and customer experiences that increase productivity, improve responsiveness, and elevate customer and employee satisfaction and loyalty. Our service plans are structured with increasing levels of functionality and are designated as X1, X2, etc., through X8, based on the specific communication needs and customer engagement profile of each user.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Because our XCaaS platform includes UCaaS, CCaaS and CPaaS and serves as a single integration framework for communications across an organization, customers can reduce costs associated with provisioning and management, increase customization based on use cases, and facilitate compliance with security and data privacy requirements on a global scale. In fiscal 2023, we introduced platform-wide integration of generative AI from OpenAI, making it easier for organizations to unlock the potential of generative AI to personalize self-service, bot-based and agent-based customer engagements. The XCaaS platform also integrates with a growing ecosystem of third-party applications, ranging from purpose-built and vertically-focused AI-based applications to broadly deployed customer relationship management (CRM) platforms and leading customer engagement and workforce management software.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open approach to third party integrations and platform-wide enablement of generative AI, combined with flexibility to “mix and match” functionality based on users’ communication requirements and customer engagement profiles, allows organizations of all sizes to design and deploy tailored user experiences previously reserved to very large enterprises.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customers range from small businesses to large enterprises across all vertical markets, with users in more than 180 countries. In recent years, we have increased our focus on mid-market, small and medium enterprise, and public sector customers because these organizations typically have more complex communication and contact center requirements compared to the needs of small business customers. Organizations in these sectors – typically with 500 to 10,000 employees – are more likely to adopt multiple services and realize greater value from our unified, global communications platform and portfolio of AI-enabled solutions.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We generate service revenue from subscriptions to our communications services subscriptions and platform usage. 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SUMMARY AND OUTLOOK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first quarter of fiscal 2024, our total revenue decreased $4.3 million, or approximately 2% year-over-year, to $183.3 million primarily due to a $3.9 million decrease in our service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part of our long-term strategy to expand our enterprise customer base, grow our revenue, achieve profitability and increase our cash flow, we have focused on reducing the cost of delivering our services and improving our sales efficiency while increasing our investment in research and development. To improve our sales efficiency, we have focused our sales and marketing resources on mid-market and enterprise customers, since these customers are likely to derive the greatest benefit from our unified XCaaS platform. We have also expanded our partner programs to extend our reach within this market, placing increased emphasis on developing a community of value-added resellers who provide implementation services and Tier 1 customer support in addition to sales. To support our customers and partners, we are expanding our customer success organization and investing in improvements to our back-office processes in order to increase our operational efficiency over time.</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believe that continued innovation is a critical factor in attracting and retaining mid-market and enterprise customers and is an important variable in achieving sustainable growth. We are committed to maintaining a high level of investment in engineering to deliver product innovation across our XCaaS platform, expand our ecosystem of integrations, and maintain the high availability our customers require. Approximately two-thirds of our investment in research and development is focused on extending the contact center capabilities of our XCaaS platform, including AI integrations, user experiences, and advanced data capture and analytics.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use annualized recurring and usage revenue ("ARR") to measure the success of our strategy to attract and retain customers. Total ARR as of June 30, 2023 was $703.0 million and increased 2% from the end of the first quarter of fiscal 2023. ARR from mid-market and enterprise customers represented 76% of total ARR and increased 1% compared to the end of the first quarter of fiscal 2023. We define enterprise customers as customers generating more than $100,000 in ARR, mid-market as customers with ARR between $25,000 and $100,000, and small business as customers with up to $25,000 in ARR. Mid-market customers often become enterprise customers over time as they expand their deployments and adopt more solutions from our XCaaS portfolio.</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ARR from enterprise customers has increased steadily as a percentage of total ARR, increasing from 35% of total ARR in fiscal 2019 to 58% of total ARR at the end of the first quarter of fiscal 2024. We have increased our focus on mid-market and enterprise customers because these organizations typically have more complex communication and contact center requirements compared to the needs of small business customers.</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ARR associated with small business customers was 24% of total ARR for the first quarter of fiscal 2024. We remain committed to retaining our installed base of small business customers but have reduced promotional programs and digital marketing to attract new small business UCaaS-only customers. See "Key Business Metrics" below for further discussion on how we define ARR.</w:t>
      </w:r>
    </w:p>
    <w:p>
      <w:pPr>
        <w:pStyle w:val="TextBody"/>
        <w:bidi w:val="0"/>
        <w:spacing w:lineRule="auto" w:line="288" w:before="120" w:after="120"/>
        <w:jc w:val="both"/>
        <w:rPr/>
      </w:pPr>
      <w:r>
        <w:rPr>
          <w:rFonts w:ascii="Arial;sans-serif" w:hAnsi="Arial;sans-serif"/>
          <w:b w:val="false"/>
          <w:color w:val="000000"/>
          <w:sz w:val="18"/>
        </w:rPr>
        <w:t>In August 2022, we refinanced approximately $403.8 million of the $500.0 million aggregate principal amount of 2024 Notes through an exchange for approximately $201.9 million in 2028 Notes plus approximately $181.8 million in cash. The cash payment was funded with the partial proceeds of a $250.0 million senior secured term loan due in 2027 entered into in August 2022. Concurrently with the issuance of the 2028 Notes, we repurchased 10,695,000 shares of our common stock for approximately $60.0 million in privately negotiated transactions with a limited number of holders. In September 2022, December 2022, and February 2023, we repurchased $6.0 million, $21.8 million, and $5.0 million in aggregate principal amount of the 2024 Notes, respectively, in separate privately negotiated transactions. Approximately $63.3 million of the 2024 Notes remained outstanding as of June 30, 2023. See Note 6,</w:t>
      </w:r>
      <w:r>
        <w:rPr>
          <w:color w:val="000000"/>
        </w:rPr>
        <w:t xml:space="preserve"> </w:t>
      </w:r>
      <w:r>
        <w:rPr>
          <w:rFonts w:ascii="Arial;sans-serif" w:hAnsi="Arial;sans-serif"/>
          <w:b w:val="false"/>
          <w:i/>
          <w:color w:val="000000"/>
          <w:sz w:val="18"/>
        </w:rPr>
        <w:t>Convertible Senior Notes and Term Loan</w:t>
      </w:r>
      <w:r>
        <w:rPr>
          <w:color w:val="000000"/>
        </w:rPr>
        <w:t xml:space="preserve"> </w:t>
      </w:r>
      <w:r>
        <w:rPr>
          <w:rFonts w:ascii="Arial;sans-serif" w:hAnsi="Arial;sans-serif"/>
          <w:b w:val="false"/>
          <w:color w:val="000000"/>
          <w:sz w:val="18"/>
        </w:rPr>
        <w:t>to our condensed consolidated financial statements for details. In May 2023, we voluntarily prepaid $25.0 million of principal amount outstanding on our senior secured term loan, reducing the total principal amount outstanding to $225.0 million.</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To align our resources with our long-term strategy, we conducted two separate workforce reductions in fiscal 2023 involving approximately 300 employees, primarily in the sales and marketing and general and administration functions. We expect these workforce reductions and accompanying organizational restructurings to increase our operating income and cash flows from operations as we align our resources to our critical areas of focus, including streamlining sales and marketing, enhancing customer support, accelerating innovation, and strengthening our financial position. However, our net income may vary due to the adjustable nature of the interest rate on our senior secured term loan.</w:t>
      </w: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KEY BUSINESS METRICS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management periodically reviews certain key business metrics to evaluate our operations, allocate resources, and drive financial performance in our business. </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Annualized Recurring Subscriptions and Usage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Our management measures the success of our strategy to attract and retain customers by analyzing trends in ARR and believes ARR may be useful to investors in evaluating our performance. Our management believes ARR is an important indicator for measuring the overall performance of the business because it encompasses new customer additions, add-on sales, renewals and customer churn in a single metric. Our management uses trends in total ARR and ARR by customer segment to assess our ongoing operations, allocate resources, and drive the financial performance of the business. We define ARR as equal to the sum of the most recent month of (i) recurring subscription amounts and (ii) platform usage charges for all CPaaS customers (subject to a minimum billings threshold for a period of at least six consecutive months), multiplied by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We are not aware of any uniform standards for calculating ARR and caution that our presentation may not be consistent with that of other companies. For example, to the extent our ARR is used to evaluate trends in future revenue, such an evaluation would assume a sustained level of usage from existing customers which may fluctuate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COMPONENTS OF RESULTS OF OPERATIONS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Service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Service revenue consists of communication services subscriptions, platform usage revenue, and related fees from our UCaaS, CCaaS, and CPaaS offerings. We plan to increase service revenue through a combination of new customer acquisition, cross-selling of additional products, including those resulting from our increased investment in innovation, to existing customers, geographic expansion of our customer base outside the United States, and innovation in product and technology, and through strategic acquisitions of technologies and businesses.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Other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Other revenue consists of revenue from professional services, primarily in support of deployment of our solutions and/or platform, and revenue from sales and rentals of IP telephones in conjunction with our cloud telephony service. Other revenue is dependent on the number of customers who choose to purchase or rent an IP telephone hardware in conjunction with our service instead of using the solution on their cell phones, computers, or other compatible devices, and/or choose to engage our professional services organization for implementation and deployment of our cloud services.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Cost of Service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service revenue consists primarily of costs associated with network operations and related personnel, technology licenses, amortization of capitalized internal-use software, other communication origination and termination services provided by third-party carriers, outsourced customer service call center operations, and other costs such as customer service, and technical support costs. We allocate overhead costs, such as information technology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Cost of Other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other revenue consists primarily of direct and indirect costs associated with the purchase and shipping and handling of IP telephones as well as the scheduling, shipping and handling, personnel costs, and other expenditures incurred in connection with the professional services associated with the deployment and implementation of our products, and allocated IT and facilities costs.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Research and Development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Research and development expenses consist primarily of personnel and related costs, third-party development, software and equipment costs necessary for us to conduct our product, platform development and engineering efforts, as well as allocated IT and facilities costs.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Sales and Marketing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Sales and marketing expenses consist primarily of personnel and related costs, sales commissions, including those to the channel, trade shows, advertising and other marketing, demand generation, and promotional expenses, as well as allocated IT and facilities costs.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General and Administrative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General and administrative expenses consist primarily of personnel and related costs, professional services fees, corporate administrative costs, tax and regulatory fees, and allocated IT and facilities costs.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Other Expense, Net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Other expense, net, consists primarily of interest expense related to our convertible notes and term loan, amortization of debt discount and issuance costs, offset by gains on debt extinguishment, as well as other income.</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Provision for (benefit from) Income Taxes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Provision for (benefit from) income taxes consists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RESULTS OF OPERATIONS</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Three months ended June 30, 2023 Compared to Three Months Ended June 30, 2022</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Revenue</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Service revenue</w:t>
      </w:r>
    </w:p>
    <w:tbl>
      <w:tblPr>
        <w:tblW w:w="8032" w:type="dxa"/>
        <w:jc w:val="left"/>
        <w:tblInd w:w="0" w:type="dxa"/>
        <w:tblLayout w:type="fixed"/>
        <w:tblCellMar>
          <w:top w:w="28" w:type="dxa"/>
          <w:left w:w="28" w:type="dxa"/>
          <w:bottom w:w="28" w:type="dxa"/>
          <w:right w:w="28" w:type="dxa"/>
        </w:tblCellMar>
      </w:tblPr>
      <w:tblGrid>
        <w:gridCol w:w="1010"/>
        <w:gridCol w:w="889"/>
        <w:gridCol w:w="891"/>
        <w:gridCol w:w="344"/>
        <w:gridCol w:w="224"/>
        <w:gridCol w:w="557"/>
        <w:gridCol w:w="177"/>
        <w:gridCol w:w="177"/>
        <w:gridCol w:w="177"/>
        <w:gridCol w:w="344"/>
        <w:gridCol w:w="224"/>
        <w:gridCol w:w="557"/>
        <w:gridCol w:w="109"/>
        <w:gridCol w:w="109"/>
        <w:gridCol w:w="109"/>
        <w:gridCol w:w="211"/>
        <w:gridCol w:w="691"/>
        <w:gridCol w:w="109"/>
        <w:gridCol w:w="109"/>
        <w:gridCol w:w="109"/>
        <w:gridCol w:w="109"/>
        <w:gridCol w:w="239"/>
        <w:gridCol w:w="241"/>
        <w:gridCol w:w="31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i/>
                <w:color w:val="000000"/>
                <w:sz w:val="16"/>
              </w:rPr>
              <w:t>(In thousands, except percentages)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175,238</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Service revenue decreased for the three months ended June 30, 2023 compared to the three months ended June 30, 2022 primarily due to lower usage revenue in the Southeast Asia region, mainly from short messaging services ("SMS") customers. Additionally, new subscription revenue from new bookings offset increased customer churn and down-sell in our inorganic customer base.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continue to monitor factors that could have an impact on customer buying behavior and demand, including macroeconomic conditions, contract duration, churn, upsell and down-sell, renewals, and payment terms, all of which could cause variability in our revenue.</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Other revenue</w:t>
      </w:r>
    </w:p>
    <w:tbl>
      <w:tblPr>
        <w:tblW w:w="7556" w:type="dxa"/>
        <w:jc w:val="left"/>
        <w:tblInd w:w="0" w:type="dxa"/>
        <w:tblLayout w:type="fixed"/>
        <w:tblCellMar>
          <w:top w:w="28" w:type="dxa"/>
          <w:left w:w="28" w:type="dxa"/>
          <w:bottom w:w="28" w:type="dxa"/>
          <w:right w:w="28" w:type="dxa"/>
        </w:tblCellMar>
      </w:tblPr>
      <w:tblGrid>
        <w:gridCol w:w="1010"/>
        <w:gridCol w:w="889"/>
        <w:gridCol w:w="891"/>
        <w:gridCol w:w="344"/>
        <w:gridCol w:w="177"/>
        <w:gridCol w:w="441"/>
        <w:gridCol w:w="177"/>
        <w:gridCol w:w="177"/>
        <w:gridCol w:w="177"/>
        <w:gridCol w:w="344"/>
        <w:gridCol w:w="177"/>
        <w:gridCol w:w="441"/>
        <w:gridCol w:w="109"/>
        <w:gridCol w:w="109"/>
        <w:gridCol w:w="109"/>
        <w:gridCol w:w="211"/>
        <w:gridCol w:w="541"/>
        <w:gridCol w:w="109"/>
        <w:gridCol w:w="109"/>
        <w:gridCol w:w="109"/>
        <w:gridCol w:w="109"/>
        <w:gridCol w:w="239"/>
        <w:gridCol w:w="241"/>
        <w:gridCol w:w="31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8,049</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Other revenue decreased for the three months ended June 30, 2023 compared to the three months ended June 30, 2022 due to lower professional service revenue.</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Cost of Revenue</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Cost of service revenue</w:t>
      </w:r>
    </w:p>
    <w:tbl>
      <w:tblPr>
        <w:tblW w:w="7928" w:type="dxa"/>
        <w:jc w:val="left"/>
        <w:tblInd w:w="0" w:type="dxa"/>
        <w:tblLayout w:type="fixed"/>
        <w:tblCellMar>
          <w:top w:w="28" w:type="dxa"/>
          <w:left w:w="28" w:type="dxa"/>
          <w:bottom w:w="28" w:type="dxa"/>
          <w:right w:w="28" w:type="dxa"/>
        </w:tblCellMar>
      </w:tblPr>
      <w:tblGrid>
        <w:gridCol w:w="1010"/>
        <w:gridCol w:w="889"/>
        <w:gridCol w:w="891"/>
        <w:gridCol w:w="344"/>
        <w:gridCol w:w="193"/>
        <w:gridCol w:w="483"/>
        <w:gridCol w:w="177"/>
        <w:gridCol w:w="177"/>
        <w:gridCol w:w="177"/>
        <w:gridCol w:w="344"/>
        <w:gridCol w:w="193"/>
        <w:gridCol w:w="483"/>
        <w:gridCol w:w="109"/>
        <w:gridCol w:w="109"/>
        <w:gridCol w:w="109"/>
        <w:gridCol w:w="211"/>
        <w:gridCol w:w="691"/>
        <w:gridCol w:w="109"/>
        <w:gridCol w:w="109"/>
        <w:gridCol w:w="109"/>
        <w:gridCol w:w="109"/>
        <w:gridCol w:w="293"/>
        <w:gridCol w:w="293"/>
        <w:gridCol w:w="31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46,276</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service revenue</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service revenue decreased in dollars and as a percentage of service revenue for the three months ended June 30, 2023 compared to the three months ended June 30, 2022 due to decreases of $3.9 million in the costs to deliver our services, $1.9 million of combined employee and consulting costs, stock-based compensation expense, and lease expenses, and $1.5 million related to the amortization of capitalized software.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expect the total dollar amount of cost of service revenue and as a percentage of revenue to vary with the amount of service revenue and the mix of subscription and usage revenue within service revenue.</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Cost of other revenue</w:t>
      </w:r>
    </w:p>
    <w:tbl>
      <w:tblPr>
        <w:tblW w:w="8077" w:type="dxa"/>
        <w:jc w:val="left"/>
        <w:tblInd w:w="0" w:type="dxa"/>
        <w:tblLayout w:type="fixed"/>
        <w:tblCellMar>
          <w:top w:w="28" w:type="dxa"/>
          <w:left w:w="28" w:type="dxa"/>
          <w:bottom w:w="28" w:type="dxa"/>
          <w:right w:w="28" w:type="dxa"/>
        </w:tblCellMar>
      </w:tblPr>
      <w:tblGrid>
        <w:gridCol w:w="1010"/>
        <w:gridCol w:w="889"/>
        <w:gridCol w:w="891"/>
        <w:gridCol w:w="344"/>
        <w:gridCol w:w="282"/>
        <w:gridCol w:w="441"/>
        <w:gridCol w:w="177"/>
        <w:gridCol w:w="177"/>
        <w:gridCol w:w="177"/>
        <w:gridCol w:w="344"/>
        <w:gridCol w:w="295"/>
        <w:gridCol w:w="483"/>
        <w:gridCol w:w="109"/>
        <w:gridCol w:w="109"/>
        <w:gridCol w:w="109"/>
        <w:gridCol w:w="211"/>
        <w:gridCol w:w="691"/>
        <w:gridCol w:w="109"/>
        <w:gridCol w:w="109"/>
        <w:gridCol w:w="109"/>
        <w:gridCol w:w="109"/>
        <w:gridCol w:w="293"/>
        <w:gridCol w:w="293"/>
        <w:gridCol w:w="31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other revenue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8,398</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other revenue</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other revenue decreased both in dollars and as a percentage of other revenue for the three months ended June 30, 2023 compared to the three months ended June 30, 2022 primarily due to decreased personnel-related costs to deliver our professional services coupled with lower product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Operating Expenses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Research and development</w:t>
      </w:r>
    </w:p>
    <w:tbl>
      <w:tblPr>
        <w:tblW w:w="7523" w:type="dxa"/>
        <w:jc w:val="left"/>
        <w:tblInd w:w="0" w:type="dxa"/>
        <w:tblLayout w:type="fixed"/>
        <w:tblCellMar>
          <w:top w:w="28" w:type="dxa"/>
          <w:left w:w="28" w:type="dxa"/>
          <w:bottom w:w="28" w:type="dxa"/>
          <w:right w:w="28" w:type="dxa"/>
        </w:tblCellMar>
      </w:tblPr>
      <w:tblGrid>
        <w:gridCol w:w="1010"/>
        <w:gridCol w:w="889"/>
        <w:gridCol w:w="891"/>
        <w:gridCol w:w="344"/>
        <w:gridCol w:w="193"/>
        <w:gridCol w:w="483"/>
        <w:gridCol w:w="177"/>
        <w:gridCol w:w="177"/>
        <w:gridCol w:w="177"/>
        <w:gridCol w:w="344"/>
        <w:gridCol w:w="193"/>
        <w:gridCol w:w="483"/>
        <w:gridCol w:w="109"/>
        <w:gridCol w:w="109"/>
        <w:gridCol w:w="109"/>
        <w:gridCol w:w="211"/>
        <w:gridCol w:w="466"/>
        <w:gridCol w:w="109"/>
        <w:gridCol w:w="109"/>
        <w:gridCol w:w="109"/>
        <w:gridCol w:w="109"/>
        <w:gridCol w:w="203"/>
        <w:gridCol w:w="203"/>
        <w:gridCol w:w="31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35,292</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Research and development expenses were relatively flat for the three months ended June 30, 2023 compared to the three months ended June 30, 2022.</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plan to continue to invest in research and development to accelerate our efforts to expand the capabilities and scope of our XCaaS platform to enhance our users' experience. While we expect to continue to improve our overall cost structure and achieve operational efficiencies, we expect that research and development expenses will increase in absolute dollars in future periods as we continue to invest in our development efforts and vary from period-to-period as a percentage of revenue as we continue to invest in our development efforts.</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Sales and marketing</w:t>
      </w:r>
    </w:p>
    <w:tbl>
      <w:tblPr>
        <w:tblW w:w="8033" w:type="dxa"/>
        <w:jc w:val="left"/>
        <w:tblInd w:w="0" w:type="dxa"/>
        <w:tblLayout w:type="fixed"/>
        <w:tblCellMar>
          <w:top w:w="28" w:type="dxa"/>
          <w:left w:w="28" w:type="dxa"/>
          <w:bottom w:w="28" w:type="dxa"/>
          <w:right w:w="28" w:type="dxa"/>
        </w:tblCellMar>
      </w:tblPr>
      <w:tblGrid>
        <w:gridCol w:w="1010"/>
        <w:gridCol w:w="889"/>
        <w:gridCol w:w="891"/>
        <w:gridCol w:w="344"/>
        <w:gridCol w:w="193"/>
        <w:gridCol w:w="483"/>
        <w:gridCol w:w="177"/>
        <w:gridCol w:w="177"/>
        <w:gridCol w:w="177"/>
        <w:gridCol w:w="344"/>
        <w:gridCol w:w="193"/>
        <w:gridCol w:w="483"/>
        <w:gridCol w:w="109"/>
        <w:gridCol w:w="109"/>
        <w:gridCol w:w="109"/>
        <w:gridCol w:w="211"/>
        <w:gridCol w:w="796"/>
        <w:gridCol w:w="109"/>
        <w:gridCol w:w="109"/>
        <w:gridCol w:w="109"/>
        <w:gridCol w:w="109"/>
        <w:gridCol w:w="293"/>
        <w:gridCol w:w="293"/>
        <w:gridCol w:w="31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68,505</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Sales and marketing expenses decreased in dollars and as a percentage of revenue for the three months ended June 30, 2023 compared to the three months ended June 30, 2022 primarily due to decreases of $8.7 million in personnel-related and consulting costs, $3.2 million in stock-based compensation expense, $2.6 million in paid media and marketing services, and $0.5 million in channel commissions.</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General and administrative</w:t>
      </w:r>
    </w:p>
    <w:tbl>
      <w:tblPr>
        <w:tblW w:w="7928" w:type="dxa"/>
        <w:jc w:val="left"/>
        <w:tblInd w:w="0" w:type="dxa"/>
        <w:tblLayout w:type="fixed"/>
        <w:tblCellMar>
          <w:top w:w="28" w:type="dxa"/>
          <w:left w:w="28" w:type="dxa"/>
          <w:bottom w:w="28" w:type="dxa"/>
          <w:right w:w="28" w:type="dxa"/>
        </w:tblCellMar>
      </w:tblPr>
      <w:tblGrid>
        <w:gridCol w:w="1010"/>
        <w:gridCol w:w="889"/>
        <w:gridCol w:w="891"/>
        <w:gridCol w:w="344"/>
        <w:gridCol w:w="193"/>
        <w:gridCol w:w="483"/>
        <w:gridCol w:w="177"/>
        <w:gridCol w:w="177"/>
        <w:gridCol w:w="177"/>
        <w:gridCol w:w="344"/>
        <w:gridCol w:w="193"/>
        <w:gridCol w:w="483"/>
        <w:gridCol w:w="109"/>
        <w:gridCol w:w="109"/>
        <w:gridCol w:w="109"/>
        <w:gridCol w:w="211"/>
        <w:gridCol w:w="691"/>
        <w:gridCol w:w="109"/>
        <w:gridCol w:w="109"/>
        <w:gridCol w:w="109"/>
        <w:gridCol w:w="109"/>
        <w:gridCol w:w="293"/>
        <w:gridCol w:w="293"/>
        <w:gridCol w:w="31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26,226</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General and administrative expenses decreased both in dollars and as a percentage of other revenue for the three months ended June 30, 2023 compared to the three months ended June 30, 2022 primarily due to decreases of $3.9 million in stock-based compensation expense and $1.0 million in acquisition, integration, and contract termination costs, partially offset by higher legal and regulatory costs of $1.9 million.</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Other (expense) income, net</w:t>
      </w:r>
    </w:p>
    <w:tbl>
      <w:tblPr>
        <w:tblW w:w="7628" w:type="dxa"/>
        <w:jc w:val="left"/>
        <w:tblInd w:w="0" w:type="dxa"/>
        <w:tblLayout w:type="fixed"/>
        <w:tblCellMar>
          <w:top w:w="28" w:type="dxa"/>
          <w:left w:w="28" w:type="dxa"/>
          <w:bottom w:w="28" w:type="dxa"/>
          <w:right w:w="28" w:type="dxa"/>
        </w:tblCellMar>
      </w:tblPr>
      <w:tblGrid>
        <w:gridCol w:w="1010"/>
        <w:gridCol w:w="889"/>
        <w:gridCol w:w="891"/>
        <w:gridCol w:w="344"/>
        <w:gridCol w:w="228"/>
        <w:gridCol w:w="567"/>
        <w:gridCol w:w="177"/>
        <w:gridCol w:w="177"/>
        <w:gridCol w:w="177"/>
        <w:gridCol w:w="344"/>
        <w:gridCol w:w="177"/>
        <w:gridCol w:w="441"/>
        <w:gridCol w:w="109"/>
        <w:gridCol w:w="109"/>
        <w:gridCol w:w="109"/>
        <w:gridCol w:w="211"/>
        <w:gridCol w:w="796"/>
        <w:gridCol w:w="109"/>
        <w:gridCol w:w="109"/>
        <w:gridCol w:w="109"/>
        <w:gridCol w:w="109"/>
        <w:gridCol w:w="127"/>
        <w:gridCol w:w="127"/>
        <w:gridCol w:w="182"/>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(12,473)</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recognized $12.5 million of other expense, net during the three months ended June 30, 2023 compared to $1.1 million of other income, net during the three months ended June 30, 2022 primarily due to a $8.5 million increase in interest expense on our variable-rate term loan entered into in the second quarter of fiscal 2023, $3.3 million in unrealized foreign exchange losses, and a $1.8 million loss on early debt extinguishment attributable to our $25.0 million prepayment of our term loan.</w:t>
      </w:r>
    </w:p>
    <w:p>
      <w:pPr>
        <w:pStyle w:val="TextBody"/>
        <w:bidi w:val="0"/>
        <w:spacing w:lineRule="auto" w:line="288" w:before="120" w:after="60"/>
        <w:jc w:val="both"/>
        <w:rPr>
          <w:rFonts w:ascii="Arial;sans-serif" w:hAnsi="Arial;sans-serif"/>
          <w:b w:val="false"/>
          <w:i/>
          <w:color w:val="000000"/>
          <w:sz w:val="18"/>
        </w:rPr>
      </w:pPr>
      <w:r>
        <w:rPr>
          <w:rFonts w:ascii="Arial;sans-serif" w:hAnsi="Arial;sans-serif"/>
          <w:b w:val="false"/>
          <w:i/>
          <w:color w:val="000000"/>
          <w:sz w:val="18"/>
        </w:rPr>
        <w:t>Provision for income taxes</w:t>
      </w:r>
    </w:p>
    <w:tbl>
      <w:tblPr>
        <w:tblW w:w="7271" w:type="dxa"/>
        <w:jc w:val="left"/>
        <w:tblInd w:w="0" w:type="dxa"/>
        <w:tblLayout w:type="fixed"/>
        <w:tblCellMar>
          <w:top w:w="28" w:type="dxa"/>
          <w:left w:w="28" w:type="dxa"/>
          <w:bottom w:w="28" w:type="dxa"/>
          <w:right w:w="28" w:type="dxa"/>
        </w:tblCellMar>
      </w:tblPr>
      <w:tblGrid>
        <w:gridCol w:w="1010"/>
        <w:gridCol w:w="889"/>
        <w:gridCol w:w="891"/>
        <w:gridCol w:w="344"/>
        <w:gridCol w:w="177"/>
        <w:gridCol w:w="441"/>
        <w:gridCol w:w="177"/>
        <w:gridCol w:w="177"/>
        <w:gridCol w:w="177"/>
        <w:gridCol w:w="344"/>
        <w:gridCol w:w="177"/>
        <w:gridCol w:w="441"/>
        <w:gridCol w:w="109"/>
        <w:gridCol w:w="109"/>
        <w:gridCol w:w="109"/>
        <w:gridCol w:w="211"/>
        <w:gridCol w:w="616"/>
        <w:gridCol w:w="109"/>
        <w:gridCol w:w="109"/>
        <w:gridCol w:w="109"/>
        <w:gridCol w:w="109"/>
        <w:gridCol w:w="127"/>
        <w:gridCol w:w="127"/>
        <w:gridCol w:w="182"/>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6"/>
              </w:rPr>
              <w:t>(In thousands, except percentages)</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Provision for income taxes increased for the three months ended June 30, 2023 compared to the three months ended June 30, 2022 primarily due to higher profit before taxes in our international operations coupled with the limitation of certain state net operating loss carryforwards that can be utilized to offset the additional taxable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2023 and March 31, 2023, we had $138.2 million and $137.6 million, respectively, of cash and cash equivalents and investments. In addition, we had $1.0 million and $1.3 million, respectively, in restricted cash in support of letters of credit securing leases for office facilities and certain equipment for the same periods.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primary requirements for liquidity and capital are working capital, research and development and marketing activities, principal and interest payments on our outstanding debt and other general corporate needs. Historically, these cash requirements have been met through cash provided by operating activities and cash and cash equivalents. Our current capital deployment strategy for the remainder of fiscal 2024 is to invest excess cash on hand to support our continued growth initiatives into select markets and planned software development activities, and pay down our debt. As of June 30, 2023, we are not party to any off-balance sheet arrangements that have had or are reasonably likely to have a current or future material effect on our financial condition, results of operations, liquidity, capital expenditures, or capital resources. Significant cash requirements for the remainder of the fiscal year include our operating lease obligations, interest payments related to our debt obligations, retirement of our 2024 Notes, and operating and capital purchase commitments. For information regarding our expected cash requirements and timing of payments related to leases and noncancellable purchase commitments, see Note 5, Leases, and Note 6, Commitments and Contingencies, respectively, to the consolidated financial statements in our Form 10-K. Additionally, refer to Note 7, Convertible Senior Notes, Term Loan and Capped Calls, to the consolidated financial statements in our Form 10-K for more information related to our debt obligations and applicable covenants.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believe that our existing cash, cash equivalents and investment balances and our anticipated cash flows from operations will be sufficient to meet our working capital, expenditure, and contractual obligation requirements for the next 12 months and the foreseeable future. Although we believe we have adequate sources of liquidity for the next 12 months and the foreseeable future, the success of our operations, the global economic outlook, and the pace of sustainable growth in our markets could impact our business and liquidity.</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Period-over-Period Changes</w:t>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Net cash provided by operating activities for the three months ended June 30, 2023 was $26.5 million compared to $5.8 million for the three months ended June 30, 2022. Cash used in or provided by operating activities is primarily affected by:</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net income or loss;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cash paid for interest expense associated with the outstanding Term Loan, 2024 Notes and 2028 Notes;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non-cash expense items, such as depreciation, amortization, and impairments;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non-cash loss associated with extinguishment of debt;</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non-cash expense associated with stock options and stock-based compensation and awards;</w:t>
      </w:r>
    </w:p>
    <w:p>
      <w:pPr>
        <w:pStyle w:val="TextBody"/>
        <w:bidi w:val="0"/>
        <w:spacing w:lineRule="auto" w:line="288" w:before="60" w:after="60"/>
        <w:ind w:left="0" w:right="0" w:hanging="360"/>
        <w:jc w:val="both"/>
        <w:rPr/>
      </w:pPr>
      <w:r>
        <w:rPr>
          <w:color w:val="000000"/>
        </w:rPr>
        <w:t>•</w:t>
      </w:r>
      <w:r>
        <w:rPr>
          <w:rFonts w:ascii="Arial;sans-serif" w:hAnsi="Arial;sans-serif"/>
          <w:b w:val="false"/>
          <w:color w:val="000000"/>
          <w:sz w:val="18"/>
        </w:rPr>
        <w:t>gain or loss on sale of assets; and</w:t>
      </w:r>
    </w:p>
    <w:p>
      <w:pPr>
        <w:pStyle w:val="TextBody"/>
        <w:bidi w:val="0"/>
        <w:spacing w:lineRule="auto" w:line="288" w:before="60" w:after="120"/>
        <w:ind w:left="0" w:right="0" w:hanging="360"/>
        <w:jc w:val="both"/>
        <w:rPr/>
      </w:pPr>
      <w:r>
        <w:rPr>
          <w:color w:val="000000"/>
        </w:rPr>
        <w:t>•</w:t>
      </w:r>
      <w:r>
        <w:rPr>
          <w:rFonts w:ascii="Arial;sans-serif" w:hAnsi="Arial;sans-serif"/>
          <w:b w:val="false"/>
          <w:color w:val="000000"/>
          <w:sz w:val="18"/>
        </w:rPr>
        <w:t>changes in working capital accounts, particularly related to the timing of collections from receivables and payments of obligations, such as commissions.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the three months ended June 30, 2023, net cash provided in operating activities reflected non-cash adjustments of $46.7 million to our net loss of $15.3 million, including stock-based compensation expense of $18.2 million, depreciation and amortization expenses of $12.5 million, operating lease expenses of $2.5 million, amortization of deferred sales commission costs of $10.0 million, $1.8 million loss from debt extinguishment, and $1.1 million of amortization of debt discount and issuance costs. Non-cash adjustments were partially offset by $4.9 million of working capital adjustments driven by $7.2 million in deferred sales commission costs, $3.4 million in accounts receivable, and $2.1 million in accounts payable and accruals, partially offset by $5.5 million in deferred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the three months ended June 30, 2022, net cash provided in operating activities was a result of an adjustment to net loss of $56.3 million in non-cash charges, such as stock-based compensation expense of $27.8 million, depreciation and amortization expenses of $14.2 million, amortization of deferred sales commission costs of $9.2 million, and operating lease expenses of $3.1 million. These adjustments for non-cash charges were partially offset by $24.4 million of working capital adjustments driven by $13.8 million in accounts payable and accruals, and $9.2 million in deferred sales commission costs.</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provided in investing activities was $6.8 million for the three months ended June 30, 2023, as compared to $5.8 million of cash used in the three months ended June 30, 2022. The cash provided by investing activities during the three months ended June 30, 2023 primarily related to $10.5 million of net proceeds from sales and maturities of investments, which was partially offset by $3.5 million in capitalization of internally developed software.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Net cash used in investing activities was $5.8 million for the three months ended June 30, 2022, as compared to $11.1 million in the three months ended June 30, 2021. The cash used in investing activities during the three months ended June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primarily related to $2.3 million of internally developed software capitalization, $1.3 million of investments purchased, net of proceeds from sales and maturities of investments, and $1.3 million payout of the cash holdback related to the Fuze, Inc. acquisition.</w:t>
      </w:r>
    </w:p>
    <w:p>
      <w:pPr>
        <w:pStyle w:val="TextBody"/>
        <w:bidi w:val="0"/>
        <w:spacing w:lineRule="auto" w:line="288" w:before="120" w:after="120"/>
        <w:jc w:val="both"/>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in financing activities was $25.0 million for the three months ended June 30, 2023, as compared to $0.1 million of cash provided by financing activities for the three months ended June 30, 2022. The cash used in financing activities for the three months ended June 30, 2023 was primarily driven by $25.0 million of repayments on our term loan.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provided by financing activities was $0.1 million for the three months ended June 30, 2022, as compared to $3.4 million for the three months ended June 30, 2021. The cash provided by financing activities for the three months ended June 30, 2022 was due to the issuance of common stock of $0.1 million from employee stock purchase plans and employee option exercises.</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Debt Obligations</w:t>
      </w:r>
    </w:p>
    <w:p>
      <w:pPr>
        <w:pStyle w:val="TextBody"/>
        <w:bidi w:val="0"/>
        <w:spacing w:lineRule="auto" w:line="288" w:before="120" w:after="240"/>
        <w:jc w:val="both"/>
        <w:rPr/>
      </w:pPr>
      <w:r>
        <w:rPr>
          <w:rFonts w:ascii="Arial;sans-serif" w:hAnsi="Arial;sans-serif"/>
          <w:b w:val="false"/>
          <w:color w:val="000000"/>
          <w:sz w:val="18"/>
        </w:rPr>
        <w:t xml:space="preserve">See Note </w:t>
      </w:r>
      <w:hyperlink w:anchor="ifdecece38d2340bc858ca8cc1da3049d_67">
        <w:r>
          <w:rPr>
            <w:rStyle w:val="InternetLink"/>
            <w:rFonts w:ascii="Arial;sans-serif" w:hAnsi="Arial;sans-serif"/>
            <w:b w:val="false"/>
            <w:strike w:val="false"/>
            <w:dstrike w:val="false"/>
            <w:color w:val="000000"/>
            <w:sz w:val="18"/>
            <w:u w:val="none"/>
            <w:effect w:val="none"/>
          </w:rPr>
          <w:t>6</w:t>
        </w:r>
      </w:hyperlink>
      <w:r>
        <w:rPr>
          <w:rFonts w:ascii="Arial;sans-serif" w:hAnsi="Arial;sans-serif"/>
          <w:b w:val="false"/>
          <w:color w:val="000000"/>
          <w:sz w:val="18"/>
        </w:rPr>
        <w:t xml:space="preserve">, </w:t>
      </w:r>
      <w:r>
        <w:rPr>
          <w:rFonts w:ascii="Arial;sans-serif" w:hAnsi="Arial;sans-serif"/>
          <w:b w:val="false"/>
          <w:i/>
          <w:color w:val="000000"/>
          <w:sz w:val="18"/>
        </w:rPr>
        <w:t>Convertible Senior Notes and Term Loan</w:t>
      </w:r>
      <w:r>
        <w:rPr>
          <w:color w:val="000000"/>
        </w:rPr>
        <w:t xml:space="preserve"> </w:t>
      </w:r>
      <w:r>
        <w:rPr>
          <w:rFonts w:ascii="Arial;sans-serif" w:hAnsi="Arial;sans-serif"/>
          <w:b w:val="false"/>
          <w:color w:val="000000"/>
          <w:sz w:val="18"/>
        </w:rPr>
        <w:t>in the unaudited condensed consolidated financial statements included elsewhere in this Quarterly Report for information regarding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120" w:after="240"/>
        <w:jc w:val="both"/>
        <w:rPr/>
      </w:pPr>
      <w:r>
        <w:rPr>
          <w:rFonts w:ascii="Arial;sans-serif" w:hAnsi="Arial;sans-serif"/>
          <w:b w:val="false"/>
          <w:color w:val="000000"/>
          <w:sz w:val="18"/>
        </w:rPr>
        <w:t xml:space="preserve">Our consolidated financial statements are prepared in accordance with U.S. generally accepted accounting principles ("U.S. GAAP"). Refer to Note </w:t>
      </w:r>
      <w:r>
        <w:rPr>
          <w:rFonts w:ascii="Arial;sans-serif" w:hAnsi="Arial;sans-serif"/>
          <w:b w:val="false"/>
          <w:color w:val="0000FF"/>
          <w:sz w:val="18"/>
          <w:u w:val="single"/>
        </w:rPr>
        <w:t>1</w:t>
      </w:r>
      <w:r>
        <w:rPr>
          <w:rFonts w:ascii="Arial;sans-serif" w:hAnsi="Arial;sans-serif"/>
          <w:b w:val="false"/>
          <w:color w:val="000000"/>
          <w:sz w:val="18"/>
        </w:rPr>
        <w:t xml:space="preserve">, </w:t>
      </w:r>
      <w:r>
        <w:rPr>
          <w:rFonts w:ascii="Arial;sans-serif" w:hAnsi="Arial;sans-serif"/>
          <w:b w:val="false"/>
          <w:i/>
          <w:color w:val="000000"/>
          <w:sz w:val="18"/>
        </w:rPr>
        <w:t>The Company and Significant Accounting Policies</w:t>
      </w:r>
      <w:r>
        <w:rPr>
          <w:rFonts w:ascii="Arial;sans-serif" w:hAnsi="Arial;sans-serif"/>
          <w:b w:val="false"/>
          <w:color w:val="000000"/>
          <w:sz w:val="18"/>
        </w:rPr>
        <w:t>, in the notes to the unaudited condensed consolidated financial statements included in this Quarterly Report, which describes the significant accounting policies and methods used in the preparation of our consolidated financial statements. There have been no significant changes during the three months ended June 30, 2023 to our critical accounting policies and estimates previously disclosed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bookmarkStart w:id="10" w:name="id610fd29291549be85fa7f03880b7217_10840"/>
      <w:bookmarkEnd w:id="10"/>
      <w:r>
        <w:rPr>
          <w:rFonts w:ascii="Arial;sans-serif" w:hAnsi="Arial;sans-serif"/>
          <w:b/>
          <w:color w:val="000000"/>
          <w:sz w:val="18"/>
        </w:rPr>
        <w:t>ITEM 3. Quantitative and Qualitative Disclosures About Market Risk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have been no material changes in our exposures to market risk since March 31, 2023. For details on the Company’s interest rate and foreign currency exchange risks, see Part I, Item 7A. “Quantitative and Qualitative Information About Market Risks”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bookmarkStart w:id="11" w:name="i01e16443918d49678435a8c3363d83a1_2909"/>
      <w:bookmarkEnd w:id="11"/>
      <w:r>
        <w:rPr>
          <w:rFonts w:ascii="Arial;sans-serif" w:hAnsi="Arial;sans-serif"/>
          <w:b/>
          <w:color w:val="000000"/>
          <w:sz w:val="18"/>
        </w:rPr>
        <w:t>ITEM 4. Controls and Procedures</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management, with the participation of our Chief Executive Officer and Chief Financial Officer, has evaluated the effectiveness of our disclosure controls and procedures, as such term is defined in Rules 13a-15(e) and 15d-15(e) under the Exchange Act, as of June 30, 2023. Based on such evaluation, our Chief Executive Officer and Chief Financial Officer have concluded that, as of June 30, 2023, our disclosure controls and procedures were effective at the reasonable assurance level.</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three months ended June 30, 2023, there was no change in our internal control over financial reporting that has materially affected, or is reasonably likely to materially affect, our internal control over financial reporting.</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Limitations on the Effectiveness of Controls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Our management, including the Chief Executive Officer and Chief Financial Officer,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240" w:after="240"/>
        <w:jc w:val="center"/>
        <w:rPr>
          <w:rFonts w:ascii="Arial;sans-serif" w:hAnsi="Arial;sans-serif"/>
          <w:b/>
          <w:color w:val="000000"/>
          <w:sz w:val="20"/>
        </w:rPr>
      </w:pPr>
      <w:bookmarkStart w:id="12" w:name="i3d2f0aaf4deb46bc9c3426ddcc3f4505_192"/>
      <w:bookmarkEnd w:id="12"/>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bookmarkStart w:id="13" w:name="ida2de9d01aee44b995f1fedda1200cad_407"/>
      <w:bookmarkEnd w:id="13"/>
      <w:r>
        <w:rPr>
          <w:rFonts w:ascii="Arial;sans-serif" w:hAnsi="Arial;sans-serif"/>
          <w:b/>
          <w:color w:val="000000"/>
          <w:sz w:val="18"/>
        </w:rPr>
        <w:t>ITEM 1. Legal Proceedings</w:t>
      </w:r>
    </w:p>
    <w:p>
      <w:pPr>
        <w:pStyle w:val="TextBody"/>
        <w:bidi w:val="0"/>
        <w:spacing w:lineRule="auto" w:line="288" w:before="120" w:after="240"/>
        <w:jc w:val="both"/>
        <w:rPr/>
      </w:pPr>
      <w:r>
        <w:rPr>
          <w:rFonts w:ascii="Arial;sans-serif" w:hAnsi="Arial;sans-serif"/>
          <w:b w:val="false"/>
          <w:color w:val="000000"/>
          <w:sz w:val="18"/>
        </w:rPr>
        <w:t xml:space="preserve">Information with respect to this item may be found in Note 5, </w:t>
      </w:r>
      <w:r>
        <w:rPr>
          <w:rFonts w:ascii="Arial;sans-serif" w:hAnsi="Arial;sans-serif"/>
          <w:b w:val="false"/>
          <w:i/>
          <w:color w:val="000000"/>
          <w:sz w:val="18"/>
        </w:rPr>
        <w:t>Commitments and Contingencies</w:t>
      </w:r>
      <w:r>
        <w:rPr>
          <w:color w:val="000000"/>
        </w:rPr>
        <w:t xml:space="preserve"> </w:t>
      </w:r>
      <w:r>
        <w:rPr>
          <w:rFonts w:ascii="Arial;sans-serif" w:hAnsi="Arial;sans-serif"/>
          <w:b w:val="false"/>
          <w:color w:val="000000"/>
          <w:sz w:val="18"/>
        </w:rPr>
        <w:t>under the heading “Legal Proceedings” in the Notes to Unaudited Condensed Consolidated Financial Statements included in this Quarterly Report is incorporated by reference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18"/>
        </w:rPr>
      </w:pPr>
      <w:bookmarkStart w:id="14" w:name="i93224d90228a41f8b146bf4e9a7972d7_11591"/>
      <w:bookmarkEnd w:id="14"/>
      <w:r>
        <w:rPr>
          <w:rFonts w:ascii="Arial;sans-serif" w:hAnsi="Arial;sans-serif"/>
          <w:b/>
          <w:color w:val="000000"/>
          <w:sz w:val="18"/>
        </w:rPr>
        <w:t>ITEM 1A. Risk Factors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have been no material changes in the risk factors previously disclosed in Part I, Item 1A. “Risks Factors” of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18"/>
        </w:rPr>
      </w:pPr>
      <w:bookmarkStart w:id="15" w:name="i9582a4d7e1c04c8598ea578a4d0974d0_218"/>
      <w:bookmarkEnd w:id="15"/>
      <w:r>
        <w:rPr>
          <w:rFonts w:ascii="Arial;sans-serif" w:hAnsi="Arial;sans-serif"/>
          <w:b/>
          <w:color w:val="000000"/>
          <w:sz w:val="18"/>
        </w:rPr>
        <w:t>ITEM 2. Unregistered Sales of Equity Securities and Use of Proceeds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(a) None.</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(b) None.</w:t>
      </w:r>
    </w:p>
    <w:p>
      <w:pPr>
        <w:pStyle w:val="TextBody"/>
        <w:bidi w:val="0"/>
        <w:spacing w:lineRule="auto" w:line="288" w:before="120" w:after="240"/>
        <w:jc w:val="left"/>
        <w:rPr>
          <w:rFonts w:ascii="Arial;sans-serif" w:hAnsi="Arial;sans-serif"/>
          <w:b w:val="false"/>
          <w:color w:val="000000"/>
          <w:sz w:val="18"/>
        </w:rPr>
      </w:pPr>
      <w:r>
        <w:rPr>
          <w:rFonts w:ascii="Arial;sans-serif" w:hAnsi="Arial;sans-serif"/>
          <w:b w:val="false"/>
          <w:color w:val="000000"/>
          <w:sz w:val="18"/>
        </w:rPr>
        <w:t>(c)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18"/>
        </w:rPr>
      </w:pPr>
      <w:bookmarkStart w:id="16" w:name="ie0f538314a824e59973d4fae4a561469_105"/>
      <w:bookmarkEnd w:id="16"/>
      <w:r>
        <w:rPr>
          <w:rFonts w:ascii="Arial;sans-serif" w:hAnsi="Arial;sans-serif"/>
          <w:b/>
          <w:color w:val="000000"/>
          <w:sz w:val="18"/>
        </w:rPr>
        <w:t>ITEM 3. Defaults Upon Senior Securities</w:t>
      </w:r>
    </w:p>
    <w:p>
      <w:pPr>
        <w:pStyle w:val="TextBody"/>
        <w:bidi w:val="0"/>
        <w:spacing w:lineRule="auto" w:line="288" w:before="120" w:after="24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bookmarkStart w:id="17" w:name="ie13a3fae12ce4d968c8cb6e0e3d28aeb_92"/>
      <w:bookmarkEnd w:id="17"/>
      <w:r>
        <w:rPr>
          <w:rFonts w:ascii="Arial;sans-serif" w:hAnsi="Arial;sans-serif"/>
          <w:b/>
          <w:color w:val="000000"/>
          <w:sz w:val="18"/>
        </w:rPr>
        <w:t>ITEM 4. Mine Safety Disclosures</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ial;sans-serif" w:hAnsi="Arial;sans-serif"/>
          <w:b/>
          <w:color w:val="000000"/>
          <w:sz w:val="18"/>
        </w:rPr>
      </w:pPr>
      <w:bookmarkStart w:id="18" w:name="i224866928f854812914230691177ac22_131"/>
      <w:bookmarkEnd w:id="18"/>
      <w:r>
        <w:rPr>
          <w:rFonts w:ascii="Arial;sans-serif" w:hAnsi="Arial;sans-serif"/>
          <w:b/>
          <w:color w:val="000000"/>
          <w:sz w:val="18"/>
        </w:rPr>
        <w:t>ITEM 5. Other Information</w:t>
      </w:r>
    </w:p>
    <w:p>
      <w:pPr>
        <w:pStyle w:val="TextBody"/>
        <w:bidi w:val="0"/>
        <w:spacing w:lineRule="auto" w:line="288" w:before="120" w:after="240"/>
        <w:jc w:val="both"/>
        <w:rPr>
          <w:rFonts w:ascii="Arial;sans-serif" w:hAnsi="Arial;sans-serif"/>
          <w:b w:val="false"/>
          <w:color w:val="000000"/>
          <w:sz w:val="18"/>
        </w:rPr>
      </w:pPr>
      <w:r>
        <w:rPr>
          <w:rFonts w:ascii="Arial;sans-serif" w:hAnsi="Arial;sans-serif"/>
          <w:b w:val="false"/>
          <w:color w:val="000000"/>
          <w:sz w:val="18"/>
        </w:rPr>
        <w:t>None of our directors or officers (as defined in Rule 16a-1(f) under the Exchange Act) adopted or terminated a Rule 10b5-1 trading arrangement or a non-Rule 10b5-1 trading arrangement (as defined in Item 408(c) of Regulation S-K) during the quarterly period covered by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bookmarkStart w:id="19" w:name="i0fd6830c215b48e196dd81a45b7c7c80_180"/>
      <w:bookmarkEnd w:id="19"/>
      <w:r>
        <w:rPr>
          <w:rFonts w:ascii="Arial;sans-serif" w:hAnsi="Arial;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290"/>
        <w:gridCol w:w="255"/>
        <w:gridCol w:w="256"/>
        <w:gridCol w:w="2243"/>
        <w:gridCol w:w="1983"/>
        <w:gridCol w:w="1990"/>
        <w:gridCol w:w="303"/>
        <w:gridCol w:w="303"/>
        <w:gridCol w:w="304"/>
        <w:gridCol w:w="250"/>
        <w:gridCol w:w="198"/>
        <w:gridCol w:w="142"/>
        <w:gridCol w:w="261"/>
        <w:gridCol w:w="261"/>
        <w:gridCol w:w="265"/>
        <w:gridCol w:w="261"/>
        <w:gridCol w:w="261"/>
        <w:gridCol w:w="379"/>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90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62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Description</w:t>
            </w:r>
          </w:p>
        </w:tc>
        <w:tc>
          <w:tcPr>
            <w:tcW w:w="9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Company Form</w:t>
            </w:r>
          </w:p>
        </w:tc>
        <w:tc>
          <w:tcPr>
            <w:tcW w:w="5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7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90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6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16"/>
                  <w:u w:val="single"/>
                </w:rPr>
                <w:t>Certificate of Amendment to the Restated Certificate of Incorporation of Registrant, dated July 12, 2022</w:t>
              </w:r>
            </w:hyperlink>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7/13/2022</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62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16"/>
                  <w:u w:val="single"/>
                </w:rPr>
                <w:t>Amended and Restated By-Laws of 8x8, Inc.</w:t>
              </w:r>
            </w:hyperlink>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7/28/2015</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6216"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6216"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6216"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62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16"/>
                  <w:u w:val="single"/>
                </w:rPr>
                <w:t>CEO Promotion Letter, dated May 26, 2023, by and between 8x8, Inc. and Samuel Wilson</w:t>
              </w:r>
            </w:hyperlink>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5/31/2023</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62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ial;sans-serif" w:hAnsi="Arial;sans-serif"/>
                  <w:b w:val="false"/>
                  <w:color w:val="0000FF"/>
                  <w:sz w:val="16"/>
                  <w:u w:val="single"/>
                </w:rPr>
                <w:t>CFO Promotion Letter, dated June 5, 2023, by and between 8x8, Inc. and Kevin Kraus</w:t>
              </w:r>
            </w:hyperlink>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6/6/2023</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62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063023ex311.htm">
              <w:r>
                <w:rPr>
                  <w:rStyle w:val="InternetLink"/>
                  <w:rFonts w:ascii="Arial;sans-serif" w:hAnsi="Arial;sans-serif"/>
                  <w:b w:val="false"/>
                  <w:color w:val="0000FF"/>
                  <w:sz w:val="16"/>
                  <w:u w:val="single"/>
                </w:rPr>
                <w:t>Certification of Chief Executive Officer of the Registrant pursuant to Rule 13a-14</w:t>
              </w:r>
            </w:hyperlink>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62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063023ex312.htm">
              <w:r>
                <w:rPr>
                  <w:rStyle w:val="InternetLink"/>
                  <w:rFonts w:ascii="Arial;sans-serif" w:hAnsi="Arial;sans-serif"/>
                  <w:b w:val="false"/>
                  <w:color w:val="0000FF"/>
                  <w:sz w:val="16"/>
                  <w:u w:val="single"/>
                </w:rPr>
                <w:t>Certification of Chief Financial Officer of the Registrant pursuant to Rule 13a-14</w:t>
              </w:r>
            </w:hyperlink>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62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063023ex321.htm">
              <w:r>
                <w:rPr>
                  <w:rStyle w:val="InternetLink"/>
                  <w:rFonts w:ascii="Arial;sans-serif" w:hAnsi="Arial;sans-serif"/>
                  <w:b w:val="false"/>
                  <w:color w:val="0000FF"/>
                  <w:sz w:val="16"/>
                  <w:u w:val="single"/>
                </w:rPr>
                <w:t>Certification of Chief Executive Officer of the Registrant pursuant to 18 U.S.C. 1350, as adopted pursuant to Section 906 of the Sarbanes-Oxley Act of 2002</w:t>
              </w:r>
            </w:hyperlink>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621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063023ex322.htm">
              <w:r>
                <w:rPr>
                  <w:rStyle w:val="InternetLink"/>
                  <w:rFonts w:ascii="Arial;sans-serif" w:hAnsi="Arial;sans-serif"/>
                  <w:b w:val="false"/>
                  <w:color w:val="0000FF"/>
                  <w:sz w:val="16"/>
                  <w:u w:val="single"/>
                </w:rPr>
                <w:t>Certification of Chief Financial Officer of the Registrant pursuant to 18 U.S.C. 1350, as adopted pursuant to Section 906 of the Sarbanes-Oxley Act of 2002</w:t>
              </w:r>
            </w:hyperlink>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621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following materials from 8x8, Inc.'s Quarterly Report on Form 10-Q for the three months ended June 30, 2023, formatted in Inline XBRL: (i) Condensed Consolidated Balance Sheets as of June 30, 2023 and March 31, 2023, (ii) Condensed Consolidated Statements of Operations for the three months ended June 30, 2023 and 2022, (iii) Condensed Consolidated Statements of Comprehensive Loss for the three months ended June 30, 2023 and 2022, (iv) Condensed Consolidated Statements of Stockholders’ Equity as of June 30, 2023 and 2022, (v) Condensed Consolidated Statements of Cash Flows for the three months ended June 30, 2023 and 2022, and (vi) Notes to Consolidated Financial Statements, tagged as blocks of text and including detailed tags XBRL Instance Document</w:t>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bl>
    <w:p>
      <w:pPr>
        <w:pStyle w:val="TextBody"/>
        <w:bidi w:val="0"/>
        <w:spacing w:lineRule="auto" w:line="288" w:before="60" w:after="240"/>
        <w:jc w:val="left"/>
        <w:rPr>
          <w:rFonts w:ascii="Arial;sans-serif" w:hAnsi="Arial;sans-serif"/>
          <w:b w:val="false"/>
          <w:color w:val="000000"/>
          <w:sz w:val="16"/>
        </w:rPr>
      </w:pPr>
      <w:r>
        <w:rPr>
          <w:rFonts w:ascii="Arial;sans-serif" w:hAnsi="Arial;sans-serif"/>
          <w:b w:val="false"/>
          <w:color w:val="000000"/>
          <w:sz w:val="16"/>
        </w:rPr>
        <w:t>* 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fdecece38d2340bc858ca8cc1da3049d_7">
        <w:r>
          <w:rPr>
            <w:rStyle w:val="InternetLink"/>
            <w:rFonts w:ascii="Arial;sans-serif" w:hAnsi="Arial;sans-serif"/>
            <w:b w:val="false"/>
            <w:color w:val="0000FF"/>
            <w:sz w:val="18"/>
            <w:u w:val="single"/>
          </w:rPr>
          <w:t>Table of Contents</w:t>
        </w:r>
      </w:hyperlink>
    </w:p>
    <w:p>
      <w:pPr>
        <w:pStyle w:val="TextBody"/>
        <w:bidi w:val="0"/>
        <w:spacing w:lineRule="auto" w:line="288" w:before="240" w:after="240"/>
        <w:jc w:val="center"/>
        <w:rPr>
          <w:rFonts w:ascii="Arial;sans-serif" w:hAnsi="Arial;sans-serif"/>
          <w:b/>
          <w:color w:val="000000"/>
          <w:sz w:val="18"/>
        </w:rPr>
      </w:pPr>
      <w:bookmarkStart w:id="20" w:name="i62f9327cc1754480a266137ae8eee67d_354"/>
      <w:bookmarkEnd w:id="20"/>
      <w:r>
        <w:rPr>
          <w:rFonts w:ascii="Arial;sans-serif" w:hAnsi="Arial;sans-serif"/>
          <w:b/>
          <w:color w:val="000000"/>
          <w:sz w:val="18"/>
        </w:rPr>
        <w:t>SIGNATURES</w:t>
      </w:r>
    </w:p>
    <w:p>
      <w:pPr>
        <w:pStyle w:val="TextBody"/>
        <w:bidi w:val="0"/>
        <w:spacing w:lineRule="auto" w:line="288" w:before="240" w:after="360"/>
        <w:jc w:val="both"/>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August 8, 2023.</w:t>
      </w:r>
    </w:p>
    <w:tbl>
      <w:tblPr>
        <w:tblW w:w="57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80"/>
        <w:gridCol w:w="1480"/>
        <w:gridCol w:w="21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8x8,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Suzy Seandel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Suzy Seandel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(Principal Accounting Officer and Duly Authorized Officer)</w:t>
            </w:r>
          </w:p>
        </w:tc>
      </w:tr>
    </w:tbl>
    <w:p>
      <w:pPr>
        <w:pStyle w:val="TextBody"/>
        <w:bidi w:val="0"/>
        <w:spacing w:before="6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RULES 13a-14(a) AND 15d-14(a) UNDER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302 OF THE SARBANES-OXLEY ACT OF 2002</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 Samuel Wilson, certify that: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color w:val="000000"/>
        </w:rPr>
      </w:pPr>
      <w:r>
        <w:rPr>
          <w:color w:val="000000"/>
        </w:rPr>
        <w:t>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August 8, 2023</w:t>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/s/ Samuel Wilson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Samuel Wilson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RULES 13a-14(a) AND 15d-14(a) UNDER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302 OF THE SARBANES-OXLEY ACT OF 2002</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I, Kevin Kraus, certify that: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color w:val="000000"/>
        </w:rPr>
      </w:pPr>
      <w:r>
        <w:rPr>
          <w:color w:val="000000"/>
        </w:rPr>
        <w:t>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August 8, 2023</w:t>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/s/ Kevin Kraus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Kevin Kraus</w:t>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 U.S. C. SECTION 1350,</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906 OF THE SARBANES-OXLEY ACT OF 2002</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8x8, Inc. (the "Company") for the period ended June 30, 2023, as filed with the Securities and Exchange Commission on the date hereof (the "Report"), I, Samuel Wilson, Chief Executive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60" w:after="16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/s/ Samuel Wilson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Samuel Wilson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Chief Executive Officer</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August 8, 2023</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 U.S. C. SECTION 1350,</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906 OF THE SARBANES-OXLEY ACT OF 2002</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8x8, Inc. (the "Company") for the period ended June 30, 2023, as filed with the Securities and Exchange Commission on the date hereof (the "Report"), I, Kevin Kraus, Chief Financial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60" w:after="16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/s/ Kevin Kraus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Kevin Kraus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Chief Financial Officer</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August 8, 2023</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23731/000102373122000124/exhibit31certificateofamen.htm" TargetMode="External"/><Relationship Id="rId4" Type="http://schemas.openxmlformats.org/officeDocument/2006/relationships/hyperlink" Target="http://www.sec.gov/Archives/edgar/data/1023731/000113626115000219/exh3-2.htm" TargetMode="External"/><Relationship Id="rId5" Type="http://schemas.openxmlformats.org/officeDocument/2006/relationships/hyperlink" Target="https://www.sec.gov/Archives/edgar/data/1023731/000102373123000069/exhibit101-ceopromotionlet.htm" TargetMode="External"/><Relationship Id="rId6" Type="http://schemas.openxmlformats.org/officeDocument/2006/relationships/hyperlink" Target="https://www.sec.gov/Archives/edgar/data/1023731/000102373123000074/exhibit101-8x8xcfopromotio.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14169</Words>
  <Characters>79880</Characters>
  <CharactersWithSpaces>92974</CharactersWithSpaces>
  <Paragraphs>1798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