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92075</wp:posOffset>
            </wp:positionV>
            <wp:extent cx="163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127000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82" w:lineRule="exact"/>
        <w:rPr>
          <w:sz w:val="24"/>
          <w:szCs w:val="24"/>
          <w:color w:val="auto"/>
        </w:rPr>
      </w:pPr>
    </w:p>
    <w:p>
      <w:pPr>
        <w:jc w:val="center"/>
        <w:ind w:left="3700" w:right="1360" w:hanging="2334"/>
        <w:spacing w:after="0" w:line="400" w:lineRule="auto"/>
        <w:tabs>
          <w:tab w:leader="none" w:pos="157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2025</w:t>
      </w: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580" w:hanging="212"/>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 ________to 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001-38312</w:t>
      </w:r>
    </w:p>
    <w:p>
      <w:pPr>
        <w:spacing w:after="0" w:line="6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52070</wp:posOffset>
            </wp:positionV>
            <wp:extent cx="156845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845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100" w:type="dxa"/>
            <w:vAlign w:val="bottom"/>
          </w:tcPr>
          <w:p>
            <w:pPr>
              <w:spacing w:after="0"/>
              <w:rPr>
                <w:sz w:val="18"/>
                <w:szCs w:val="18"/>
                <w:color w:val="auto"/>
              </w:rPr>
            </w:pPr>
          </w:p>
        </w:tc>
        <w:tc>
          <w:tcPr>
            <w:tcW w:w="5580" w:type="dxa"/>
            <w:vAlign w:val="bottom"/>
            <w:tcBorders>
              <w:bottom w:val="single" w:sz="8" w:color="auto"/>
            </w:tcBorders>
          </w:tcPr>
          <w:p>
            <w:pPr>
              <w:jc w:val="right"/>
              <w:ind w:right="2284"/>
              <w:spacing w:after="0"/>
              <w:rPr>
                <w:sz w:val="20"/>
                <w:szCs w:val="20"/>
                <w:color w:val="auto"/>
              </w:rPr>
            </w:pPr>
            <w:r>
              <w:rPr>
                <w:rFonts w:ascii="Arial" w:cs="Arial" w:eastAsia="Arial" w:hAnsi="Arial"/>
                <w:sz w:val="16"/>
                <w:szCs w:val="16"/>
                <w:b w:val="1"/>
                <w:bCs w:val="1"/>
                <w:color w:val="auto"/>
              </w:rPr>
              <w:t>77-0142404</w:t>
            </w:r>
          </w:p>
        </w:tc>
      </w:tr>
      <w:tr>
        <w:trPr>
          <w:trHeight w:val="188"/>
        </w:trPr>
        <w:tc>
          <w:tcPr>
            <w:tcW w:w="566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5580" w:type="dxa"/>
            <w:vAlign w:val="bottom"/>
          </w:tcPr>
          <w:p>
            <w:pPr>
              <w:jc w:val="center"/>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Campbell, CA 95008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23495</wp:posOffset>
            </wp:positionV>
            <wp:extent cx="267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727-1885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34925</wp:posOffset>
            </wp:positionV>
            <wp:extent cx="267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39"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2"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9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48"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7"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3160"/>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January 30, 2026 was 139,318,350.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9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320" w:type="dxa"/>
            <w:vAlign w:val="bottom"/>
          </w:tcPr>
          <w:p>
            <w:pPr>
              <w:spacing w:after="0"/>
              <w:rPr>
                <w:sz w:val="16"/>
                <w:szCs w:val="16"/>
                <w:color w:val="auto"/>
              </w:rPr>
            </w:pPr>
          </w:p>
        </w:tc>
      </w:tr>
      <w:tr>
        <w:trPr>
          <w:trHeight w:val="944"/>
        </w:trPr>
        <w:tc>
          <w:tcPr>
            <w:tcW w:w="1260" w:type="dxa"/>
            <w:vAlign w:val="bottom"/>
            <w:tcBorders>
              <w:top w:val="single" w:sz="8" w:color="0000FF"/>
            </w:tcBorders>
          </w:tcPr>
          <w:p>
            <w:pPr>
              <w:spacing w:after="0"/>
              <w:rPr>
                <w:sz w:val="24"/>
                <w:szCs w:val="24"/>
                <w:color w:val="auto"/>
              </w:rPr>
            </w:pPr>
          </w:p>
        </w:tc>
        <w:tc>
          <w:tcPr>
            <w:tcW w:w="8660" w:type="dxa"/>
            <w:vAlign w:val="bottom"/>
          </w:tcPr>
          <w:p>
            <w:pPr>
              <w:jc w:val="center"/>
              <w:spacing w:after="0"/>
              <w:rPr>
                <w:sz w:val="20"/>
                <w:szCs w:val="20"/>
                <w:color w:val="auto"/>
              </w:rPr>
            </w:pPr>
            <w:r>
              <w:rPr>
                <w:rFonts w:ascii="Arial" w:cs="Arial" w:eastAsia="Arial" w:hAnsi="Arial"/>
                <w:sz w:val="16"/>
                <w:szCs w:val="16"/>
                <w:b w:val="1"/>
                <w:bCs w:val="1"/>
                <w:color w:val="auto"/>
              </w:rPr>
              <w:t>8X8, INC.</w:t>
            </w:r>
          </w:p>
        </w:tc>
        <w:tc>
          <w:tcPr>
            <w:tcW w:w="1320" w:type="dxa"/>
            <w:vAlign w:val="bottom"/>
          </w:tcPr>
          <w:p>
            <w:pPr>
              <w:spacing w:after="0"/>
              <w:rPr>
                <w:sz w:val="24"/>
                <w:szCs w:val="24"/>
                <w:color w:val="auto"/>
              </w:rPr>
            </w:pPr>
          </w:p>
        </w:tc>
      </w:tr>
      <w:tr>
        <w:trPr>
          <w:trHeight w:val="338"/>
        </w:trPr>
        <w:tc>
          <w:tcPr>
            <w:tcW w:w="1260" w:type="dxa"/>
            <w:vAlign w:val="bottom"/>
          </w:tcPr>
          <w:p>
            <w:pPr>
              <w:spacing w:after="0"/>
              <w:rPr>
                <w:sz w:val="24"/>
                <w:szCs w:val="24"/>
                <w:color w:val="auto"/>
              </w:rPr>
            </w:pPr>
          </w:p>
        </w:tc>
        <w:tc>
          <w:tcPr>
            <w:tcW w:w="8660" w:type="dxa"/>
            <w:vAlign w:val="bottom"/>
          </w:tcPr>
          <w:p>
            <w:pPr>
              <w:jc w:val="center"/>
              <w:spacing w:after="0"/>
              <w:rPr>
                <w:sz w:val="20"/>
                <w:szCs w:val="20"/>
                <w:color w:val="auto"/>
              </w:rPr>
            </w:pPr>
            <w:r>
              <w:rPr>
                <w:rFonts w:ascii="Arial" w:cs="Arial" w:eastAsia="Arial" w:hAnsi="Arial"/>
                <w:sz w:val="16"/>
                <w:szCs w:val="16"/>
                <w:b w:val="1"/>
                <w:bCs w:val="1"/>
                <w:color w:val="auto"/>
              </w:rPr>
              <w:t>INDEX TO QUARTERLY REPORT ON FORM 10-Q</w:t>
            </w:r>
          </w:p>
        </w:tc>
        <w:tc>
          <w:tcPr>
            <w:tcW w:w="1320" w:type="dxa"/>
            <w:vAlign w:val="bottom"/>
          </w:tcPr>
          <w:p>
            <w:pPr>
              <w:spacing w:after="0"/>
              <w:rPr>
                <w:sz w:val="24"/>
                <w:szCs w:val="24"/>
                <w:color w:val="auto"/>
              </w:rPr>
            </w:pPr>
          </w:p>
        </w:tc>
      </w:tr>
      <w:tr>
        <w:trPr>
          <w:trHeight w:val="338"/>
        </w:trPr>
        <w:tc>
          <w:tcPr>
            <w:tcW w:w="1260" w:type="dxa"/>
            <w:vAlign w:val="bottom"/>
          </w:tcPr>
          <w:p>
            <w:pPr>
              <w:spacing w:after="0"/>
              <w:rPr>
                <w:sz w:val="24"/>
                <w:szCs w:val="24"/>
                <w:color w:val="auto"/>
              </w:rPr>
            </w:pPr>
          </w:p>
        </w:tc>
        <w:tc>
          <w:tcPr>
            <w:tcW w:w="8660" w:type="dxa"/>
            <w:vAlign w:val="bottom"/>
          </w:tcPr>
          <w:p>
            <w:pPr>
              <w:jc w:val="center"/>
              <w:spacing w:after="0"/>
              <w:rPr>
                <w:sz w:val="20"/>
                <w:szCs w:val="20"/>
                <w:color w:val="auto"/>
              </w:rPr>
            </w:pPr>
            <w:r>
              <w:rPr>
                <w:rFonts w:ascii="Arial" w:cs="Arial" w:eastAsia="Arial" w:hAnsi="Arial"/>
                <w:sz w:val="16"/>
                <w:szCs w:val="16"/>
                <w:b w:val="1"/>
                <w:bCs w:val="1"/>
                <w:color w:val="auto"/>
              </w:rPr>
              <w:t>FOR THE QUARTER ENDED DECEMBER 31, 2025</w:t>
            </w:r>
          </w:p>
        </w:tc>
        <w:tc>
          <w:tcPr>
            <w:tcW w:w="1320" w:type="dxa"/>
            <w:vAlign w:val="bottom"/>
          </w:tcPr>
          <w:p>
            <w:pPr>
              <w:spacing w:after="0"/>
              <w:rPr>
                <w:sz w:val="24"/>
                <w:szCs w:val="24"/>
                <w:color w:val="auto"/>
              </w:rPr>
            </w:pPr>
          </w:p>
        </w:tc>
      </w:tr>
      <w:tr>
        <w:trPr>
          <w:trHeight w:val="372"/>
        </w:trPr>
        <w:tc>
          <w:tcPr>
            <w:tcW w:w="126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Page</w:t>
            </w:r>
          </w:p>
        </w:tc>
      </w:tr>
      <w:tr>
        <w:trPr>
          <w:trHeight w:val="221"/>
        </w:trPr>
        <w:tc>
          <w:tcPr>
            <w:tcW w:w="9920" w:type="dxa"/>
            <w:vAlign w:val="bottom"/>
            <w:gridSpan w:val="2"/>
          </w:tcPr>
          <w:p>
            <w:pPr>
              <w:ind w:left="20"/>
              <w:spacing w:after="0"/>
              <w:rPr>
                <w:sz w:val="20"/>
                <w:szCs w:val="20"/>
                <w:color w:val="auto"/>
              </w:rPr>
            </w:pPr>
            <w:r>
              <w:rPr>
                <w:rFonts w:ascii="Arial" w:cs="Arial" w:eastAsia="Arial" w:hAnsi="Arial"/>
                <w:sz w:val="16"/>
                <w:szCs w:val="16"/>
                <w:b w:val="1"/>
                <w:bCs w:val="1"/>
                <w:color w:val="0000FF"/>
              </w:rPr>
              <w:t>Forward-Looking Statements and Risk Factors</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2</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 FINANCIAL INFORMATION</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1. Financial Statements (unaudited):</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3</w:t>
            </w:r>
          </w:p>
        </w:tc>
      </w:tr>
      <w:tr>
        <w:trPr>
          <w:trHeight w:val="243"/>
        </w:trPr>
        <w:tc>
          <w:tcPr>
            <w:tcW w:w="9920" w:type="dxa"/>
            <w:vAlign w:val="bottom"/>
            <w:gridSpan w:val="2"/>
          </w:tcPr>
          <w:p>
            <w:pPr>
              <w:ind w:left="260"/>
              <w:spacing w:after="0"/>
              <w:rPr>
                <w:sz w:val="20"/>
                <w:szCs w:val="20"/>
                <w:color w:val="auto"/>
              </w:rPr>
            </w:pPr>
            <w:r>
              <w:rPr>
                <w:rFonts w:ascii="Arial" w:cs="Arial" w:eastAsia="Arial" w:hAnsi="Arial"/>
                <w:sz w:val="16"/>
                <w:szCs w:val="16"/>
                <w:color w:val="0000FF"/>
              </w:rPr>
              <w:t>Condensed Consolidated Balance Sheets</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3</w:t>
            </w:r>
          </w:p>
        </w:tc>
      </w:tr>
      <w:tr>
        <w:trPr>
          <w:trHeight w:val="243"/>
        </w:trPr>
        <w:tc>
          <w:tcPr>
            <w:tcW w:w="9920" w:type="dxa"/>
            <w:vAlign w:val="bottom"/>
            <w:gridSpan w:val="2"/>
          </w:tcPr>
          <w:p>
            <w:pPr>
              <w:ind w:left="260"/>
              <w:spacing w:after="0"/>
              <w:rPr>
                <w:sz w:val="20"/>
                <w:szCs w:val="20"/>
                <w:color w:val="auto"/>
              </w:rPr>
            </w:pPr>
            <w:r>
              <w:rPr>
                <w:rFonts w:ascii="Arial" w:cs="Arial" w:eastAsia="Arial" w:hAnsi="Arial"/>
                <w:sz w:val="16"/>
                <w:szCs w:val="16"/>
                <w:color w:val="0000FF"/>
              </w:rPr>
              <w:t>Condensed Consolidated Statements of Operations and Comprehensive Income (Loss</w:t>
            </w:r>
            <w:r>
              <w:rPr>
                <w:rFonts w:ascii="Arial" w:cs="Arial" w:eastAsia="Arial" w:hAnsi="Arial"/>
                <w:sz w:val="16"/>
                <w:szCs w:val="16"/>
                <w:color w:val="000000"/>
              </w:rPr>
              <w:t>)</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4</w:t>
            </w:r>
          </w:p>
        </w:tc>
      </w:tr>
      <w:tr>
        <w:trPr>
          <w:trHeight w:val="243"/>
        </w:trPr>
        <w:tc>
          <w:tcPr>
            <w:tcW w:w="9920" w:type="dxa"/>
            <w:vAlign w:val="bottom"/>
            <w:gridSpan w:val="2"/>
          </w:tcPr>
          <w:p>
            <w:pPr>
              <w:ind w:left="260"/>
              <w:spacing w:after="0"/>
              <w:rPr>
                <w:sz w:val="20"/>
                <w:szCs w:val="20"/>
                <w:color w:val="auto"/>
              </w:rPr>
            </w:pPr>
            <w:r>
              <w:rPr>
                <w:rFonts w:ascii="Arial" w:cs="Arial" w:eastAsia="Arial" w:hAnsi="Arial"/>
                <w:sz w:val="16"/>
                <w:szCs w:val="16"/>
                <w:color w:val="0000FF"/>
              </w:rPr>
              <w:t>Condensed Consolidated Statements of Stockholders' Equity</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5</w:t>
            </w:r>
          </w:p>
        </w:tc>
      </w:tr>
      <w:tr>
        <w:trPr>
          <w:trHeight w:val="243"/>
        </w:trPr>
        <w:tc>
          <w:tcPr>
            <w:tcW w:w="9920" w:type="dxa"/>
            <w:vAlign w:val="bottom"/>
            <w:gridSpan w:val="2"/>
          </w:tcPr>
          <w:p>
            <w:pPr>
              <w:ind w:left="260"/>
              <w:spacing w:after="0"/>
              <w:rPr>
                <w:sz w:val="20"/>
                <w:szCs w:val="20"/>
                <w:color w:val="auto"/>
              </w:rPr>
            </w:pPr>
            <w:r>
              <w:rPr>
                <w:rFonts w:ascii="Arial" w:cs="Arial" w:eastAsia="Arial" w:hAnsi="Arial"/>
                <w:sz w:val="16"/>
                <w:szCs w:val="16"/>
                <w:color w:val="0000FF"/>
              </w:rPr>
              <w:t>Condensed Consolidated Statements of Cash Flows</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7</w:t>
            </w:r>
          </w:p>
        </w:tc>
      </w:tr>
      <w:tr>
        <w:trPr>
          <w:trHeight w:val="243"/>
        </w:trPr>
        <w:tc>
          <w:tcPr>
            <w:tcW w:w="9920" w:type="dxa"/>
            <w:vAlign w:val="bottom"/>
            <w:gridSpan w:val="2"/>
          </w:tcPr>
          <w:p>
            <w:pPr>
              <w:ind w:left="260"/>
              <w:spacing w:after="0"/>
              <w:rPr>
                <w:sz w:val="20"/>
                <w:szCs w:val="20"/>
                <w:color w:val="auto"/>
              </w:rPr>
            </w:pPr>
            <w:r>
              <w:rPr>
                <w:rFonts w:ascii="Arial" w:cs="Arial" w:eastAsia="Arial" w:hAnsi="Arial"/>
                <w:sz w:val="16"/>
                <w:szCs w:val="16"/>
                <w:color w:val="0000FF"/>
              </w:rPr>
              <w:t>Notes to Unaudited Condensed Consolidated Financial Statements</w:t>
            </w:r>
          </w:p>
        </w:tc>
        <w:tc>
          <w:tcPr>
            <w:tcW w:w="1320" w:type="dxa"/>
            <w:vAlign w:val="bottom"/>
          </w:tcPr>
          <w:p>
            <w:pPr>
              <w:jc w:val="center"/>
              <w:spacing w:after="0"/>
              <w:rPr>
                <w:sz w:val="20"/>
                <w:szCs w:val="20"/>
                <w:color w:val="auto"/>
              </w:rPr>
            </w:pPr>
            <w:r>
              <w:rPr>
                <w:rFonts w:ascii="Arial" w:cs="Arial" w:eastAsia="Arial" w:hAnsi="Arial"/>
                <w:sz w:val="16"/>
                <w:szCs w:val="16"/>
                <w:color w:val="0000FF"/>
                <w:w w:val="89"/>
              </w:rPr>
              <w:t>8</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320" w:type="dxa"/>
            <w:vAlign w:val="bottom"/>
          </w:tcPr>
          <w:p>
            <w:pPr>
              <w:jc w:val="center"/>
              <w:spacing w:after="0"/>
              <w:rPr>
                <w:sz w:val="20"/>
                <w:szCs w:val="20"/>
                <w:color w:val="auto"/>
              </w:rPr>
            </w:pPr>
            <w:r>
              <w:rPr>
                <w:rFonts w:ascii="Arial" w:cs="Arial" w:eastAsia="Arial" w:hAnsi="Arial"/>
                <w:sz w:val="16"/>
                <w:szCs w:val="16"/>
                <w:color w:val="0000FF"/>
              </w:rPr>
              <w:t>22</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1320" w:type="dxa"/>
            <w:vAlign w:val="bottom"/>
          </w:tcPr>
          <w:p>
            <w:pPr>
              <w:jc w:val="center"/>
              <w:spacing w:after="0"/>
              <w:rPr>
                <w:sz w:val="20"/>
                <w:szCs w:val="20"/>
                <w:color w:val="auto"/>
              </w:rPr>
            </w:pPr>
            <w:r>
              <w:rPr>
                <w:rFonts w:ascii="Arial" w:cs="Arial" w:eastAsia="Arial" w:hAnsi="Arial"/>
                <w:sz w:val="16"/>
                <w:szCs w:val="16"/>
                <w:color w:val="0000FF"/>
              </w:rPr>
              <w:t>32</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4. Controls and Procedures</w:t>
            </w:r>
          </w:p>
        </w:tc>
        <w:tc>
          <w:tcPr>
            <w:tcW w:w="1320" w:type="dxa"/>
            <w:vAlign w:val="bottom"/>
          </w:tcPr>
          <w:p>
            <w:pPr>
              <w:jc w:val="center"/>
              <w:spacing w:after="0"/>
              <w:rPr>
                <w:sz w:val="20"/>
                <w:szCs w:val="20"/>
                <w:color w:val="auto"/>
              </w:rPr>
            </w:pPr>
            <w:r>
              <w:rPr>
                <w:rFonts w:ascii="Arial" w:cs="Arial" w:eastAsia="Arial" w:hAnsi="Arial"/>
                <w:sz w:val="16"/>
                <w:szCs w:val="16"/>
                <w:color w:val="0000FF"/>
              </w:rPr>
              <w:t>32</w:t>
            </w:r>
          </w:p>
        </w:tc>
      </w:tr>
      <w:tr>
        <w:trPr>
          <w:trHeight w:val="243"/>
        </w:trPr>
        <w:tc>
          <w:tcPr>
            <w:tcW w:w="992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OTHER INFORMATION</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1. Legal Proceedings</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1A. Risk Factors</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3. Defaults Upon Senior Securities</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4. Mine Safety Disclosures</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5. Other Information</w:t>
            </w:r>
          </w:p>
        </w:tc>
        <w:tc>
          <w:tcPr>
            <w:tcW w:w="1320" w:type="dxa"/>
            <w:vAlign w:val="bottom"/>
          </w:tcPr>
          <w:p>
            <w:pPr>
              <w:jc w:val="center"/>
              <w:spacing w:after="0"/>
              <w:rPr>
                <w:sz w:val="20"/>
                <w:szCs w:val="20"/>
                <w:color w:val="auto"/>
              </w:rPr>
            </w:pPr>
            <w:r>
              <w:rPr>
                <w:rFonts w:ascii="Arial" w:cs="Arial" w:eastAsia="Arial" w:hAnsi="Arial"/>
                <w:sz w:val="16"/>
                <w:szCs w:val="16"/>
                <w:color w:val="0000FF"/>
              </w:rPr>
              <w:t>33</w:t>
            </w:r>
          </w:p>
        </w:tc>
      </w:tr>
      <w:tr>
        <w:trPr>
          <w:trHeight w:val="243"/>
        </w:trPr>
        <w:tc>
          <w:tcPr>
            <w:tcW w:w="9920" w:type="dxa"/>
            <w:vAlign w:val="bottom"/>
            <w:gridSpan w:val="2"/>
          </w:tcPr>
          <w:p>
            <w:pPr>
              <w:ind w:left="140"/>
              <w:spacing w:after="0"/>
              <w:rPr>
                <w:sz w:val="20"/>
                <w:szCs w:val="20"/>
                <w:color w:val="auto"/>
              </w:rPr>
            </w:pPr>
            <w:r>
              <w:rPr>
                <w:rFonts w:ascii="Arial" w:cs="Arial" w:eastAsia="Arial" w:hAnsi="Arial"/>
                <w:sz w:val="16"/>
                <w:szCs w:val="16"/>
                <w:color w:val="0000FF"/>
              </w:rPr>
              <w:t>Item 6. Exhibits</w:t>
            </w:r>
          </w:p>
        </w:tc>
        <w:tc>
          <w:tcPr>
            <w:tcW w:w="1320" w:type="dxa"/>
            <w:vAlign w:val="bottom"/>
          </w:tcPr>
          <w:p>
            <w:pPr>
              <w:jc w:val="center"/>
              <w:spacing w:after="0"/>
              <w:rPr>
                <w:sz w:val="20"/>
                <w:szCs w:val="20"/>
                <w:color w:val="auto"/>
              </w:rPr>
            </w:pPr>
            <w:r>
              <w:rPr>
                <w:rFonts w:ascii="Arial" w:cs="Arial" w:eastAsia="Arial" w:hAnsi="Arial"/>
                <w:sz w:val="16"/>
                <w:szCs w:val="16"/>
                <w:color w:val="0000FF"/>
              </w:rPr>
              <w:t>34</w:t>
            </w:r>
          </w:p>
        </w:tc>
      </w:tr>
      <w:tr>
        <w:trPr>
          <w:trHeight w:val="224"/>
        </w:trPr>
        <w:tc>
          <w:tcPr>
            <w:tcW w:w="9920" w:type="dxa"/>
            <w:vAlign w:val="bottom"/>
            <w:gridSpan w:val="2"/>
          </w:tcPr>
          <w:p>
            <w:pPr>
              <w:ind w:left="20"/>
              <w:spacing w:after="0"/>
              <w:rPr>
                <w:sz w:val="20"/>
                <w:szCs w:val="20"/>
                <w:color w:val="auto"/>
              </w:rPr>
            </w:pPr>
            <w:r>
              <w:rPr>
                <w:rFonts w:ascii="Arial" w:cs="Arial" w:eastAsia="Arial" w:hAnsi="Arial"/>
                <w:sz w:val="16"/>
                <w:szCs w:val="16"/>
                <w:b w:val="1"/>
                <w:bCs w:val="1"/>
                <w:color w:val="0000FF"/>
              </w:rPr>
              <w:t>Signature</w:t>
            </w:r>
          </w:p>
        </w:tc>
        <w:tc>
          <w:tcPr>
            <w:tcW w:w="1320" w:type="dxa"/>
            <w:vAlign w:val="bottom"/>
          </w:tcPr>
          <w:p>
            <w:pPr>
              <w:jc w:val="center"/>
              <w:spacing w:after="0"/>
              <w:rPr>
                <w:sz w:val="20"/>
                <w:szCs w:val="20"/>
                <w:color w:val="auto"/>
              </w:rPr>
            </w:pPr>
            <w:r>
              <w:rPr>
                <w:rFonts w:ascii="Arial" w:cs="Arial" w:eastAsia="Arial" w:hAnsi="Arial"/>
                <w:sz w:val="16"/>
                <w:szCs w:val="16"/>
                <w:color w:val="0000FF"/>
              </w:rPr>
              <w:t>35</w:t>
            </w:r>
          </w:p>
        </w:tc>
      </w:tr>
      <w:tr>
        <w:trPr>
          <w:trHeight w:val="856"/>
        </w:trPr>
        <w:tc>
          <w:tcPr>
            <w:tcW w:w="9920" w:type="dxa"/>
            <w:vAlign w:val="bottom"/>
            <w:gridSpan w:val="2"/>
          </w:tcPr>
          <w:p>
            <w:pPr>
              <w:jc w:val="center"/>
              <w:ind w:left="1239"/>
              <w:spacing w:after="0"/>
              <w:rPr>
                <w:sz w:val="20"/>
                <w:szCs w:val="20"/>
                <w:color w:val="auto"/>
              </w:rPr>
            </w:pPr>
            <w:r>
              <w:rPr>
                <w:rFonts w:ascii="Arial" w:cs="Arial" w:eastAsia="Arial" w:hAnsi="Arial"/>
                <w:sz w:val="16"/>
                <w:szCs w:val="16"/>
                <w:color w:val="auto"/>
                <w:w w:val="89"/>
              </w:rPr>
              <w:t>1</w:t>
            </w:r>
          </w:p>
        </w:tc>
        <w:tc>
          <w:tcPr>
            <w:tcW w:w="1320" w:type="dxa"/>
            <w:vAlign w:val="bottom"/>
          </w:tcPr>
          <w:p>
            <w:pPr>
              <w:spacing w:after="0"/>
              <w:rPr>
                <w:sz w:val="24"/>
                <w:szCs w:val="24"/>
                <w:color w:val="auto"/>
              </w:rPr>
            </w:pPr>
          </w:p>
        </w:tc>
      </w:tr>
      <w:tr>
        <w:trPr>
          <w:trHeight w:val="103"/>
        </w:trPr>
        <w:tc>
          <w:tcPr>
            <w:tcW w:w="1260" w:type="dxa"/>
            <w:vAlign w:val="bottom"/>
            <w:tcBorders>
              <w:bottom w:val="single" w:sz="8" w:color="9A9A9A"/>
            </w:tcBorders>
          </w:tcPr>
          <w:p>
            <w:pPr>
              <w:spacing w:after="0"/>
              <w:rPr>
                <w:sz w:val="9"/>
                <w:szCs w:val="9"/>
                <w:color w:val="auto"/>
              </w:rPr>
            </w:pPr>
          </w:p>
        </w:tc>
        <w:tc>
          <w:tcPr>
            <w:tcW w:w="86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as amended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growth and cost of service revenue; research and development expenses; costs related to our continued growth initiatives; sales and marketing expenses; gross profit margin; general and administrative expenses in future periods; liquidity; indebtedness; capital; cash, cash equivalents and investment balances; and anticipated cash flows.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1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secured term loan facility due in 2027 and convertible senior notes due in 2028, including the impact of increased interest expense and timing of any future repayments or refinancing on our stock price;</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spacing w:after="0" w:line="5"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tensions in the political and economic environment, including from trade wars and tariffs, the impact of Russia’s invasion of Ukraine and conflicts in the Middle East, and any related macro-economic impacts;</w:t>
      </w:r>
    </w:p>
    <w:p>
      <w:pPr>
        <w:spacing w:after="0" w:line="1"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complexity and length of enterprise customer sales cycle;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dependence on new products and services to maintain and grow our business;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the infrastructure of third-party network service providers;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acquisition and integration of businesses we have acquired or may acquire in the future;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substantial amount of indebtedness, which could have important consequences to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past and future liabilities related to federal, state, local and international taxes, fees, surcharges and levees;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inability to use third-party or open-source software;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natural disasters, war, terrorist attacks, global pandemics and other unforeseen events.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2025, as filed with the SEC on May 22, 2025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 Our fiscal year ends on March 31 of each calendar year. Each reference to a fiscal year in this Quarterly Report refers to the fiscal year ended March 31 of the calendar year indicated (for example, fiscal year 2026 refers to the fiscal year ending March 31, 2026). Unless the context requires otherwise, references to "we," "us," "our," "8x8," and the "Company" refer to 8x8, Inc. and its consolidated subsidiaries. All dollar amounts within this Quarterly Report are in thousands of United States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Pr>
          <w:p>
            <w:pPr>
              <w:spacing w:after="0"/>
              <w:rPr>
                <w:sz w:val="18"/>
                <w:szCs w:val="18"/>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88,050</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49,680</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Deferred contract acquisition costs</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26,131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30,935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34,739</w:t>
            </w:r>
          </w:p>
        </w:tc>
        <w:tc>
          <w:tcPr>
            <w:tcW w:w="0" w:type="dxa"/>
            <w:vAlign w:val="bottom"/>
          </w:tcPr>
          <w:p>
            <w:pPr>
              <w:spacing w:after="0"/>
              <w:rPr>
                <w:sz w:val="1"/>
                <w:szCs w:val="1"/>
                <w:color w:val="auto"/>
              </w:rPr>
            </w:pPr>
          </w:p>
        </w:tc>
      </w:tr>
      <w:tr>
        <w:trPr>
          <w:trHeight w:val="209"/>
        </w:trPr>
        <w:tc>
          <w:tcPr>
            <w:tcW w:w="67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203,880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203,866</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47,919</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29,634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33,508</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67,949</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274,004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271,530</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37,009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44,239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13,354</w:t>
            </w:r>
          </w:p>
        </w:tc>
        <w:tc>
          <w:tcPr>
            <w:tcW w:w="0" w:type="dxa"/>
            <w:vAlign w:val="bottom"/>
          </w:tcPr>
          <w:p>
            <w:pPr>
              <w:spacing w:after="0"/>
              <w:rPr>
                <w:sz w:val="1"/>
                <w:szCs w:val="1"/>
                <w:color w:val="auto"/>
              </w:rPr>
            </w:pPr>
          </w:p>
        </w:tc>
      </w:tr>
      <w:tr>
        <w:trPr>
          <w:trHeight w:val="210"/>
        </w:trPr>
        <w:tc>
          <w:tcPr>
            <w:tcW w:w="678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683,177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36,004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45,773</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and other liabilities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10,574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11,102</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37,751</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Term loan, current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11,593</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169,244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41,850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49,196</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Convertible senior notes, non-current</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199,598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198,790</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139,581</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518,664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560,973</w:t>
            </w:r>
          </w:p>
        </w:tc>
        <w:tc>
          <w:tcPr>
            <w:tcW w:w="0" w:type="dxa"/>
            <w:vAlign w:val="bottom"/>
          </w:tcPr>
          <w:p>
            <w:pPr>
              <w:spacing w:after="0"/>
              <w:rPr>
                <w:sz w:val="1"/>
                <w:szCs w:val="1"/>
                <w:color w:val="auto"/>
              </w:rPr>
            </w:pPr>
          </w:p>
        </w:tc>
      </w:tr>
      <w:tr>
        <w:trPr>
          <w:trHeight w:val="195"/>
        </w:trPr>
        <w:tc>
          <w:tcPr>
            <w:tcW w:w="6780" w:type="dxa"/>
            <w:vAlign w:val="bottom"/>
          </w:tcPr>
          <w:p>
            <w:pPr>
              <w:ind w:left="20"/>
              <w:spacing w:after="0"/>
              <w:rPr>
                <w:sz w:val="20"/>
                <w:szCs w:val="20"/>
                <w:color w:val="auto"/>
              </w:rPr>
            </w:pPr>
            <w:r>
              <w:rPr>
                <w:rFonts w:ascii="Arial" w:cs="Arial" w:eastAsia="Arial" w:hAnsi="Arial"/>
                <w:sz w:val="16"/>
                <w:szCs w:val="16"/>
                <w:color w:val="auto"/>
              </w:rPr>
              <w:t xml:space="preserve">Commitments and contingencies (Note </w:t>
            </w:r>
            <w:r>
              <w:rPr>
                <w:rFonts w:ascii="Arial" w:cs="Arial" w:eastAsia="Arial" w:hAnsi="Arial"/>
                <w:sz w:val="16"/>
                <w:szCs w:val="16"/>
                <w:color w:val="0000FF"/>
              </w:rPr>
              <w:t>7</w:t>
            </w: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40"/>
              <w:spacing w:after="0" w:line="162" w:lineRule="exact"/>
              <w:rPr>
                <w:sz w:val="20"/>
                <w:szCs w:val="20"/>
                <w:color w:val="auto"/>
              </w:rPr>
            </w:pPr>
            <w:r>
              <w:rPr>
                <w:rFonts w:ascii="Arial" w:cs="Arial" w:eastAsia="Arial" w:hAnsi="Arial"/>
                <w:sz w:val="16"/>
                <w:szCs w:val="16"/>
                <w:color w:val="auto"/>
              </w:rPr>
              <w:t>Preferred stock: $0.001 par value, 5,000 shares authorized, none issued and outstanding</w:t>
            </w:r>
          </w:p>
        </w:tc>
        <w:tc>
          <w:tcPr>
            <w:tcW w:w="240" w:type="dxa"/>
            <w:vAlign w:val="bottom"/>
          </w:tcPr>
          <w:p>
            <w:pPr>
              <w:spacing w:after="0"/>
              <w:rPr>
                <w:sz w:val="14"/>
                <w:szCs w:val="14"/>
                <w:color w:val="auto"/>
              </w:rPr>
            </w:pPr>
          </w:p>
        </w:tc>
        <w:tc>
          <w:tcPr>
            <w:tcW w:w="2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as of December 31, 2025 and March 31, 2025</w:t>
            </w:r>
          </w:p>
        </w:tc>
        <w:tc>
          <w:tcPr>
            <w:tcW w:w="24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Common stock: $0.001 par value, 300,000 shares authorized, 139,293 shares and</w:t>
            </w: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134,355 shares issued and outstanding as of December 31, 2025 and March 31, 2025,</w:t>
            </w:r>
          </w:p>
        </w:tc>
        <w:tc>
          <w:tcPr>
            <w:tcW w:w="24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1,032,876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1,018,902</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(886,179)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(887,721)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122,204</w:t>
            </w:r>
          </w:p>
        </w:tc>
        <w:tc>
          <w:tcPr>
            <w:tcW w:w="0" w:type="dxa"/>
            <w:vAlign w:val="bottom"/>
          </w:tcPr>
          <w:p>
            <w:pPr>
              <w:spacing w:after="0"/>
              <w:rPr>
                <w:sz w:val="1"/>
                <w:szCs w:val="1"/>
                <w:color w:val="auto"/>
              </w:rPr>
            </w:pPr>
          </w:p>
        </w:tc>
      </w:tr>
      <w:tr>
        <w:trPr>
          <w:trHeight w:val="210"/>
        </w:trPr>
        <w:tc>
          <w:tcPr>
            <w:tcW w:w="678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683,177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400" w:type="dxa"/>
            <w:vAlign w:val="bottom"/>
            <w:gridSpan w:val="7"/>
          </w:tcPr>
          <w:p>
            <w:pPr>
              <w:ind w:left="260"/>
              <w:spacing w:after="0"/>
              <w:rPr>
                <w:sz w:val="20"/>
                <w:szCs w:val="20"/>
                <w:color w:val="auto"/>
              </w:rPr>
            </w:pPr>
            <w:r>
              <w:rPr>
                <w:rFonts w:ascii="Arial" w:cs="Arial" w:eastAsia="Arial" w:hAnsi="Arial"/>
                <w:sz w:val="14"/>
                <w:szCs w:val="14"/>
                <w:color w:val="auto"/>
              </w:rPr>
              <w:t>(Unaudited, in thousands except per share amounts)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4"/>
        </w:trPr>
        <w:tc>
          <w:tcPr>
            <w:tcW w:w="3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24"/>
                <w:szCs w:val="24"/>
                <w:color w:val="auto"/>
              </w:rPr>
            </w:pPr>
          </w:p>
        </w:tc>
        <w:tc>
          <w:tcPr>
            <w:tcW w:w="29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December 31,</w:t>
            </w:r>
          </w:p>
        </w:tc>
      </w:tr>
      <w:tr>
        <w:trPr>
          <w:trHeight w:val="210"/>
        </w:trPr>
        <w:tc>
          <w:tcPr>
            <w:tcW w:w="36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521,335</w:t>
            </w:r>
          </w:p>
        </w:tc>
      </w:tr>
      <w:tr>
        <w:trPr>
          <w:trHeight w:val="215"/>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16,692</w:t>
            </w:r>
          </w:p>
        </w:tc>
      </w:tr>
      <w:tr>
        <w:trPr>
          <w:trHeight w:val="210"/>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550,506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538,027</w:t>
            </w:r>
          </w:p>
        </w:tc>
      </w:tr>
      <w:tr>
        <w:trPr>
          <w:trHeight w:val="209"/>
        </w:trPr>
        <w:tc>
          <w:tcPr>
            <w:tcW w:w="368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59,515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171,036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150,276</w:t>
            </w: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22,531</w:t>
            </w:r>
          </w:p>
        </w:tc>
      </w:tr>
      <w:tr>
        <w:trPr>
          <w:trHeight w:val="209"/>
        </w:trPr>
        <w:tc>
          <w:tcPr>
            <w:tcW w:w="3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172,807</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365,220</w:t>
            </w: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93,261</w:t>
            </w:r>
          </w:p>
        </w:tc>
      </w:tr>
      <w:tr>
        <w:trPr>
          <w:trHeight w:val="215"/>
        </w:trPr>
        <w:tc>
          <w:tcPr>
            <w:tcW w:w="368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60,513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192,532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197,617</w:t>
            </w: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59,568</w:t>
            </w:r>
          </w:p>
        </w:tc>
      </w:tr>
      <w:tr>
        <w:trPr>
          <w:trHeight w:val="209"/>
        </w:trPr>
        <w:tc>
          <w:tcPr>
            <w:tcW w:w="36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350,446</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14,774</w:t>
            </w:r>
          </w:p>
        </w:tc>
      </w:tr>
      <w:tr>
        <w:trPr>
          <w:trHeight w:val="215"/>
        </w:trPr>
        <w:tc>
          <w:tcPr>
            <w:tcW w:w="36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(23,703)</w:t>
            </w: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(10,200)</w:t>
            </w:r>
          </w:p>
        </w:tc>
      </w:tr>
      <w:tr>
        <w:trPr>
          <w:trHeight w:val="209"/>
        </w:trPr>
        <w:tc>
          <w:tcPr>
            <w:tcW w:w="368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(19,129)</w:t>
            </w: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income taxes</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r>
      <w:tr>
        <w:trPr>
          <w:trHeight w:val="209"/>
        </w:trPr>
        <w:tc>
          <w:tcPr>
            <w:tcW w:w="3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(21,811)</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per share:</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6"/>
                <w:szCs w:val="16"/>
                <w:color w:val="auto"/>
              </w:rPr>
              <w:t>Basic</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Weighted average number of shares: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128,750</w:t>
            </w:r>
          </w:p>
        </w:tc>
      </w:tr>
      <w:tr>
        <w:trPr>
          <w:trHeight w:val="215"/>
        </w:trPr>
        <w:tc>
          <w:tcPr>
            <w:tcW w:w="3680" w:type="dxa"/>
            <w:vAlign w:val="bottom"/>
          </w:tcPr>
          <w:p>
            <w:pPr>
              <w:ind w:left="240"/>
              <w:spacing w:after="0"/>
              <w:rPr>
                <w:sz w:val="20"/>
                <w:szCs w:val="20"/>
                <w:color w:val="auto"/>
              </w:rPr>
            </w:pPr>
            <w:r>
              <w:rPr>
                <w:rFonts w:ascii="Arial" w:cs="Arial" w:eastAsia="Arial" w:hAnsi="Arial"/>
                <w:sz w:val="16"/>
                <w:szCs w:val="16"/>
                <w:color w:val="auto"/>
              </w:rPr>
              <w:t>Diluted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142,926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128,750</w:t>
            </w: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5,090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(21,811)</w:t>
            </w:r>
          </w:p>
        </w:tc>
      </w:tr>
      <w:tr>
        <w:trPr>
          <w:trHeight w:val="217"/>
        </w:trPr>
        <w:tc>
          <w:tcPr>
            <w:tcW w:w="3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loss on investments in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3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r>
      <w:tr>
        <w:trPr>
          <w:trHeight w:val="235"/>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98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Additional</w:t>
            </w:r>
          </w:p>
        </w:tc>
        <w:tc>
          <w:tcPr>
            <w:tcW w:w="17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0"/>
                <w:szCs w:val="10"/>
                <w:color w:val="auto"/>
              </w:rPr>
            </w:pPr>
          </w:p>
        </w:tc>
        <w:tc>
          <w:tcPr>
            <w:tcW w:w="15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0"/>
                <w:szCs w:val="10"/>
                <w:color w:val="auto"/>
              </w:rPr>
            </w:pPr>
          </w:p>
        </w:tc>
        <w:tc>
          <w:tcPr>
            <w:tcW w:w="13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line="20" w:lineRule="exact"/>
              <w:rPr>
                <w:sz w:val="1"/>
                <w:szCs w:val="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6"/>
        </w:trPr>
        <w:tc>
          <w:tcPr>
            <w:tcW w:w="37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1,018,902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(887,721)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122,204</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980" w:type="dxa"/>
            <w:vAlign w:val="bottom"/>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Common shares withheld for settlement of taxes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 connection with equity-based compensation</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135,747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1,022,943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(892,036)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128,190</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740" w:type="dxa"/>
            <w:vAlign w:val="bottom"/>
          </w:tcPr>
          <w:p>
            <w:pPr>
              <w:ind w:left="240"/>
              <w:spacing w:after="0" w:line="162" w:lineRule="exact"/>
              <w:rPr>
                <w:sz w:val="20"/>
                <w:szCs w:val="20"/>
                <w:color w:val="auto"/>
              </w:rPr>
            </w:pPr>
            <w:r>
              <w:rPr>
                <w:rFonts w:ascii="Arial" w:cs="Arial" w:eastAsia="Arial" w:hAnsi="Arial"/>
                <w:sz w:val="16"/>
                <w:szCs w:val="16"/>
                <w:color w:val="auto"/>
              </w:rPr>
              <w:t>Common shares withheld for settlement of taxes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in connection with equity-based compensation</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ESPP share issuance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5,282</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1,028,971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133,162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Common shares withheld for settlement of taxes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 connection with equity-based compensation</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4,090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1,032,876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98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Additional</w:t>
            </w:r>
          </w:p>
        </w:tc>
        <w:tc>
          <w:tcPr>
            <w:tcW w:w="17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0"/>
                <w:szCs w:val="10"/>
                <w:color w:val="auto"/>
              </w:rPr>
            </w:pPr>
          </w:p>
        </w:tc>
        <w:tc>
          <w:tcPr>
            <w:tcW w:w="19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0"/>
                <w:szCs w:val="10"/>
                <w:color w:val="auto"/>
              </w:rPr>
            </w:pPr>
          </w:p>
        </w:tc>
        <w:tc>
          <w:tcPr>
            <w:tcW w:w="15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0"/>
                <w:szCs w:val="10"/>
                <w:color w:val="auto"/>
              </w:rPr>
            </w:pPr>
          </w:p>
        </w:tc>
        <w:tc>
          <w:tcPr>
            <w:tcW w:w="13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line="20" w:lineRule="exact"/>
              <w:rPr>
                <w:sz w:val="1"/>
                <w:szCs w:val="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6"/>
        </w:trPr>
        <w:tc>
          <w:tcPr>
            <w:tcW w:w="37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973,895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(860,509)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101,958</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980" w:type="dxa"/>
            <w:vAlign w:val="bottom"/>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13,279</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Unrealized investment loss</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987,171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104,588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ESPP share issuance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9,721</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(14,543)</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998,572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109,812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Common shares withheld for settlement of taxes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 connection with equity-based compensation</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1,008,072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(882,320)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113,013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Nine Months Ended December 31,</w:t>
            </w:r>
          </w:p>
        </w:tc>
        <w:tc>
          <w:tcPr>
            <w:tcW w:w="820" w:type="dxa"/>
            <w:vAlign w:val="bottom"/>
            <w:tcBorders>
              <w:bottom w:val="single" w:sz="8" w:color="auto"/>
            </w:tcBorders>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420" w:type="dxa"/>
            <w:vAlign w:val="bottom"/>
          </w:tcPr>
          <w:p>
            <w:pPr>
              <w:jc w:val="right"/>
              <w:ind w:right="1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(21,811)</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5,622</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intangible assets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15,296</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Amortization of capitalized internal-use software costs</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8,604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9,981</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Amortization of deferred contract acquisition costs</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25,291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28,981</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Operating lease expense, net of accretion</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8,907</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31,710</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Loss on debt extinguishment</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12,212</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remeasurement of warrants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Other</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5,146</w:t>
            </w: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contract acquisition costs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(17,581)</w:t>
            </w: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Other current and non-current assets</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(1,943)</w:t>
            </w: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accruals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(19,181)</w:t>
            </w:r>
          </w:p>
        </w:tc>
      </w:tr>
      <w:tr>
        <w:trPr>
          <w:trHeight w:val="215"/>
        </w:trPr>
        <w:tc>
          <w:tcPr>
            <w:tcW w:w="6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Deferred revenue</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w:t>
            </w: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1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41,400</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57,681</w:t>
            </w:r>
          </w:p>
        </w:tc>
      </w:tr>
      <w:tr>
        <w:trPr>
          <w:trHeight w:val="19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Capitalized internal-use software costs</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(9,714)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(8,462)</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cost investment</w:t>
            </w:r>
          </w:p>
        </w:tc>
        <w:tc>
          <w:tcPr>
            <w:tcW w:w="1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Maturities of investments</w:t>
            </w:r>
          </w:p>
        </w:tc>
        <w:tc>
          <w:tcPr>
            <w:tcW w:w="14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10"/>
        </w:trPr>
        <w:tc>
          <w:tcPr>
            <w:tcW w:w="67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w:t>
            </w:r>
          </w:p>
        </w:tc>
      </w:tr>
      <w:tr>
        <w:trPr>
          <w:trHeight w:val="19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Payments for repurchases of common stock</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for debt issuance and amendment costs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Repayment of principal on term loan</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(258,000)</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proceeds from term loan</w:t>
            </w:r>
          </w:p>
        </w:tc>
        <w:tc>
          <w:tcPr>
            <w:tcW w:w="1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financing activities</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financing activities</w:t>
            </w:r>
          </w:p>
        </w:tc>
        <w:tc>
          <w:tcPr>
            <w:tcW w:w="1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(31,843)</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(59,097)</w:t>
            </w:r>
          </w:p>
        </w:tc>
      </w:tr>
      <w:tr>
        <w:trPr>
          <w:trHeight w:val="20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(12,096)</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89,324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116,723</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104,627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Interest paid</w:t>
            </w:r>
          </w:p>
        </w:tc>
        <w:tc>
          <w:tcPr>
            <w:tcW w:w="1420" w:type="dxa"/>
            <w:vAlign w:val="bottom"/>
          </w:tcPr>
          <w:p>
            <w:pPr>
              <w:jc w:val="right"/>
              <w:ind w:right="12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11,269</w:t>
            </w:r>
          </w:p>
        </w:tc>
        <w:tc>
          <w:tcPr>
            <w:tcW w:w="10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19,517</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taxes paid</w:t>
            </w:r>
          </w:p>
        </w:tc>
        <w:tc>
          <w:tcPr>
            <w:tcW w:w="142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Payables and accruals for property and equipment</w:t>
            </w:r>
          </w:p>
        </w:tc>
        <w:tc>
          <w:tcPr>
            <w:tcW w:w="1420" w:type="dxa"/>
            <w:vAlign w:val="bottom"/>
          </w:tcPr>
          <w:p>
            <w:pPr>
              <w:jc w:val="right"/>
              <w:ind w:right="121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2,861</w:t>
            </w: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The Company and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w:t>
      </w:r>
    </w:p>
    <w:p>
      <w:pPr>
        <w:spacing w:after="0" w:line="15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 The Company trades under the symbol "EGHT" on the Nasdaq Global Select Market.</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2025 and notes thereto included in the Form 10-K. There were no material changes during the three and nine months ended December 31, 2025 to the Company's significant accounting policies as described in the Form 10-K.</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material intercompany accounts and transactions have been eliminated in consolidation. The Company conducts its operations through one reportable segment.</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revenue recognition,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contract acquisition costs,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Not Yet Adopted Accounting Pronouncements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standard is effective for annual periods beginning after December 15, 2024, and will therefore be adopted by the Company in its Form 10-K for the fiscal year ending March 31, 2026. The Company is currently evaluating the impact this guidance will have on its consolidated financial statements and annual income tax disclosures.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November 2024, the FASB issued ASU 2024-03, Disaggregation of Income Statement Expenses (Topic 220): Income Statement - Reporting Comprehensive Income - Expense Disaggregation Disclosures, and issued subsequent amendments to the implementation guidance (including ASU 2025-01), which requires companies to disclose additional information about specific expense categories in the notes to financial statements. The update is effective for annual periods beginning after December 15, 2026, and interim reporting periods beginning after December 15, 2027. The Company is currently evaluating the impact this guidance will have on the presentation of its consolidated financial statements and accompanying notes.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2024, the FASB issued ASU 2024-04, Debt (Topic 470): Debt with Conversion and Other Options, which clarifies whether the induced conversion guidance can be applied to the settlement of a convertible debt instrument that does not require the issuance of equity securities upon conversion. This ASU is effective for fiscal years beginning after December 15, 2025, and interim periods within fiscal years beginning after December 15, 2026. The Company is currently evaluating the impact this guidance will have on the presentation of its consolidated financial statements and accompanying notes.</w:t>
      </w:r>
    </w:p>
    <w:p>
      <w:pPr>
        <w:spacing w:after="0" w:line="3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July 2025, the FASB issued ASU 2025-05, Financial Instruments - Credit Losses (Topic 326): Measurement of Credit Losses for Accounts Receivable and Contract Assets, providing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This update is effective for annual reporting periods beginning after December 15, 2025, and interim periods within those annual periods, and this update is applied prospectively. The Company is currently evaluating the impact this guidance will have on its consolidated financial statements and accompanying notes.</w:t>
      </w:r>
    </w:p>
    <w:p>
      <w:pPr>
        <w:spacing w:after="0" w:line="3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September 2025, the FASB issued ASU 2025-06, Intangibles - Goodwill and Other - Internal-Use Software (Subtopic 350-40): Targeted Improvements to the Accounting for Internal-Use Software, which updates the accounting model by replacing the project stage approach with a probable-to-complete threshold, relocates website development guidance into Subtopic 350-40, and requires enhanced disclosures for capitalized software costs. The amendments are effective for annual periods beginning after December 15, 2027, and interim periods within those annual reporting periods. The Company is currently evaluating the impact this guidance will have on its consolidated financial statements and accompanying notes.</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other recent accounting pronouncements, changes in accounting pronouncements or recently adopted accounting guidance during the nine months ended December 31, 2025 that are of significance or potential significance to us.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believes that the nature, amount, timing and uncertainty of its revenue and cash flows and how they are affected by economic factors are most appropriately depicted by (i) geographic region, and (ii) type of revenue or service provided.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revenue geographic information based on the billing address for the customers for each period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35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December 31,</w:t>
            </w:r>
          </w:p>
        </w:tc>
        <w:tc>
          <w:tcPr>
            <w:tcW w:w="280" w:type="dxa"/>
            <w:vAlign w:val="bottom"/>
          </w:tcPr>
          <w:p>
            <w:pPr>
              <w:spacing w:after="0"/>
              <w:rPr>
                <w:sz w:val="18"/>
                <w:szCs w:val="18"/>
                <w:color w:val="auto"/>
              </w:rPr>
            </w:pPr>
          </w:p>
        </w:tc>
        <w:tc>
          <w:tcPr>
            <w:tcW w:w="32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r>
      <w:tr>
        <w:trPr>
          <w:trHeight w:val="210"/>
        </w:trPr>
        <w:tc>
          <w:tcPr>
            <w:tcW w:w="4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361,354</w:t>
            </w: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32,079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95,446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93,496</w:t>
            </w:r>
          </w:p>
        </w:tc>
      </w:tr>
      <w:tr>
        <w:trPr>
          <w:trHeight w:val="244"/>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r>
              <w:rPr>
                <w:rFonts w:ascii="Arial" w:cs="Arial" w:eastAsia="Arial" w:hAnsi="Arial"/>
                <w:sz w:val="21"/>
                <w:szCs w:val="21"/>
                <w:color w:val="auto"/>
                <w:vertAlign w:val="superscript"/>
              </w:rPr>
              <w:t>1</w:t>
            </w:r>
          </w:p>
        </w:tc>
        <w:tc>
          <w:tcPr>
            <w:tcW w:w="10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115,581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83,177</w:t>
            </w:r>
          </w:p>
        </w:tc>
      </w:tr>
      <w:tr>
        <w:trPr>
          <w:trHeight w:val="210"/>
        </w:trPr>
        <w:tc>
          <w:tcPr>
            <w:tcW w:w="41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185,050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550,506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538,027</w:t>
            </w:r>
          </w:p>
        </w:tc>
      </w:tr>
      <w:tr>
        <w:trPr>
          <w:trHeight w:val="20"/>
        </w:trPr>
        <w:tc>
          <w:tcPr>
            <w:tcW w:w="4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Service revenue and other revenue were 97.1% and 2.9% of total revenue for three months ended December 31, 2025, respectively, and 97.0% and 3.0% of total revenue for the three months ended December 31, 2024, respectively. Service revenue and other revenue were 97.2% and 2.8% of total revenue for nine months ended December 31, 2025, respectively, and 96.9% and 3.1% of total revenue for the nine months ended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6"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 individual other international country represented 10% or more of the Company’s total revenue for the three and nine months ended December 31, 2025 or 2024.</w:t>
      </w:r>
    </w:p>
    <w:p>
      <w:pPr>
        <w:spacing w:after="0" w:line="200" w:lineRule="exact"/>
        <w:rPr>
          <w:rFonts w:ascii="Times New Roman" w:cs="Times New Roman" w:eastAsia="Times New Roman" w:hAnsi="Times New Roman"/>
          <w:sz w:val="19"/>
          <w:szCs w:val="19"/>
          <w:color w:val="auto"/>
          <w:vertAlign w:val="superscript"/>
        </w:rPr>
      </w:pPr>
    </w:p>
    <w:p>
      <w:pPr>
        <w:spacing w:after="0" w:line="362" w:lineRule="exact"/>
        <w:rPr>
          <w:rFonts w:ascii="Times New Roman" w:cs="Times New Roman" w:eastAsia="Times New Roman" w:hAnsi="Times New Roman"/>
          <w:sz w:val="19"/>
          <w:szCs w:val="19"/>
          <w:color w:val="auto"/>
          <w:vertAlign w:val="superscript"/>
        </w:rPr>
      </w:pPr>
    </w:p>
    <w:p>
      <w:pPr>
        <w:ind w:left="5580"/>
        <w:spacing w:after="0"/>
        <w:rPr>
          <w:rFonts w:ascii="Times New Roman" w:cs="Times New Roman" w:eastAsia="Times New Roman" w:hAnsi="Times New Roman"/>
          <w:sz w:val="19"/>
          <w:szCs w:val="19"/>
          <w:color w:val="auto"/>
          <w:vertAlign w:val="superscript"/>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Service revenue consists of communication services subscriptions and platform usage revenue and related fees from our UCaaS, CCaaS and CPaaS offerings. Subscription and Platform usage revenue was 78.9% and 21.1% of total service revenue for the three months ended December 31, 2025, respectively, and 86.3% and 13.7% of total service revenue for the three months ended December 31, 2024, respectively. Subscription and Platform usage revenue was 80.9% and 19.1% of total service revenue for the nine months ended December 31, 2025, respectively, and 87.0% and 13.0% of total service revenue for the nine months ended December 31,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contract assets and deferred revenue from contracts with customers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Pr>
          <w:p>
            <w:pPr>
              <w:spacing w:after="0"/>
              <w:rPr>
                <w:sz w:val="18"/>
                <w:szCs w:val="18"/>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assets, current (component of Other current assets)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Contract assets, non-current (component of Other non-current assets)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6,811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7,268</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37,751</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706</w:t>
            </w:r>
          </w:p>
        </w:tc>
      </w:tr>
    </w:tbl>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Contract assets are recorded for contract consideration not yet invoiced but for which the performance obligations are completed. Contract assets, net of allowances for credit losses, are included in other current assets or other assets in the Company's condensed consolidated balance sheets, depending on if their reduction will be recognized during the succeeding twelve-month period or beyond.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change in contract assets was primarily driven by billing customers for amounts that had previously been recognized in revenue but not yet billed. The Company recognized revenues of approximately $34.6 million and $32.3 million that were included in deferred revenue at the beginning of the fiscal year during the nine months ended December 31, 2025 and 2024,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subscription terms typically range from one year to five years. Contract revenue from the remaining performance obligations that had not yet been recognized as of December 31, 2025 was approximately $675 million. This amount excludes contracts with an original expected length of less than one year. The Company expects to recognize revenue on approximately 86% of the remaining performance obligations over the next 24 months and approximately 14% over the remainder of the subscription period.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Contract Acquisition Costs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Deferred sales commissions are considered incremental and recoverable costs of acquiring customer contracts. Amortization of deferred contract acquisition costs for the three months ended December 31, 2025 and 2024 was approximately $7.9 million and $9.3 million, respectively, and $25.3 million and $29.0 million during the nine months ended December 31, 2025 and 2024, respectively. There were no material write-offs during the nine months ended December 31, 2025 and 2024.</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deferred contract acquisition costs from contracts with customers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Pr>
          <w:p>
            <w:pPr>
              <w:spacing w:after="0"/>
              <w:rPr>
                <w:sz w:val="18"/>
                <w:szCs w:val="18"/>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2025</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30,935</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37,009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44,239</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available-for-sale investments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As of December 31, 2025</w:t>
            </w: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Costs</w:t>
            </w:r>
          </w:p>
        </w:tc>
        <w:tc>
          <w:tcPr>
            <w:tcW w:w="200" w:type="dxa"/>
            <w:vAlign w:val="bottom"/>
          </w:tcPr>
          <w:p>
            <w:pPr>
              <w:spacing w:after="0"/>
              <w:rPr>
                <w:sz w:val="18"/>
                <w:szCs w:val="18"/>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b w:val="1"/>
                <w:bCs w:val="1"/>
                <w:color w:val="auto"/>
              </w:rPr>
              <w:t>Estimated Fair Value</w:t>
            </w:r>
          </w:p>
        </w:tc>
        <w:tc>
          <w:tcPr>
            <w:tcW w:w="2260" w:type="dxa"/>
            <w:vAlign w:val="bottom"/>
            <w:gridSpan w:val="3"/>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1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Restricted Cash (Current)</w:t>
            </w:r>
          </w:p>
        </w:tc>
      </w:tr>
      <w:tr>
        <w:trPr>
          <w:trHeight w:val="210"/>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63,638</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62,320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r>
      <w:tr>
        <w:trPr>
          <w:trHeight w:val="216"/>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28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24,562</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24,562</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280" w:type="dxa"/>
            <w:vAlign w:val="bottom"/>
          </w:tcPr>
          <w:p>
            <w:pPr>
              <w:jc w:val="center"/>
              <w:ind w:right="219"/>
              <w:spacing w:after="0"/>
              <w:rPr>
                <w:sz w:val="20"/>
                <w:szCs w:val="20"/>
                <w:color w:val="auto"/>
              </w:rPr>
            </w:pPr>
            <w:r>
              <w:rPr>
                <w:rFonts w:ascii="Arial" w:cs="Arial" w:eastAsia="Arial" w:hAnsi="Arial"/>
                <w:sz w:val="16"/>
                <w:szCs w:val="16"/>
                <w:color w:val="auto"/>
                <w:w w:val="99"/>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88,200</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86,882</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r>
      <w:tr>
        <w:trPr>
          <w:trHeight w:val="21"/>
        </w:trPr>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As of March 31, 2025</w:t>
            </w: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Amortized Costs</w:t>
            </w:r>
          </w:p>
        </w:tc>
        <w:tc>
          <w:tcPr>
            <w:tcW w:w="200" w:type="dxa"/>
            <w:vAlign w:val="bottom"/>
          </w:tcPr>
          <w:p>
            <w:pPr>
              <w:spacing w:after="0"/>
              <w:rPr>
                <w:sz w:val="13"/>
                <w:szCs w:val="13"/>
                <w:color w:val="auto"/>
              </w:rPr>
            </w:pPr>
          </w:p>
        </w:tc>
        <w:tc>
          <w:tcPr>
            <w:tcW w:w="2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Estimated Fair Value</w:t>
            </w:r>
          </w:p>
        </w:tc>
        <w:tc>
          <w:tcPr>
            <w:tcW w:w="2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Restricted Cash (Current &amp;</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22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Non-Current)</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64,765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24,559</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9"/>
        </w:trPr>
        <w:tc>
          <w:tcPr>
            <w:tcW w:w="2280" w:type="dxa"/>
            <w:vAlign w:val="bottom"/>
          </w:tcPr>
          <w:p>
            <w:pPr>
              <w:jc w:val="center"/>
              <w:ind w:right="219"/>
              <w:spacing w:after="0"/>
              <w:rPr>
                <w:sz w:val="20"/>
                <w:szCs w:val="20"/>
                <w:color w:val="auto"/>
              </w:rPr>
            </w:pPr>
            <w:r>
              <w:rPr>
                <w:rFonts w:ascii="Arial" w:cs="Arial" w:eastAsia="Arial" w:hAnsi="Arial"/>
                <w:sz w:val="16"/>
                <w:szCs w:val="16"/>
                <w:color w:val="auto"/>
                <w:w w:val="99"/>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89,324</w:t>
            </w:r>
          </w:p>
        </w:tc>
        <w:tc>
          <w:tcPr>
            <w:tcW w:w="100" w:type="dxa"/>
            <w:vAlign w:val="bottom"/>
          </w:tcPr>
          <w:p>
            <w:pPr>
              <w:spacing w:after="0"/>
              <w:rPr>
                <w:sz w:val="18"/>
                <w:szCs w:val="18"/>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88,050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cash, cash equivalents and restricted cash of $104.6 million included $104.2 million and $0.5 million of cash and cash equivalents and restricted cash, respectively.</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support its current operations, the Company considers all highly liquid investments with an original maturity of three months or less to be cash equivalents. The restricted cash component of the money market funds is comprised of letters of credit securing leases for certain office facilities and funds related to business combinations.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uses the Black-Scholes option-pricing valuation model to value its detachable warrants from inception and at each reporting period. During the three months ended December 31, 2025, the Company used historical volatility to determine the fair value of the warrants liability due to the low trading volume and moneyness assessment as of December 31, 2025. Changes in the fair values of the detachable warrants liability are recorded as a gain (loss) on warrants remeasurement within other income (expense), net in the condensed consolidated statements of operations and comprehensive income (loss).</w:t>
      </w:r>
    </w:p>
    <w:p>
      <w:pPr>
        <w:spacing w:after="0" w:line="1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detachable warrants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that are measured at fair value and categorized within Level 3 as of December 31, 2025 and March 31, 2025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2025</w:t>
            </w:r>
          </w:p>
        </w:tc>
        <w:tc>
          <w:tcPr>
            <w:tcW w:w="320" w:type="dxa"/>
            <w:vAlign w:val="bottom"/>
          </w:tcPr>
          <w:p>
            <w:pPr>
              <w:spacing w:after="0"/>
              <w:rPr>
                <w:sz w:val="19"/>
                <w:szCs w:val="19"/>
                <w:color w:val="auto"/>
              </w:rPr>
            </w:pPr>
          </w:p>
        </w:tc>
        <w:tc>
          <w:tcPr>
            <w:tcW w:w="194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 2025</w:t>
            </w:r>
          </w:p>
        </w:tc>
      </w:tr>
      <w:tr>
        <w:trPr>
          <w:trHeight w:val="21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detachable warrants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r>
      <w:tr>
        <w:trPr>
          <w:trHeight w:val="222"/>
        </w:trPr>
        <w:tc>
          <w:tcPr>
            <w:tcW w:w="6600" w:type="dxa"/>
            <w:vAlign w:val="bottom"/>
          </w:tcPr>
          <w:p>
            <w:pPr>
              <w:ind w:left="20"/>
              <w:spacing w:after="0"/>
              <w:rPr>
                <w:sz w:val="20"/>
                <w:szCs w:val="20"/>
                <w:color w:val="auto"/>
              </w:rPr>
            </w:pPr>
            <w:r>
              <w:rPr>
                <w:rFonts w:ascii="Arial" w:cs="Arial" w:eastAsia="Arial" w:hAnsi="Arial"/>
                <w:sz w:val="16"/>
                <w:szCs w:val="16"/>
                <w:color w:val="auto"/>
              </w:rPr>
              <w:t>Unobservable inputs:</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volatility</w:t>
            </w:r>
          </w:p>
        </w:tc>
        <w:tc>
          <w:tcPr>
            <w:tcW w:w="26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79.8 %</w:t>
            </w:r>
          </w:p>
        </w:tc>
      </w:tr>
      <w:tr>
        <w:trPr>
          <w:trHeight w:val="222"/>
        </w:trPr>
        <w:tc>
          <w:tcPr>
            <w:tcW w:w="6600" w:type="dxa"/>
            <w:vAlign w:val="bottom"/>
          </w:tcPr>
          <w:p>
            <w:pPr>
              <w:ind w:left="140"/>
              <w:spacing w:after="0"/>
              <w:rPr>
                <w:sz w:val="20"/>
                <w:szCs w:val="20"/>
                <w:color w:val="auto"/>
              </w:rPr>
            </w:pPr>
            <w:r>
              <w:rPr>
                <w:rFonts w:ascii="Arial" w:cs="Arial" w:eastAsia="Arial" w:hAnsi="Arial"/>
                <w:sz w:val="16"/>
                <w:szCs w:val="16"/>
                <w:color w:val="auto"/>
              </w:rPr>
              <w:t>Risk-free rate</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term</w:t>
            </w:r>
          </w:p>
        </w:tc>
        <w:tc>
          <w:tcPr>
            <w:tcW w:w="2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1.6 years</w:t>
            </w: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years</w:t>
            </w:r>
          </w:p>
        </w:tc>
      </w:tr>
    </w:tbl>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As of December 31, 2025 and March 31, 2025, the estimated fair value of the Company’s convertible senior notes due in 2028 was $179.0 million and $171.1 million, respectively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December 31, 2025 and March 31, 2025, the carrying value of the Company’s 2024 Term Loan approximates its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50,839</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Unbilled trade accounts receivable</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4,972</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credit losses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1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sales reserves</w:t>
            </w:r>
          </w:p>
        </w:tc>
        <w:tc>
          <w:tcPr>
            <w:tcW w:w="3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35"/>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accounts receivable, net</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54,740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760" w:type="dxa"/>
            <w:vAlign w:val="bottom"/>
            <w:gridSpan w:val="8"/>
          </w:tcPr>
          <w:p>
            <w:pPr>
              <w:spacing w:after="0"/>
              <w:rPr>
                <w:sz w:val="20"/>
                <w:szCs w:val="20"/>
                <w:color w:val="auto"/>
              </w:rPr>
            </w:pPr>
            <w:r>
              <w:rPr>
                <w:rFonts w:ascii="Arial" w:cs="Arial" w:eastAsia="Arial" w:hAnsi="Arial"/>
                <w:sz w:val="16"/>
                <w:szCs w:val="16"/>
                <w:color w:val="auto"/>
              </w:rPr>
              <w:t>Allowance for credit losses and sales reserves consisted of the following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rPr>
              <w:t>Nine Months Ended December 31, 2025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ind w:right="739"/>
              <w:spacing w:after="0"/>
              <w:rPr>
                <w:sz w:val="20"/>
                <w:szCs w:val="20"/>
                <w:color w:val="auto"/>
              </w:rPr>
            </w:pPr>
            <w:r>
              <w:rPr>
                <w:rFonts w:ascii="Arial" w:cs="Arial" w:eastAsia="Arial" w:hAnsi="Arial"/>
                <w:sz w:val="14"/>
                <w:szCs w:val="14"/>
                <w:b w:val="1"/>
                <w:bCs w:val="1"/>
                <w:color w:val="auto"/>
              </w:rPr>
              <w:t>Year Ended March 31, 2025</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Losses</w:t>
            </w:r>
          </w:p>
        </w:tc>
        <w:tc>
          <w:tcPr>
            <w:tcW w:w="22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Sales Reserves</w:t>
            </w:r>
          </w:p>
        </w:tc>
        <w:tc>
          <w:tcPr>
            <w:tcW w:w="240" w:type="dxa"/>
            <w:vAlign w:val="bottom"/>
          </w:tcPr>
          <w:p>
            <w:pPr>
              <w:spacing w:after="0"/>
              <w:rPr>
                <w:sz w:val="17"/>
                <w:szCs w:val="17"/>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Credit Losses</w:t>
            </w:r>
          </w:p>
        </w:tc>
        <w:tc>
          <w:tcPr>
            <w:tcW w:w="220" w:type="dxa"/>
            <w:vAlign w:val="bottom"/>
          </w:tcPr>
          <w:p>
            <w:pPr>
              <w:spacing w:after="0"/>
              <w:rPr>
                <w:sz w:val="17"/>
                <w:szCs w:val="17"/>
                <w:color w:val="auto"/>
              </w:rPr>
            </w:pPr>
          </w:p>
        </w:tc>
        <w:tc>
          <w:tcPr>
            <w:tcW w:w="1480" w:type="dxa"/>
            <w:vAlign w:val="bottom"/>
          </w:tcPr>
          <w:p>
            <w:pPr>
              <w:jc w:val="right"/>
              <w:ind w:right="239"/>
              <w:spacing w:after="0"/>
              <w:rPr>
                <w:sz w:val="20"/>
                <w:szCs w:val="20"/>
                <w:color w:val="auto"/>
              </w:rPr>
            </w:pPr>
            <w:r>
              <w:rPr>
                <w:rFonts w:ascii="Arial" w:cs="Arial" w:eastAsia="Arial" w:hAnsi="Arial"/>
                <w:sz w:val="14"/>
                <w:szCs w:val="14"/>
                <w:b w:val="1"/>
                <w:bCs w:val="1"/>
                <w:color w:val="auto"/>
              </w:rPr>
              <w:t>Sales Reserves</w:t>
            </w:r>
          </w:p>
        </w:tc>
        <w:tc>
          <w:tcPr>
            <w:tcW w:w="0" w:type="dxa"/>
            <w:vAlign w:val="bottom"/>
          </w:tcPr>
          <w:p>
            <w:pPr>
              <w:spacing w:after="0"/>
              <w:rPr>
                <w:sz w:val="1"/>
                <w:szCs w:val="1"/>
                <w:color w:val="auto"/>
              </w:rPr>
            </w:pP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(2,746)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(Reserve) provision</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(5,355)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(recoveries)</w:t>
            </w:r>
          </w:p>
        </w:tc>
        <w:tc>
          <w:tcPr>
            <w:tcW w:w="3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210"/>
        </w:trPr>
        <w:tc>
          <w:tcPr>
            <w:tcW w:w="4180" w:type="dxa"/>
            <w:vAlign w:val="bottom"/>
          </w:tcPr>
          <w:p>
            <w:pPr>
              <w:ind w:left="220"/>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8900" w:type="dxa"/>
            <w:vAlign w:val="bottom"/>
            <w:gridSpan w:val="10"/>
          </w:tcPr>
          <w:p>
            <w:pPr>
              <w:spacing w:after="0"/>
              <w:rPr>
                <w:sz w:val="20"/>
                <w:szCs w:val="20"/>
                <w:color w:val="auto"/>
              </w:rPr>
            </w:pPr>
            <w:r>
              <w:rPr>
                <w:rFonts w:ascii="Arial" w:cs="Arial" w:eastAsia="Arial" w:hAnsi="Arial"/>
                <w:sz w:val="16"/>
                <w:szCs w:val="16"/>
                <w:color w:val="auto"/>
              </w:rPr>
              <w:t>The following tables set forth the property and equipment, net, geographic information for each period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45,677</w:t>
            </w:r>
          </w:p>
        </w:tc>
        <w:tc>
          <w:tcPr>
            <w:tcW w:w="0" w:type="dxa"/>
            <w:vAlign w:val="bottom"/>
          </w:tcPr>
          <w:p>
            <w:pPr>
              <w:spacing w:after="0"/>
              <w:rPr>
                <w:sz w:val="1"/>
                <w:szCs w:val="1"/>
                <w:color w:val="auto"/>
              </w:rPr>
            </w:pPr>
          </w:p>
        </w:tc>
      </w:tr>
      <w:tr>
        <w:trPr>
          <w:trHeight w:val="21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35"/>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Other current assets consisted of the following (in thousands):</w:t>
            </w: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5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09"/>
        </w:trPr>
        <w:tc>
          <w:tcPr>
            <w:tcW w:w="4180" w:type="dxa"/>
            <w:vAlign w:val="bottom"/>
          </w:tcPr>
          <w:p>
            <w:pPr>
              <w:ind w:left="220"/>
              <w:spacing w:after="0"/>
              <w:rPr>
                <w:sz w:val="20"/>
                <w:szCs w:val="20"/>
                <w:color w:val="auto"/>
              </w:rPr>
            </w:pPr>
            <w:r>
              <w:rPr>
                <w:rFonts w:ascii="Arial" w:cs="Arial" w:eastAsia="Arial" w:hAnsi="Arial"/>
                <w:sz w:val="16"/>
                <w:szCs w:val="16"/>
                <w:color w:val="auto"/>
              </w:rPr>
              <w:t>Total other current assets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34,739</w:t>
            </w:r>
          </w:p>
        </w:tc>
        <w:tc>
          <w:tcPr>
            <w:tcW w:w="0" w:type="dxa"/>
            <w:vAlign w:val="bottom"/>
          </w:tcPr>
          <w:p>
            <w:pPr>
              <w:spacing w:after="0"/>
              <w:rPr>
                <w:sz w:val="1"/>
                <w:szCs w:val="1"/>
                <w:color w:val="auto"/>
              </w:rPr>
            </w:pPr>
          </w:p>
        </w:tc>
      </w:tr>
      <w:tr>
        <w:trPr>
          <w:trHeight w:val="21"/>
        </w:trPr>
        <w:tc>
          <w:tcPr>
            <w:tcW w:w="5960" w:type="dxa"/>
            <w:vAlign w:val="bottom"/>
            <w:gridSpan w:val="4"/>
            <w:vMerge w:val="restart"/>
          </w:tcPr>
          <w:p>
            <w:pPr>
              <w:spacing w:after="0"/>
              <w:rPr>
                <w:sz w:val="20"/>
                <w:szCs w:val="20"/>
                <w:color w:val="auto"/>
              </w:rPr>
            </w:pPr>
            <w:r>
              <w:rPr>
                <w:rFonts w:ascii="Arial" w:cs="Arial" w:eastAsia="Arial" w:hAnsi="Arial"/>
                <w:sz w:val="16"/>
                <w:szCs w:val="16"/>
                <w:color w:val="auto"/>
              </w:rPr>
              <w:t>Accrued and other liabilities consisted of the following (in thousands):</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9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1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17,745</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24,186</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21,094</w:t>
            </w:r>
          </w:p>
        </w:tc>
        <w:tc>
          <w:tcPr>
            <w:tcW w:w="0" w:type="dxa"/>
            <w:vAlign w:val="bottom"/>
          </w:tcPr>
          <w:p>
            <w:pPr>
              <w:spacing w:after="0"/>
              <w:rPr>
                <w:sz w:val="1"/>
                <w:szCs w:val="1"/>
                <w:color w:val="auto"/>
              </w:rPr>
            </w:pPr>
          </w:p>
        </w:tc>
      </w:tr>
      <w:tr>
        <w:trPr>
          <w:trHeight w:val="210"/>
        </w:trPr>
        <w:tc>
          <w:tcPr>
            <w:tcW w:w="4180" w:type="dxa"/>
            <w:vAlign w:val="bottom"/>
          </w:tcPr>
          <w:p>
            <w:pPr>
              <w:ind w:left="220"/>
              <w:spacing w:after="0"/>
              <w:rPr>
                <w:sz w:val="20"/>
                <w:szCs w:val="20"/>
                <w:color w:val="auto"/>
              </w:rPr>
            </w:pPr>
            <w:r>
              <w:rPr>
                <w:rFonts w:ascii="Arial" w:cs="Arial" w:eastAsia="Arial" w:hAnsi="Arial"/>
                <w:sz w:val="16"/>
                <w:szCs w:val="16"/>
                <w:color w:val="auto"/>
              </w:rPr>
              <w:t>Total accrued and other liabilities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69,850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63,025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35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Pr>
          <w:p>
            <w:pPr>
              <w:spacing w:after="0"/>
              <w:rPr>
                <w:sz w:val="18"/>
                <w:szCs w:val="18"/>
                <w:color w:val="auto"/>
              </w:rPr>
            </w:pPr>
          </w:p>
        </w:tc>
        <w:tc>
          <w:tcPr>
            <w:tcW w:w="32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r>
      <w:tr>
        <w:trPr>
          <w:trHeight w:val="210"/>
        </w:trPr>
        <w:tc>
          <w:tcPr>
            <w:tcW w:w="4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(12,212)</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Gain (loss) on warrants remeasurement</w:t>
            </w: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1,197</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r>
      <w:tr>
        <w:trPr>
          <w:trHeight w:val="21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r>
      <w:tr>
        <w:trPr>
          <w:trHeight w:val="235"/>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Intangible Assets and Goodwill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30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3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Carrying</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13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Useful Life (in</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80" w:type="dxa"/>
            <w:vAlign w:val="bottom"/>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56,216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105,881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(40,670)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65,211</w:t>
            </w:r>
          </w:p>
        </w:tc>
        <w:tc>
          <w:tcPr>
            <w:tcW w:w="0" w:type="dxa"/>
            <w:vAlign w:val="bottom"/>
          </w:tcPr>
          <w:p>
            <w:pPr>
              <w:spacing w:after="0"/>
              <w:rPr>
                <w:sz w:val="1"/>
                <w:szCs w:val="1"/>
                <w:color w:val="auto"/>
              </w:rPr>
            </w:pPr>
          </w:p>
        </w:tc>
      </w:tr>
      <w:tr>
        <w:trPr>
          <w:trHeight w:val="215"/>
        </w:trPr>
        <w:tc>
          <w:tcPr>
            <w:tcW w:w="21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46,696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(44,003)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42"/>
        </w:trPr>
        <w:tc>
          <w:tcPr>
            <w:tcW w:w="2100" w:type="dxa"/>
            <w:vAlign w:val="bottom"/>
          </w:tcPr>
          <w:p>
            <w:pPr>
              <w:ind w:left="220"/>
              <w:spacing w:after="0" w:line="142" w:lineRule="exact"/>
              <w:rPr>
                <w:sz w:val="20"/>
                <w:szCs w:val="20"/>
                <w:color w:val="auto"/>
              </w:rPr>
            </w:pPr>
            <w:r>
              <w:rPr>
                <w:rFonts w:ascii="Arial" w:cs="Arial" w:eastAsia="Arial" w:hAnsi="Arial"/>
                <w:sz w:val="16"/>
                <w:szCs w:val="16"/>
                <w:color w:val="auto"/>
              </w:rPr>
              <w:t>Total acquired identifiable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153,271</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(95,885)</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57,386</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153,207</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(85,258)</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67,949</w:t>
            </w:r>
          </w:p>
        </w:tc>
        <w:tc>
          <w:tcPr>
            <w:tcW w:w="0" w:type="dxa"/>
            <w:vAlign w:val="bottom"/>
          </w:tcPr>
          <w:p>
            <w:pPr>
              <w:spacing w:after="0"/>
              <w:rPr>
                <w:sz w:val="1"/>
                <w:szCs w:val="1"/>
                <w:color w:val="auto"/>
              </w:rPr>
            </w:pPr>
          </w:p>
        </w:tc>
      </w:tr>
      <w:tr>
        <w:trPr>
          <w:trHeight w:val="194"/>
        </w:trPr>
        <w:tc>
          <w:tcPr>
            <w:tcW w:w="2100" w:type="dxa"/>
            <w:vAlign w:val="bottom"/>
          </w:tcPr>
          <w:p>
            <w:pPr>
              <w:ind w:left="220"/>
              <w:spacing w:after="0"/>
              <w:rPr>
                <w:sz w:val="20"/>
                <w:szCs w:val="20"/>
                <w:color w:val="auto"/>
              </w:rPr>
            </w:pPr>
            <w:r>
              <w:rPr>
                <w:rFonts w:ascii="Arial" w:cs="Arial" w:eastAsia="Arial" w:hAnsi="Arial"/>
                <w:sz w:val="16"/>
                <w:szCs w:val="16"/>
                <w:color w:val="auto"/>
              </w:rPr>
              <w:t>intangible assets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At December 31, 2025, annual amortization of intangible assets, based upon existing intangible assets and current useful lives, is estimated to be the following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year 2026</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11,123</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2029</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11,044</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and thereafter</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19,881</w:t>
            </w:r>
          </w:p>
        </w:tc>
        <w:tc>
          <w:tcPr>
            <w:tcW w:w="0" w:type="dxa"/>
            <w:vAlign w:val="bottom"/>
          </w:tcPr>
          <w:p>
            <w:pPr>
              <w:spacing w:after="0"/>
              <w:rPr>
                <w:sz w:val="1"/>
                <w:szCs w:val="1"/>
                <w:color w:val="auto"/>
              </w:rPr>
            </w:pPr>
          </w:p>
        </w:tc>
      </w:tr>
      <w:tr>
        <w:trPr>
          <w:trHeight w:val="208"/>
        </w:trPr>
        <w:tc>
          <w:tcPr>
            <w:tcW w:w="420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57,386</w:t>
            </w:r>
          </w:p>
        </w:tc>
        <w:tc>
          <w:tcPr>
            <w:tcW w:w="0" w:type="dxa"/>
            <w:vAlign w:val="bottom"/>
          </w:tcPr>
          <w:p>
            <w:pPr>
              <w:spacing w:after="0"/>
              <w:rPr>
                <w:sz w:val="1"/>
                <w:szCs w:val="1"/>
                <w:color w:val="auto"/>
              </w:rPr>
            </w:pPr>
          </w:p>
        </w:tc>
      </w:tr>
      <w:tr>
        <w:trPr>
          <w:trHeight w:val="22"/>
        </w:trPr>
        <w:tc>
          <w:tcPr>
            <w:tcW w:w="7760" w:type="dxa"/>
            <w:vAlign w:val="bottom"/>
            <w:gridSpan w:val="7"/>
            <w:vMerge w:val="restart"/>
          </w:tcPr>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 (in thousands):</w:t>
            </w: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776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2025</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271,530</w:t>
            </w:r>
          </w:p>
        </w:tc>
        <w:tc>
          <w:tcPr>
            <w:tcW w:w="0" w:type="dxa"/>
            <w:vAlign w:val="bottom"/>
          </w:tcPr>
          <w:p>
            <w:pPr>
              <w:spacing w:after="0"/>
              <w:rPr>
                <w:sz w:val="1"/>
                <w:szCs w:val="1"/>
                <w:color w:val="auto"/>
              </w:rPr>
            </w:pPr>
          </w:p>
        </w:tc>
      </w:tr>
      <w:tr>
        <w:trPr>
          <w:trHeight w:val="21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274,004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b w:val="1"/>
                <w:bCs w:val="1"/>
                <w:color w:val="auto"/>
              </w:rPr>
              <w:t>6. Leases</w:t>
            </w: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980" w:type="dxa"/>
            <w:vAlign w:val="bottom"/>
            <w:gridSpan w:val="4"/>
          </w:tcPr>
          <w:p>
            <w:pPr>
              <w:spacing w:after="0"/>
              <w:rPr>
                <w:sz w:val="20"/>
                <w:szCs w:val="20"/>
                <w:color w:val="auto"/>
              </w:rPr>
            </w:pPr>
            <w:r>
              <w:rPr>
                <w:rFonts w:ascii="Arial" w:cs="Arial" w:eastAsia="Arial" w:hAnsi="Arial"/>
                <w:sz w:val="16"/>
                <w:szCs w:val="16"/>
                <w:color w:val="auto"/>
              </w:rPr>
              <w:t>The components of lease expense were as follows (in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Pr>
          <w:p>
            <w:pPr>
              <w:spacing w:after="0"/>
              <w:rPr>
                <w:sz w:val="24"/>
                <w:szCs w:val="24"/>
                <w:color w:val="auto"/>
              </w:rPr>
            </w:pPr>
          </w:p>
        </w:tc>
        <w:tc>
          <w:tcPr>
            <w:tcW w:w="322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8,907</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2,880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supplemental cash flow information related to leases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December 31,</w:t>
            </w:r>
          </w:p>
        </w:tc>
        <w:tc>
          <w:tcPr>
            <w:tcW w:w="280" w:type="dxa"/>
            <w:vAlign w:val="bottom"/>
          </w:tcPr>
          <w:p>
            <w:pPr>
              <w:spacing w:after="0"/>
              <w:rPr>
                <w:sz w:val="18"/>
                <w:szCs w:val="18"/>
                <w:color w:val="auto"/>
              </w:rPr>
            </w:pPr>
          </w:p>
        </w:tc>
        <w:tc>
          <w:tcPr>
            <w:tcW w:w="32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11,034</w:t>
            </w:r>
          </w:p>
        </w:tc>
        <w:tc>
          <w:tcPr>
            <w:tcW w:w="0" w:type="dxa"/>
            <w:vAlign w:val="bottom"/>
          </w:tcPr>
          <w:p>
            <w:pPr>
              <w:spacing w:after="0"/>
              <w:rPr>
                <w:sz w:val="1"/>
                <w:szCs w:val="1"/>
                <w:color w:val="auto"/>
              </w:rPr>
            </w:pPr>
          </w:p>
        </w:tc>
      </w:tr>
      <w:tr>
        <w:trPr>
          <w:trHeight w:val="162"/>
        </w:trPr>
        <w:tc>
          <w:tcPr>
            <w:tcW w:w="4180" w:type="dxa"/>
            <w:vAlign w:val="bottom"/>
          </w:tcPr>
          <w:p>
            <w:pPr>
              <w:ind w:left="20"/>
              <w:spacing w:after="0" w:line="162" w:lineRule="exact"/>
              <w:rPr>
                <w:sz w:val="20"/>
                <w:szCs w:val="20"/>
                <w:color w:val="auto"/>
              </w:rPr>
            </w:pPr>
            <w:r>
              <w:rPr>
                <w:rFonts w:ascii="Arial" w:cs="Arial" w:eastAsia="Arial" w:hAnsi="Arial"/>
                <w:sz w:val="16"/>
                <w:szCs w:val="16"/>
                <w:color w:val="auto"/>
              </w:rPr>
              <w:t>Right-of-use assets obtained in exchange for operating</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nine months ended December 31, 2025 and 2024,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The following table presents supplemental lease information: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80"/>
        </w:trPr>
        <w:tc>
          <w:tcPr>
            <w:tcW w:w="6800" w:type="dxa"/>
            <w:vAlign w:val="bottom"/>
          </w:tcPr>
          <w:p>
            <w:pPr>
              <w:spacing w:after="0"/>
              <w:rPr>
                <w:sz w:val="24"/>
                <w:szCs w:val="24"/>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December 31, 2025</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4.7 years</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5.4 years</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December 31, 2025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year 2026</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2027</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12,304</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11,554</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2029</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11,430</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11,433</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7,937</w:t>
            </w:r>
          </w:p>
        </w:tc>
      </w:tr>
      <w:tr>
        <w:trPr>
          <w:trHeight w:val="210"/>
        </w:trPr>
        <w:tc>
          <w:tcPr>
            <w:tcW w:w="9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58,064</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(5,640)</w:t>
            </w:r>
          </w:p>
        </w:tc>
      </w:tr>
      <w:tr>
        <w:trPr>
          <w:trHeight w:val="210"/>
        </w:trPr>
        <w:tc>
          <w:tcPr>
            <w:tcW w:w="9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52,424</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10,574</w:t>
            </w:r>
          </w:p>
        </w:tc>
      </w:tr>
      <w:tr>
        <w:trPr>
          <w:trHeight w:val="235"/>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evaluate its leases for potential impairments, noting no further impairments during the nine months ended December 31, 2025.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Company's lease obligations consist of the Company's principal facility and various leased facilities under operating lease agreements. See Note </w:t>
      </w:r>
      <w:r>
        <w:rPr>
          <w:rFonts w:ascii="Arial" w:cs="Arial" w:eastAsia="Arial" w:hAnsi="Arial"/>
          <w:sz w:val="16"/>
          <w:szCs w:val="16"/>
          <w:color w:val="0000FF"/>
        </w:rPr>
        <w:t>6</w:t>
      </w:r>
      <w:r>
        <w:rPr>
          <w:rFonts w:ascii="Arial" w:cs="Arial" w:eastAsia="Arial" w:hAnsi="Arial"/>
          <w:sz w:val="16"/>
          <w:szCs w:val="16"/>
          <w:color w:val="auto"/>
        </w:rPr>
        <w:t>, Leases, for more information on the Company's leases and the future minimum lease payments.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nine months ended December 31, 2025, the Company increased its non-cancellable three-year hosting service contract commitment from $24.1 million to $54.0 million. Under this agreement, $2.4 million remains due during fiscal year 2026, $10.0 million will be due during fiscal year 2027 and $10.0 million will be due during fiscal year 2028.</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December 31, 2025.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condensed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condensed consolidated financial statements could be materially adversely affected in a particular period by the resolution of one or more of these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and/or accrues amounts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Based on such assessments, as of December 31, 2025 and March 31, 2025, the Company had accrued contingent indirect tax liabilities of $10.6 million and $11.1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Convertible Senior Notes and Term Loan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Components of convertible senior notes and term loan were as follows as of December 31, 2025 and March 31, 2025, respectively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2025</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March 31, 2025</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7"/>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61"/>
              <w:spacing w:after="0"/>
              <w:rPr>
                <w:sz w:val="20"/>
                <w:szCs w:val="20"/>
                <w:color w:val="auto"/>
              </w:rPr>
            </w:pPr>
            <w:r>
              <w:rPr>
                <w:rFonts w:ascii="Arial" w:cs="Arial" w:eastAsia="Arial" w:hAnsi="Arial"/>
                <w:sz w:val="14"/>
                <w:szCs w:val="14"/>
                <w:b w:val="1"/>
                <w:bCs w:val="1"/>
                <w:color w:val="auto"/>
              </w:rPr>
              <w:t>2024 Term Loan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2028 Notes</w:t>
            </w:r>
          </w:p>
        </w:tc>
        <w:tc>
          <w:tcPr>
            <w:tcW w:w="32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2024 Term Loan</w:t>
            </w:r>
          </w:p>
        </w:tc>
        <w:tc>
          <w:tcPr>
            <w:tcW w:w="12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2028 Notes</w:t>
            </w:r>
          </w:p>
        </w:tc>
        <w:tc>
          <w:tcPr>
            <w:tcW w:w="320" w:type="dxa"/>
            <w:vAlign w:val="bottom"/>
          </w:tcPr>
          <w:p>
            <w:pPr>
              <w:spacing w:after="0"/>
              <w:rPr>
                <w:sz w:val="17"/>
                <w:szCs w:val="17"/>
                <w:color w:val="auto"/>
              </w:rPr>
            </w:pPr>
          </w:p>
        </w:tc>
        <w:tc>
          <w:tcPr>
            <w:tcW w:w="108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1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201,914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323,914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201,914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353,914</w:t>
            </w:r>
          </w:p>
        </w:tc>
      </w:tr>
      <w:tr>
        <w:trPr>
          <w:trHeight w:val="175"/>
        </w:trPr>
        <w:tc>
          <w:tcPr>
            <w:tcW w:w="2200" w:type="dxa"/>
            <w:vAlign w:val="bottom"/>
          </w:tcPr>
          <w:p>
            <w:pPr>
              <w:ind w:left="20"/>
              <w:spacing w:after="0" w:line="175" w:lineRule="exact"/>
              <w:rPr>
                <w:sz w:val="20"/>
                <w:szCs w:val="20"/>
                <w:color w:val="auto"/>
              </w:rPr>
            </w:pPr>
            <w:r>
              <w:rPr>
                <w:rFonts w:ascii="Arial" w:cs="Arial" w:eastAsia="Arial" w:hAnsi="Arial"/>
                <w:sz w:val="16"/>
                <w:szCs w:val="16"/>
                <w:color w:val="auto"/>
              </w:rPr>
              <w:t>Unamortized debt discount</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issuance costs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(2,744)</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(3,950)</w:t>
            </w:r>
          </w:p>
        </w:tc>
      </w:tr>
      <w:tr>
        <w:trPr>
          <w:trHeight w:val="211"/>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199,598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321,170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349,964</w:t>
            </w:r>
          </w:p>
        </w:tc>
      </w:tr>
      <w:tr>
        <w:trPr>
          <w:trHeight w:val="175"/>
        </w:trPr>
        <w:tc>
          <w:tcPr>
            <w:tcW w:w="2200" w:type="dxa"/>
            <w:vAlign w:val="bottom"/>
          </w:tcPr>
          <w:p>
            <w:pPr>
              <w:ind w:left="20"/>
              <w:spacing w:after="0" w:line="175" w:lineRule="exact"/>
              <w:rPr>
                <w:sz w:val="20"/>
                <w:szCs w:val="20"/>
                <w:color w:val="auto"/>
              </w:rPr>
            </w:pPr>
            <w:r>
              <w:rPr>
                <w:rFonts w:ascii="Arial" w:cs="Arial" w:eastAsia="Arial" w:hAnsi="Arial"/>
                <w:sz w:val="16"/>
                <w:szCs w:val="16"/>
                <w:color w:val="auto"/>
              </w:rPr>
              <w:t>Current portion of long-term</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6"/>
                <w:szCs w:val="16"/>
                <w:color w:val="auto"/>
              </w:rPr>
              <w:t>debt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26,700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11,593</w:t>
            </w:r>
          </w:p>
        </w:tc>
      </w:tr>
      <w:tr>
        <w:trPr>
          <w:trHeight w:val="156"/>
        </w:trPr>
        <w:tc>
          <w:tcPr>
            <w:tcW w:w="2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6"/>
                <w:szCs w:val="16"/>
                <w:color w:val="auto"/>
              </w:rPr>
              <w:t>Non-current portion of long-</w:t>
            </w: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23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94,872</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199,598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294,470</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198,790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338,371</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Components of debt interest expense were as follows as of the three and nine months ended December 31, 2025 and 2024,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jc w:val="center"/>
              <w:ind w:right="221"/>
              <w:spacing w:after="0"/>
              <w:rPr>
                <w:sz w:val="20"/>
                <w:szCs w:val="20"/>
                <w:color w:val="auto"/>
              </w:rPr>
            </w:pPr>
            <w:r>
              <w:rPr>
                <w:rFonts w:ascii="Arial" w:cs="Arial" w:eastAsia="Arial" w:hAnsi="Arial"/>
                <w:sz w:val="14"/>
                <w:szCs w:val="14"/>
                <w:b w:val="1"/>
                <w:bCs w:val="1"/>
                <w:color w:val="auto"/>
              </w:rPr>
              <w:t>Three Months Ended December 31, 2025</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9"/>
          </w:tcPr>
          <w:p>
            <w:pPr>
              <w:jc w:val="right"/>
              <w:ind w:right="139"/>
              <w:spacing w:after="0"/>
              <w:rPr>
                <w:sz w:val="20"/>
                <w:szCs w:val="20"/>
                <w:color w:val="auto"/>
              </w:rPr>
            </w:pPr>
            <w:r>
              <w:rPr>
                <w:rFonts w:ascii="Arial" w:cs="Arial" w:eastAsia="Arial" w:hAnsi="Arial"/>
                <w:sz w:val="14"/>
                <w:szCs w:val="14"/>
                <w:b w:val="1"/>
                <w:bCs w:val="1"/>
                <w:color w:val="auto"/>
              </w:rPr>
              <w:t>Three Months Ended December 31, 2024</w:t>
            </w:r>
          </w:p>
        </w:tc>
        <w:tc>
          <w:tcPr>
            <w:tcW w:w="900" w:type="dxa"/>
            <w:vAlign w:val="bottom"/>
            <w:tcBorders>
              <w:bottom w:val="single" w:sz="8" w:color="auto"/>
            </w:tcBorders>
          </w:tcPr>
          <w:p>
            <w:pPr>
              <w:spacing w:after="0"/>
              <w:rPr>
                <w:sz w:val="17"/>
                <w:szCs w:val="17"/>
                <w:color w:val="auto"/>
              </w:rPr>
            </w:pPr>
          </w:p>
        </w:tc>
      </w:tr>
      <w:tr>
        <w:trPr>
          <w:trHeight w:val="210"/>
        </w:trPr>
        <w:tc>
          <w:tcPr>
            <w:tcW w:w="224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2024 Term Loan</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2028 Notes</w:t>
            </w: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2024 Term Loan</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2022 Term Loan</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2028 Notes</w:t>
            </w:r>
          </w:p>
        </w:tc>
        <w:tc>
          <w:tcPr>
            <w:tcW w:w="28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4"/>
                <w:szCs w:val="14"/>
                <w:b w:val="1"/>
                <w:bCs w:val="1"/>
                <w:color w:val="auto"/>
              </w:rPr>
              <w:t>Total</w:t>
            </w: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4,226</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3,396</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5,415</w:t>
            </w:r>
          </w:p>
        </w:tc>
      </w:tr>
      <w:tr>
        <w:trPr>
          <w:trHeight w:val="175"/>
        </w:trPr>
        <w:tc>
          <w:tcPr>
            <w:tcW w:w="25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Amortization of debt discount</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7"/>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and issuance costs</w:t>
            </w:r>
            <w:r>
              <w:rPr>
                <w:rFonts w:ascii="Arial" w:cs="Arial" w:eastAsia="Arial" w:hAnsi="Arial"/>
                <w:sz w:val="21"/>
                <w:szCs w:val="21"/>
                <w:color w:val="auto"/>
                <w:vertAlign w:val="superscript"/>
              </w:rPr>
              <w:t>1</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361</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427</w:t>
            </w:r>
          </w:p>
        </w:tc>
      </w:tr>
      <w:tr>
        <w:trPr>
          <w:trHeight w:val="235"/>
        </w:trPr>
        <w:tc>
          <w:tcPr>
            <w:tcW w:w="2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debt interest expense</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5,842</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35" w:lineRule="exact"/>
        <w:rPr>
          <w:sz w:val="20"/>
          <w:szCs w:val="20"/>
          <w:color w:val="auto"/>
        </w:rPr>
      </w:pPr>
    </w:p>
    <w:p>
      <w:pPr>
        <w:ind w:firstLine="8"/>
        <w:spacing w:after="0" w:line="230" w:lineRule="auto"/>
        <w:tabs>
          <w:tab w:leader="none" w:pos="10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represents the non-cash amortization of debt discount and issuance costs associated with the Company's debt instruments. These costs are amortized to interest expense over the respective terms of the debt using the effective interest method.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7"/>
          </w:tcPr>
          <w:p>
            <w:pPr>
              <w:jc w:val="center"/>
              <w:ind w:right="241"/>
              <w:spacing w:after="0"/>
              <w:rPr>
                <w:sz w:val="20"/>
                <w:szCs w:val="20"/>
                <w:color w:val="auto"/>
              </w:rPr>
            </w:pPr>
            <w:r>
              <w:rPr>
                <w:rFonts w:ascii="Arial" w:cs="Arial" w:eastAsia="Arial" w:hAnsi="Arial"/>
                <w:sz w:val="14"/>
                <w:szCs w:val="14"/>
                <w:b w:val="1"/>
                <w:bCs w:val="1"/>
                <w:color w:val="auto"/>
              </w:rPr>
              <w:t>Nine Months Ended December 31, 2025</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9"/>
          </w:tcPr>
          <w:p>
            <w:pPr>
              <w:jc w:val="right"/>
              <w:ind w:right="179"/>
              <w:spacing w:after="0"/>
              <w:rPr>
                <w:sz w:val="20"/>
                <w:szCs w:val="20"/>
                <w:color w:val="auto"/>
              </w:rPr>
            </w:pPr>
            <w:r>
              <w:rPr>
                <w:rFonts w:ascii="Arial" w:cs="Arial" w:eastAsia="Arial" w:hAnsi="Arial"/>
                <w:sz w:val="14"/>
                <w:szCs w:val="14"/>
                <w:b w:val="1"/>
                <w:bCs w:val="1"/>
                <w:color w:val="auto"/>
              </w:rPr>
              <w:t>Nine Months Ended December 31, 2024</w:t>
            </w:r>
          </w:p>
        </w:tc>
        <w:tc>
          <w:tcPr>
            <w:tcW w:w="900" w:type="dxa"/>
            <w:vAlign w:val="bottom"/>
            <w:tcBorders>
              <w:bottom w:val="single" w:sz="8" w:color="auto"/>
            </w:tcBorders>
          </w:tcPr>
          <w:p>
            <w:pPr>
              <w:spacing w:after="0"/>
              <w:rPr>
                <w:sz w:val="17"/>
                <w:szCs w:val="17"/>
                <w:color w:val="auto"/>
              </w:rPr>
            </w:pPr>
          </w:p>
        </w:tc>
      </w:tr>
      <w:tr>
        <w:trPr>
          <w:trHeight w:val="209"/>
        </w:trPr>
        <w:tc>
          <w:tcPr>
            <w:tcW w:w="224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2024 Term Loan</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2028 Notes</w:t>
            </w: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 Term Loan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2022 Term Loan</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2028 Notes</w:t>
            </w:r>
          </w:p>
        </w:tc>
        <w:tc>
          <w:tcPr>
            <w:tcW w:w="28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4"/>
                <w:szCs w:val="14"/>
                <w:b w:val="1"/>
                <w:bCs w:val="1"/>
                <w:color w:val="auto"/>
              </w:rPr>
              <w:t>Total</w:t>
            </w: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13,264</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6,077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21,558</w:t>
            </w:r>
          </w:p>
        </w:tc>
      </w:tr>
      <w:tr>
        <w:trPr>
          <w:trHeight w:val="175"/>
        </w:trPr>
        <w:tc>
          <w:tcPr>
            <w:tcW w:w="2240" w:type="dxa"/>
            <w:vAlign w:val="bottom"/>
          </w:tcPr>
          <w:p>
            <w:pPr>
              <w:ind w:left="20"/>
              <w:spacing w:after="0" w:line="175" w:lineRule="exact"/>
              <w:rPr>
                <w:sz w:val="20"/>
                <w:szCs w:val="20"/>
                <w:color w:val="auto"/>
              </w:rPr>
            </w:pPr>
            <w:r>
              <w:rPr>
                <w:rFonts w:ascii="Arial" w:cs="Arial" w:eastAsia="Arial" w:hAnsi="Arial"/>
                <w:sz w:val="16"/>
                <w:szCs w:val="16"/>
                <w:color w:val="auto"/>
              </w:rPr>
              <w:t>Amortization of debt discount</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7"/>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issuance costs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1,059</w:t>
            </w:r>
          </w:p>
        </w:tc>
        <w:tc>
          <w:tcPr>
            <w:tcW w:w="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773</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2,145</w:t>
            </w:r>
          </w:p>
        </w:tc>
      </w:tr>
      <w:tr>
        <w:trPr>
          <w:trHeight w:val="155"/>
        </w:trPr>
        <w:tc>
          <w:tcPr>
            <w:tcW w:w="2240" w:type="dxa"/>
            <w:vAlign w:val="bottom"/>
            <w:shd w:val="clear" w:color="auto" w:fill="CCEEFF"/>
          </w:tcPr>
          <w:p>
            <w:pPr>
              <w:ind w:left="220"/>
              <w:spacing w:after="0" w:line="155" w:lineRule="exact"/>
              <w:rPr>
                <w:sz w:val="20"/>
                <w:szCs w:val="20"/>
                <w:color w:val="auto"/>
              </w:rPr>
            </w:pPr>
            <w:r>
              <w:rPr>
                <w:rFonts w:ascii="Arial" w:cs="Arial" w:eastAsia="Arial" w:hAnsi="Arial"/>
                <w:sz w:val="16"/>
                <w:szCs w:val="16"/>
                <w:color w:val="auto"/>
              </w:rPr>
              <w:t>Total debt interest</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50"/>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expense</w:t>
            </w:r>
            <w:r>
              <w:rPr>
                <w:rFonts w:ascii="Arial" w:cs="Arial" w:eastAsia="Arial" w:hAnsi="Arial"/>
                <w:sz w:val="21"/>
                <w:szCs w:val="21"/>
                <w:color w:val="auto"/>
                <w:vertAlign w:val="superscript"/>
              </w:rPr>
              <w:t>2</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14,323</w:t>
            </w: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480" w:type="dxa"/>
            <w:vAlign w:val="bottom"/>
            <w:gridSpan w:val="3"/>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6,850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23,703</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2024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2024 Term Loan bears interest at an annual rate equal to the Term Standard Overnight Financing Rate (the "Term SOFR"), plus a margin of either 2.50%, 2.75% or 3.00% based on the consolidated total net leverage ratio of the Company and its subsidiaries. The initial margin was 3.00% for the fiscal quarter ending September 30, 2024 and remained 3.00% as of December 31, 2025. The Company has the option to pay interest monthly, quarterly, or semi-annually. During the three months ended December 31, 2025, the Company elected quarterly interest payment terms resulting in contractual interest expense of $2.2 million. As of December 31, 2025, the debt issuance costs were amortized to interest expense over the term of the 2024 Term Loan at an effective interest rate of 8.64%.</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terms of the 2024 Credit Agreement, the Company has the right to prepay the 2024 Term Loan at any time without any premium or penalty. The Company completed three principal repayments of the 2024 Term Loan during fiscal year 2025 for a total of $48.0 million in aggregate principal amount. The Company completed three principal repayments of the 2024 Term Loan during fiscal year 2026 for a total of $30.0 million in aggregate principal amount. As of December 31, 2025, the scheduled remaining principal repayments are $39.5 million in fiscal year 2027 ($2.0 million on June 30, 2026 and $12.5 million on September 30, 2026 and each quarter thereafter through maturity), and $82.5 million principal is due before or upon maturity in fiscal year 2028. These annualized repayments will be made in quarterly installments. As of December 31, 2025, the Company has paid $37.5 million, $8.0 million, and $10.0 million of the originally scheduled principal repayments due fiscal year 2026, 2027, and 2028 respectively, and the remaining principal amount of the 2024 Term Loan after the payments is $122.0 million.</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July 29, 2025, the Company executed the First Amendment (the "Amendment") to the 2024 Credit Agreement. The Amendment is designed to provide additional financial flexibility and support future strategic initiatives. The Amendment reflects the Company's continued commitment to financial discipline as it executes long-term growth priorities and investor return initiatives. Under the terms of the 2024 Credit Agreement, the Company may prepay the 2024 Term Loan at any time without incurring a premium or penalty. The Amendment also modified, among other things, the requirements to meet certain financial ratio tests in connection with permitted acquisitions and an adjustment to maintain the existing consolidated total net leverage ratio (a measure of total debt relative to Adjusted Cash EBITDA) at its current level for the duration of the 2024 Credit Agreement. In connection with the Amendment, the Company prepaid $10.0 million of the remaining long-term principal payment due in August 2027 under the 2024 Term Loan. This prepayment did not adjust the scheduled quarterly principal payments.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These short-term principal debt repayments are accounted for as partial debt extinguishment transactions. The carrying value of the 2024 Term Loan, including the unamortized debt discount and issuance costs, was derecognized. The difference of $0.5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ind w:firstLine="8"/>
        <w:spacing w:after="0" w:line="271" w:lineRule="auto"/>
        <w:tabs>
          <w:tab w:leader="none" w:pos="102"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represents the non-cash amortization of debt discount and issuance costs associated with the Company's debt instruments. These costs are amortized to interest expense over the respective terms of the debt using the effective interest method.</w:t>
      </w: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Total debt interest expense excludes the impact of capitalized interest related to property, plant and equipment from general borrowing costs during the nine months ended December 31,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spacing w:after="0" w:line="30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December 31, 2025, the Company was in compliance with all covenants set forth in the 2024 Credit Agreement.</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and Warrants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borrowed $250.0 million in a senior secured term loan facility (the “2022 Term Loan”) under a term loan credit agreement (the “2022 Credit Agreement”) entered into on August 3, 2022 with Wilmington Savings Fund Society, FSB, as administrative agent, and certain affiliates of Francisco Partners (“FP”), with aggregate debt issuance costs and a discount of approximately $20.0 million, including $2.8 million paid in the form of shares of the Company's common stock. The 2022 Term Loan bore interest at an annual rate equal to the Term SOFR (which will be subject to a floor of 1.00% and a credit spread adjustment of 0.10%), plus a margin of 6.50%. The debt discount and debt issuance costs were amortized to interest expense over the term of the 2022 Term Loan at an effective interest rate of 11.9%.</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As of December 31, 2025 and March 31, 2025, the fair value of the Warrants was $0.5 million and $1.1 million, respectively, and was recorded within other liabilities, non-current on the condensed consolidated balance sheets. The subsequent changes in fair value were recorded through other income (expense), net on the Company’s condensed consolidated statement of operations and comprehensive income (loss). See Note </w:t>
      </w:r>
      <w:r>
        <w:rPr>
          <w:rFonts w:ascii="Arial" w:cs="Arial" w:eastAsia="Arial" w:hAnsi="Arial"/>
          <w:sz w:val="16"/>
          <w:szCs w:val="16"/>
          <w:color w:val="0000FF"/>
        </w:rPr>
        <w:t>3</w:t>
      </w:r>
      <w:r>
        <w:rPr>
          <w:rFonts w:ascii="Arial" w:cs="Arial" w:eastAsia="Arial" w:hAnsi="Arial"/>
          <w:sz w:val="16"/>
          <w:szCs w:val="16"/>
          <w:color w:val="auto"/>
        </w:rPr>
        <w:t>, Fair Value Measurements, for further details.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5, 2024, the Company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and comprehensive income (loss). The Warrants continue to be outstanding, with no change in terms in connection with the Repayment or issuance of the 2024 Term Loan.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2028 Notes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2025 and March 31, 2025, the Company had $201.9 million aggregate principal amount of 4.00% convertible senior notes due 2028 (the “2028 Notes”), with debt issuance costs of approximately $5.6 million, of which 50% was paid in the form of shares of the Company's common stock. The 2028 Notes are senior obligations of the Company that accrue interest, payable semi-annually in arrears on February 1 and August 1 of each year.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with cash, shares of the Company’s common stock, or a combination of cash and shares of the Company’s stock. As of December 31, 2025, the Company was in compliance with all covenants set forth in the indenture governing the 2028 Notes. The debt discount and debt issuance costs are amortized to interest expense over the term of the 2028 Notes at an effective interest rate of 4.70%.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Stock-Based Compensation and Stockholders'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Reserved for Future Issuance</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Shares of common stock reserved for future issuance related to outstanding equity awards and employee equity incentive plans as of December 31, 2025, were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180" w:type="dxa"/>
            <w:vAlign w:val="bottom"/>
          </w:tcPr>
          <w:p>
            <w:pPr>
              <w:jc w:val="right"/>
              <w:ind w:right="19"/>
              <w:spacing w:after="0"/>
              <w:rPr>
                <w:sz w:val="20"/>
                <w:szCs w:val="20"/>
                <w:color w:val="auto"/>
              </w:rPr>
            </w:pPr>
            <w:r>
              <w:rPr>
                <w:rFonts w:ascii="Arial" w:cs="Arial" w:eastAsia="Arial" w:hAnsi="Arial"/>
                <w:sz w:val="16"/>
                <w:szCs w:val="16"/>
                <w:b w:val="1"/>
                <w:bCs w:val="1"/>
                <w:color w:val="auto"/>
              </w:rPr>
              <w:t>Common Stock Reserved</w:t>
            </w:r>
          </w:p>
        </w:tc>
      </w:tr>
      <w:tr>
        <w:trPr>
          <w:trHeight w:val="216"/>
        </w:trPr>
        <w:tc>
          <w:tcPr>
            <w:tcW w:w="90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for Future Issuance</w:t>
            </w:r>
          </w:p>
        </w:tc>
      </w:tr>
      <w:tr>
        <w:trPr>
          <w:trHeight w:val="210"/>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Restricted stock units outstanding</w:t>
            </w:r>
          </w:p>
        </w:tc>
        <w:tc>
          <w:tcPr>
            <w:tcW w:w="2180" w:type="dxa"/>
            <w:vAlign w:val="bottom"/>
          </w:tcPr>
          <w:p>
            <w:pPr>
              <w:jc w:val="right"/>
              <w:spacing w:after="0"/>
              <w:rPr>
                <w:sz w:val="20"/>
                <w:szCs w:val="20"/>
                <w:color w:val="auto"/>
              </w:rPr>
            </w:pPr>
            <w:r>
              <w:rPr>
                <w:rFonts w:ascii="Arial" w:cs="Arial" w:eastAsia="Arial" w:hAnsi="Arial"/>
                <w:sz w:val="16"/>
                <w:szCs w:val="16"/>
                <w:color w:val="auto"/>
              </w:rPr>
              <w:t>14,446</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available under the 2017 Plan</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Shares available under the 2022 Plan</w:t>
            </w:r>
          </w:p>
        </w:tc>
        <w:tc>
          <w:tcPr>
            <w:tcW w:w="2180" w:type="dxa"/>
            <w:vAlign w:val="bottom"/>
          </w:tcPr>
          <w:p>
            <w:pPr>
              <w:jc w:val="right"/>
              <w:spacing w:after="0"/>
              <w:rPr>
                <w:sz w:val="20"/>
                <w:szCs w:val="20"/>
                <w:color w:val="auto"/>
              </w:rPr>
            </w:pPr>
            <w:r>
              <w:rPr>
                <w:rFonts w:ascii="Arial" w:cs="Arial" w:eastAsia="Arial" w:hAnsi="Arial"/>
                <w:sz w:val="16"/>
                <w:szCs w:val="16"/>
                <w:color w:val="auto"/>
              </w:rPr>
              <w:t>12,004</w:t>
            </w:r>
          </w:p>
        </w:tc>
      </w:t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available for future issuance under ESPP</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r>
      <w:tr>
        <w:trPr>
          <w:trHeight w:val="210"/>
        </w:trPr>
        <w:tc>
          <w:tcPr>
            <w:tcW w:w="9060" w:type="dxa"/>
            <w:vAlign w:val="bottom"/>
          </w:tcPr>
          <w:p>
            <w:pPr>
              <w:ind w:left="220"/>
              <w:spacing w:after="0"/>
              <w:rPr>
                <w:sz w:val="20"/>
                <w:szCs w:val="20"/>
                <w:color w:val="auto"/>
              </w:rPr>
            </w:pPr>
            <w:r>
              <w:rPr>
                <w:rFonts w:ascii="Arial" w:cs="Arial" w:eastAsia="Arial" w:hAnsi="Arial"/>
                <w:sz w:val="16"/>
                <w:szCs w:val="16"/>
                <w:color w:val="auto"/>
              </w:rPr>
              <w:t>Total shares of common stock reserved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32,654</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maximum number of shares reserved for the grant of awards under the 2022 Plan will be equal to the sum of the following: (i) 8.0 million shares available for grant under the 2022 Amended and Restated Equity Incentive Plan (the "2022 Plan") when it was initially adopted by shareholders on July 12, 2022, plus (ii) 14.0 million new shares approved by shareholders on August 15, 2024, plus (iii) 8.5 million new shares approved by shareholders on July 25, 2025, plus (iv) the number of shares subject to stock options granted under the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w:t>
      </w:r>
    </w:p>
    <w:p>
      <w:pPr>
        <w:spacing w:after="0" w:line="4" w:lineRule="exact"/>
        <w:rPr>
          <w:sz w:val="20"/>
          <w:szCs w:val="20"/>
          <w:color w:val="auto"/>
        </w:rPr>
      </w:pPr>
    </w:p>
    <w:p>
      <w:pPr>
        <w:jc w:val="both"/>
        <w:ind w:firstLine="8"/>
        <w:spacing w:after="0" w:line="260" w:lineRule="auto"/>
        <w:tabs>
          <w:tab w:leader="none" w:pos="24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subject to restricted stock, restricted stock units ("RSUs") and performance stock units ("PSUs")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years or four years and expire ten years after the grant. As of December 31, 2025, 12.0 million shares remained available for future grants under the 2022 Plan.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35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Pr>
          <w:p>
            <w:pPr>
              <w:spacing w:after="0"/>
              <w:rPr>
                <w:sz w:val="18"/>
                <w:szCs w:val="18"/>
                <w:color w:val="auto"/>
              </w:rPr>
            </w:pPr>
          </w:p>
        </w:tc>
        <w:tc>
          <w:tcPr>
            <w:tcW w:w="32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r>
      <w:tr>
        <w:trPr>
          <w:trHeight w:val="210"/>
        </w:trPr>
        <w:tc>
          <w:tcPr>
            <w:tcW w:w="4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11,778</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7,389</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w:t>
            </w:r>
          </w:p>
        </w:tc>
      </w:tr>
      <w:tr>
        <w:trPr>
          <w:trHeight w:val="210"/>
        </w:trPr>
        <w:tc>
          <w:tcPr>
            <w:tcW w:w="4200" w:type="dxa"/>
            <w:vAlign w:val="bottom"/>
          </w:tcPr>
          <w:p>
            <w:pPr>
              <w:ind w:left="22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31,710</w:t>
            </w:r>
          </w:p>
        </w:tc>
      </w:tr>
      <w:tr>
        <w:trPr>
          <w:trHeight w:val="20"/>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accounts for stock-based compensation through the measurement and recognition of compensation expense for share-based payment awards made to employees, directors or consultants over the related requisite service period, including restricted stock, RSUs and PSUs, qualified performance-based awards, and stock grants (all issuable under the Company's equity incentive plans).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unrecognized stock-based compensation expense by award type and their expected weighted-average recognition periods are summarized as follows (in thousands, except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RSU</w:t>
            </w:r>
          </w:p>
        </w:tc>
        <w:tc>
          <w:tcPr>
            <w:tcW w:w="60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b w:val="1"/>
                <w:bCs w:val="1"/>
                <w:color w:val="auto"/>
              </w:rPr>
              <w:t>PSU</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ESPP</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stock-based compensation expense</w:t>
            </w:r>
          </w:p>
        </w:tc>
        <w:tc>
          <w:tcPr>
            <w:tcW w:w="1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16,963</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Weighted-average amortization period</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Arial" w:cs="Arial" w:eastAsia="Arial" w:hAnsi="Arial"/>
                <w:sz w:val="16"/>
                <w:szCs w:val="16"/>
                <w:color w:val="auto"/>
              </w:rPr>
              <w:t>2.0 years</w:t>
            </w:r>
          </w:p>
        </w:tc>
        <w:tc>
          <w:tcPr>
            <w:tcW w:w="6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0.9 years</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0.8 years</w:t>
            </w:r>
          </w:p>
        </w:tc>
        <w:tc>
          <w:tcPr>
            <w:tcW w:w="0" w:type="dxa"/>
            <w:vAlign w:val="bottom"/>
          </w:tcPr>
          <w:p>
            <w:pPr>
              <w:spacing w:after="0"/>
              <w:rPr>
                <w:sz w:val="1"/>
                <w:szCs w:val="1"/>
                <w:color w:val="auto"/>
              </w:rPr>
            </w:pPr>
          </w:p>
        </w:tc>
      </w:tr>
      <w:tr>
        <w:trPr>
          <w:trHeight w:val="453"/>
        </w:trPr>
        <w:tc>
          <w:tcPr>
            <w:tcW w:w="440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 Units</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600" w:type="dxa"/>
            <w:vAlign w:val="bottom"/>
            <w:gridSpan w:val="3"/>
          </w:tcPr>
          <w:p>
            <w:pPr>
              <w:spacing w:after="0"/>
              <w:rPr>
                <w:sz w:val="20"/>
                <w:szCs w:val="20"/>
                <w:color w:val="auto"/>
              </w:rPr>
            </w:pPr>
            <w:r>
              <w:rPr>
                <w:rFonts w:ascii="Arial" w:cs="Arial" w:eastAsia="Arial" w:hAnsi="Arial"/>
                <w:sz w:val="16"/>
                <w:szCs w:val="16"/>
                <w:color w:val="auto"/>
              </w:rPr>
              <w:t>The following table presents the RSU activity (shares in thousands):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Weighted Average Grant</w:t>
            </w:r>
          </w:p>
        </w:tc>
        <w:tc>
          <w:tcPr>
            <w:tcW w:w="80" w:type="dxa"/>
            <w:vAlign w:val="bottom"/>
          </w:tcPr>
          <w:p>
            <w:pPr>
              <w:spacing w:after="0"/>
              <w:rPr>
                <w:sz w:val="24"/>
                <w:szCs w:val="24"/>
                <w:color w:val="auto"/>
              </w:rPr>
            </w:pPr>
          </w:p>
        </w:tc>
        <w:tc>
          <w:tcPr>
            <w:tcW w:w="1840" w:type="dxa"/>
            <w:vAlign w:val="bottom"/>
            <w:gridSpan w:val="3"/>
          </w:tcPr>
          <w:p>
            <w:pPr>
              <w:jc w:val="center"/>
              <w:ind w:left="319"/>
              <w:spacing w:after="0"/>
              <w:rPr>
                <w:sz w:val="20"/>
                <w:szCs w:val="20"/>
                <w:color w:val="auto"/>
              </w:rPr>
            </w:pPr>
            <w:r>
              <w:rPr>
                <w:rFonts w:ascii="Arial" w:cs="Arial" w:eastAsia="Arial" w:hAnsi="Arial"/>
                <w:sz w:val="16"/>
                <w:szCs w:val="16"/>
                <w:b w:val="1"/>
                <w:bCs w:val="1"/>
                <w:color w:val="auto"/>
              </w:rPr>
              <w:t>Weighted Average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2200" w:type="dxa"/>
            <w:vAlign w:val="bottom"/>
            <w:gridSpan w:val="2"/>
            <w:vMerge w:val="restart"/>
          </w:tcPr>
          <w:p>
            <w:pPr>
              <w:jc w:val="right"/>
              <w:ind w:right="3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6"/>
                <w:szCs w:val="16"/>
                <w:b w:val="1"/>
                <w:bCs w:val="1"/>
                <w:color w:val="auto"/>
              </w:rPr>
              <w:t>Date Fair Value</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15"/>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7,381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2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10,897</w:t>
            </w:r>
          </w:p>
        </w:tc>
        <w:tc>
          <w:tcPr>
            <w:tcW w:w="116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Market-Based PSUs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Market-based PSUs are granted to certain employees, including executive officers, with vesting that is contingent on a combination of stock performance and continued service. These awards are eligible to be earned over a period of one year to four years based on Total Shareholder Return ("TSR"), relative to specified market indices, or the achievement of specific pre-established absolute stock price hurdles.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grant date fair value of market-based PSUs is determined using a Monte Carlo simulation model. Stock-based compensation expense is recognized over the requisite service period, regardless of whether the market condition is ultimately achieved. During the three months ended December 31, 2025 and 2024, the Company determined that the market conditions were not achieved and therefore no shares have been earned.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PSUs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Performance-based PSUs are granted to certain employees, including executive officers, with vesting based on the achievement of specific financial or operational goals, such as revenue growth or cash flow from operations ("CFFO"). The grant date fair value of performance-based PSUs are valued based on the Company’s stock price at the grant date. Stock-based compensation expense is recognized over the requisite service period based on the number of units expected to vest, which is reassessed during each reporting period based on the Company’s evaluation of the probability of achieving the applicable performance conditions.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determined that the CFFO and revenue targets for the performance period were probable of being achieved and recognized $0.4 million and $1.3 million of related compensation expense for the three and nine months ended December 31, 2025, respectively. The Company recognized $0.7 million and $0.9 million of related stock-based compensation expense for the three and nine months ended December 31, 2024,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PSU activity (shares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Weighted Average Grant</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22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Date Fair Value</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2025</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4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1</w:t>
            </w:r>
          </w:p>
        </w:tc>
        <w:tc>
          <w:tcPr>
            <w:tcW w:w="220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3.63</w:t>
            </w:r>
          </w:p>
        </w:tc>
        <w:tc>
          <w:tcPr>
            <w:tcW w:w="8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46" w:lineRule="exact"/>
        <w:rPr>
          <w:sz w:val="20"/>
          <w:szCs w:val="20"/>
          <w:color w:val="auto"/>
        </w:rPr>
      </w:pPr>
    </w:p>
    <w:p>
      <w:pPr>
        <w:ind w:left="100" w:hanging="92"/>
        <w:spacing w:after="0"/>
        <w:tabs>
          <w:tab w:leader="none" w:pos="100" w:val="left"/>
        </w:tabs>
        <w:numPr>
          <w:ilvl w:val="0"/>
          <w:numId w:val="8"/>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Represents performance-based PSUs granted based on achievement of specific financial or operational goals, such as revenue growth or CFFO.</w:t>
      </w:r>
    </w:p>
    <w:p>
      <w:pPr>
        <w:spacing w:after="0" w:line="200" w:lineRule="exact"/>
        <w:rPr>
          <w:rFonts w:ascii="Arial" w:cs="Arial" w:eastAsia="Arial" w:hAnsi="Arial"/>
          <w:sz w:val="19"/>
          <w:szCs w:val="19"/>
          <w:color w:val="auto"/>
          <w:vertAlign w:val="superscript"/>
        </w:rPr>
      </w:pPr>
    </w:p>
    <w:p>
      <w:pPr>
        <w:spacing w:after="0" w:line="376"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 total of 5.5 million shares were available for issuance under the ESPP.</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During the nine months ended December 31, 2025, the Company repurchased 1.0 million shares of common stock in the open market for approximately $1.8 million at an average price of $1.83 per share. The total purchase price of the common stock repurchased and retired was reflected as a reduction to consolidated stockholders' equity during the repurchase period. The remaining amount of shares of the Company's common stock available for repurchase under the 2017 Plan as of December 31, 2025 was approximately $5.2 million.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Income Taxes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effective tax rate was 9.4% and 23.1% for the three months ended December 31, 2025 and 2024, respectively, and 56.6% and (14.0)% for the nine months ended December 31, 2025 and 2024, respectively. The difference in the effective tax rate and the U.S. federal statutory rate was primarily due to the full valuation allowance that the Company maintains against its U.S.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income (loss) before provision for 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One Big Beautiful Bill Act</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4, 2025, the United States enacted tax reform legislation through the One Big Beautiful Bill Act (the "OBBBA") (formally known as An Act to provide for reconciliation, pursuant to title II of H. Con. Res. 14). Included in this legislation are provisions that allow the immediate expensing of domestic U.S. research and development expenses, immediate expensing of certain capital expenditures, and other changes to the U.S. taxation of profits derived from foreign operations. The legislation has multiple effective dates, with certain provisions coming into effect for the Company in its fiscal year ending March 31, 2026 and other provisions coming into effect in subsequent years.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has evaluated the impact of the legislation and has reflected applicable changes to its tax provision, including the reduction of taxes payable for the fiscal year ending March 31, 2026. Since some of the changes in the legislation will require Treasury to issue new interpretive guidance and there is uncertainty around state-level conformity, the Company’s assessment of the OBBBA remains ongoing.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Net Income (Loss) Per Share</w:t>
      </w:r>
    </w:p>
    <w:p>
      <w:pPr>
        <w:spacing w:after="0" w:line="15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income (loss) per share (in thousands,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35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December 31,</w:t>
            </w:r>
          </w:p>
        </w:tc>
        <w:tc>
          <w:tcPr>
            <w:tcW w:w="280" w:type="dxa"/>
            <w:vAlign w:val="bottom"/>
          </w:tcPr>
          <w:p>
            <w:pPr>
              <w:spacing w:after="0"/>
              <w:rPr>
                <w:sz w:val="18"/>
                <w:szCs w:val="18"/>
                <w:color w:val="auto"/>
              </w:rPr>
            </w:pPr>
          </w:p>
        </w:tc>
        <w:tc>
          <w:tcPr>
            <w:tcW w:w="3220" w:type="dxa"/>
            <w:vAlign w:val="bottom"/>
            <w:gridSpan w:val="4"/>
          </w:tcPr>
          <w:p>
            <w:pPr>
              <w:jc w:val="right"/>
              <w:ind w:right="361"/>
              <w:spacing w:after="0"/>
              <w:rPr>
                <w:sz w:val="20"/>
                <w:szCs w:val="20"/>
                <w:color w:val="auto"/>
              </w:rPr>
            </w:pPr>
            <w:r>
              <w:rPr>
                <w:rFonts w:ascii="Arial" w:cs="Arial" w:eastAsia="Arial" w:hAnsi="Arial"/>
                <w:sz w:val="16"/>
                <w:szCs w:val="16"/>
                <w:b w:val="1"/>
                <w:bCs w:val="1"/>
                <w:color w:val="auto"/>
              </w:rPr>
              <w:t>Nine Months Ended December 31,</w:t>
            </w:r>
          </w:p>
        </w:tc>
      </w:tr>
      <w:tr>
        <w:trPr>
          <w:trHeight w:val="210"/>
        </w:trPr>
        <w:tc>
          <w:tcPr>
            <w:tcW w:w="4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2024</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(21,811)</w:t>
            </w: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138,781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136,861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128,750</w:t>
            </w: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128,750</w:t>
            </w:r>
          </w:p>
        </w:tc>
      </w:tr>
      <w:tr>
        <w:trPr>
          <w:trHeight w:val="257"/>
        </w:trPr>
        <w:tc>
          <w:tcPr>
            <w:tcW w:w="4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 basic</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Net income (loss) per share - diluted</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(0.17)</w:t>
            </w: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fiscal period where the Company is in a loss position, basic and diluted net loss per share is the same, as the inclusion of all potential shares of potential dilutive shares would have had an anti-dilutive effect. The following potentially weighted-average common shares were excluded from the calculation of diluted earnings per share because their inclusion would have been anti-dilutive (shares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3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 December 31,</w:t>
            </w:r>
          </w:p>
        </w:tc>
        <w:tc>
          <w:tcPr>
            <w:tcW w:w="34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Nine Months Ended December 31,</w:t>
            </w:r>
          </w:p>
        </w:tc>
      </w:tr>
      <w:tr>
        <w:trPr>
          <w:trHeight w:val="209"/>
        </w:trPr>
        <w:tc>
          <w:tcPr>
            <w:tcW w:w="4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580" w:type="dxa"/>
            <w:vAlign w:val="bottom"/>
          </w:tcPr>
          <w:p>
            <w:pPr>
              <w:jc w:val="right"/>
              <w:spacing w:after="0"/>
              <w:rPr>
                <w:sz w:val="20"/>
                <w:szCs w:val="20"/>
                <w:color w:val="auto"/>
              </w:rPr>
            </w:pPr>
            <w:r>
              <w:rPr>
                <w:rFonts w:ascii="Arial" w:cs="Arial" w:eastAsia="Arial" w:hAnsi="Arial"/>
                <w:sz w:val="16"/>
                <w:szCs w:val="16"/>
                <w:color w:val="auto"/>
              </w:rPr>
              <w:t>2,230</w:t>
            </w: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5,062</w:t>
            </w:r>
          </w:p>
        </w:tc>
      </w:tr>
      <w:tr>
        <w:trPr>
          <w:trHeight w:val="217"/>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w:t>
            </w:r>
          </w:p>
        </w:tc>
      </w:tr>
      <w:tr>
        <w:trPr>
          <w:trHeight w:val="21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Warrants to purchase common stock</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r>
      <w:tr>
        <w:trPr>
          <w:trHeight w:val="230"/>
        </w:trPr>
        <w:tc>
          <w:tcPr>
            <w:tcW w:w="5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anti-dilutive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7,277</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10,323</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Transactions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has conducted business with an outside sales and marketing vendor since December 2017, which became a related party in July 2022 when a member of the Company's board of directors joined the vendor's board of directors. During the nine months ended December 31, 2025, the Company renewed its existing one-year contract with the vendor for an additional one-year contractual term valued at $0.5 million. During the nine months ended December 31, 2025, the Company paid $0.6 million for services rendered to this vendor.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8x8, Inc. is a global provider of integrated customer experience and business communications solutions, purpose-built to unify customer and employee engagement across the enterprise. Our Platform for CX™ combines contact center, business communications, and application programmable interfaces, or APIs, for communications into a single, secure, AI-powered system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from first interactions to lasting relationships.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serve a broad customer base, from small businesses to large global enterprises across every major industry. Our strategic focus has increasingly shifted toward mid-market, small and mid-sized enterprise, and public sector organizations, particularly those with 500 to 10,000 employees. These customers often have more complex communication and customer service needs and are more likely to benefit from and invest in multiple services across our platform. This focus aligns with our strengths, eliminating communication silos and enabling businesses to transform every customer interaction into a strategic asset. We also invest resources in retaining our small business customers, including world-class onboarding and customer care specialists that are a single point of contact for all service and support needs.</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reach customers through a diversified go-to-market strategy that includes both direct and indirect channels. We utilize a diversified partner ecosystem to complement our direct sales efforts and expand our global market reach. Our go-to-market strategy includes technology solutions distributors, or TSDs, and their sub-agent networks, who contribute to pipeline growth through referrals. We also engage value-added resellers, or VARs, who market, sell, implement, and support our solutions, helping to drive customer acquisition and optimize our routes to market.</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we collaborate closely with strategic technology partners, particularly those with whom we maintain deep integrations or original equipment manufacturer, or OEM, relationships, via structured referral agreements and coordinated lead flow processes. Our carrier partnerships extend our service availability to over 100 countries and territories, ensuring high-quality, reliable communications that support our international footprint.</w:t>
      </w:r>
    </w:p>
    <w:p>
      <w:pPr>
        <w:spacing w:after="0" w:line="9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To further enhance deployment speed and geographic coverage, we leverage third-party service providers, enabling us to deliver implementation and support services efficiently on a global scale.</w:t>
      </w:r>
    </w:p>
    <w:p>
      <w:pPr>
        <w:spacing w:after="0" w:line="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With our unified approach to communication and a commitment to continuous innovation, 8x8 enables businesses to deliver intelligent, connected experiences that securely scale across the enterprise.</w:t>
      </w:r>
    </w:p>
    <w:p>
      <w:pPr>
        <w:spacing w:after="0" w:line="7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generate service revenue from subscriptions to our communications services, as well as from usage of our platform. Our service subscription plans are sold on a per-user basis and are structured with increasing levels of functionality, based on the specific communication needs and customer engagement profile of each user. Platform usage revenue is revenue recognized from sales of products on an as-used basis, such as telephony minutes, messaging, SMS, and communications APIs, and digital and voice chat bot interactions.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and Other Factors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risks and exposures, including those caused by adverse economic conditions. Macroeconomic conditions that could adversely affect our business include geopolitical instability, tariffs,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the implications of macroeconomic events on our business, results of operations, and overall financial position remain uncertain over the long term, we expect that adverse economic conditions could adversely impact our business in future periods. For example, our installed base includes approximately 50,000 small businesses, which tend to be disproportionately impacted by macroeconomic headwinds.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part of our long-term strategy to grow our revenue and increase profitability and cash flow, we are focused on retaining our existing customers and expanding our mid-market, enterprise and public sector customer base. We believe that continued innovation is a critical factor in attracting and retaining our customers and is an important variable in achieving sustainable growth. We are committed to continuing our investment in research and development to deliver innovation across our Platform for CX, expand our ecosystem of integrated third-party applications, and maintain the high platform availability our customers require.</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primary focus involves the following: (i) accelerating innovation, particularly in enhancing our platform and contact center with artificial intelligence-based capabilities, and (ii) leveraging our CPaaS leadership in the Asia-Pacific region to expand globally. We continue to introduce new products like 8x8 Engage, add capabilities that allow our customers to enhance employee and customer experience, and expand our Technology Partner Ecosystem to provide complete solutions tailored to specific use cases. We are also enhancing our platform foundation with cutting edge technology, such as the Customer Interaction Data Platform and composable agent and supervisor user interfaces. These innovations enable tightly integrated solutions that prioritize ease-of-use, out-of-the-box functionality, and rapid deployment.</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investment in innovation has been complemented by initiatives to manage the cost of delivering our services and improve our sales efficiency. We continue to monitor factors that could have an impact on customer buying behavior and demand, including technological changes in artificial intelligence ("AI") and AI-related developments, macroeconomic conditions, the competitive environment, contract duration, churn, upsell and down-sell, renewals, and payment terms, all of which have caused variability in our results and may continue to do in the future. We expect the cost of delivering our communication services, both in total dollars and as a percentage of service revenue, to vary with the amount of service revenue and the mix of subscription and usage revenue within service revenue. To improve our sales efficiency over time, we continue to invest in marketing programs to drive awareness for our solutions, and we have increased training for our sales teams and invested in tools to increase productivity. We have also expanded our reseller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GAAP Operating Results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assess the success of our strategies to achieve growth and increase our cash flow, management reviews our financial performance as presented in our consolidated financial statements, including trends in revenue, gross profit margin, income (loss) from operations, and cash flow generated by operations in absolute dollars and as a percentage of revenue as presented in the following table:</w:t>
      </w:r>
    </w:p>
    <w:p>
      <w:pPr>
        <w:sectPr>
          <w:pgSz w:w="11900" w:h="16838" w:orient="portrait"/>
          <w:cols w:equalWidth="0" w:num="1">
            <w:col w:w="11240"/>
          </w:cols>
          <w:pgMar w:left="320" w:top="125" w:right="339" w:bottom="1440" w:gutter="0" w:footer="0" w:header="0"/>
        </w:sectPr>
      </w:pPr>
    </w:p>
    <w:p>
      <w:pPr>
        <w:spacing w:after="0" w:line="137"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20955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6"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20955</wp:posOffset>
            </wp:positionV>
            <wp:extent cx="3488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Three Months Ended</w:t>
      </w:r>
    </w:p>
    <w:p>
      <w:pPr>
        <w:spacing w:after="0" w:line="33" w:lineRule="exact"/>
        <w:rPr>
          <w:sz w:val="20"/>
          <w:szCs w:val="20"/>
          <w:color w:val="auto"/>
        </w:rPr>
      </w:pPr>
    </w:p>
    <w:p>
      <w:pPr>
        <w:sectPr>
          <w:pgSz w:w="11900" w:h="16838" w:orient="portrait"/>
          <w:cols w:equalWidth="0" w:num="2">
            <w:col w:w="6980" w:space="720"/>
            <w:col w:w="3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1560" w:type="dxa"/>
            <w:vAlign w:val="bottom"/>
          </w:tcPr>
          <w:p>
            <w:pPr>
              <w:ind w:left="20"/>
              <w:spacing w:after="0" w:line="142" w:lineRule="exact"/>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June 30, 2025</w:t>
            </w:r>
          </w:p>
        </w:tc>
        <w:tc>
          <w:tcPr>
            <w:tcW w:w="8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189"/>
        </w:trPr>
        <w:tc>
          <w:tcPr>
            <w:tcW w:w="156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Pr>
          <w:p>
            <w:pPr>
              <w:spacing w:after="0"/>
              <w:rPr>
                <w:sz w:val="16"/>
                <w:szCs w:val="16"/>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179,682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179,094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176,308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171,588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173,459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172,801</w:t>
            </w:r>
          </w:p>
        </w:tc>
        <w:tc>
          <w:tcPr>
            <w:tcW w:w="0" w:type="dxa"/>
            <w:vAlign w:val="bottom"/>
          </w:tcPr>
          <w:p>
            <w:pPr>
              <w:spacing w:after="0"/>
              <w:rPr>
                <w:sz w:val="1"/>
                <w:szCs w:val="1"/>
                <w:color w:val="auto"/>
              </w:rPr>
            </w:pPr>
          </w:p>
        </w:tc>
      </w:tr>
      <w:tr>
        <w:trPr>
          <w:trHeight w:val="199"/>
        </w:trPr>
        <w:tc>
          <w:tcPr>
            <w:tcW w:w="156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96.7 %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97.0 %</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120,440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120,960</w:t>
            </w:r>
          </w:p>
        </w:tc>
        <w:tc>
          <w:tcPr>
            <w:tcW w:w="0" w:type="dxa"/>
            <w:vAlign w:val="bottom"/>
          </w:tcPr>
          <w:p>
            <w:pPr>
              <w:spacing w:after="0"/>
              <w:rPr>
                <w:sz w:val="1"/>
                <w:szCs w:val="1"/>
                <w:color w:val="auto"/>
              </w:rPr>
            </w:pPr>
          </w:p>
        </w:tc>
      </w:tr>
      <w:tr>
        <w:trPr>
          <w:trHeight w:val="199"/>
        </w:trPr>
        <w:tc>
          <w:tcPr>
            <w:tcW w:w="156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66.4 %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67.9 %</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Income (loss) from</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9,694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5,349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565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419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8,979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7,169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w:t>
            </w: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6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(10,290)</w:t>
            </w:r>
          </w:p>
        </w:tc>
        <w:tc>
          <w:tcPr>
            <w:tcW w:w="0" w:type="dxa"/>
            <w:vAlign w:val="bottom"/>
          </w:tcPr>
          <w:p>
            <w:pPr>
              <w:spacing w:after="0"/>
              <w:rPr>
                <w:sz w:val="1"/>
                <w:szCs w:val="1"/>
                <w:color w:val="auto"/>
              </w:rPr>
            </w:pPr>
          </w:p>
        </w:tc>
      </w:tr>
      <w:tr>
        <w:trPr>
          <w:trHeight w:val="198"/>
        </w:trPr>
        <w:tc>
          <w:tcPr>
            <w:tcW w:w="156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cash provided by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20,692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8,835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11,873</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5,873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27,216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18,148</w:t>
            </w: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Components of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Service revenue consists of communication services subscriptions and platform usage revenue and related fees from our UCaaS, CCaaS and CPaaS offerings. We plan to increase service revenue through a combination of new customer acquisition, cross-sell of additional products to existing customers, including new products resulting from our increased investment in innovation, artificial intelligence, geographic expansion of our customer base outside the United States, innovation in our products and technologies, and through strategic acquisitions of technologies and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consists primarily of direct and indirect costs associated with the purchase and shipping and handling of IP telephone hardware as well as the scheduling, shipping and handling, personnel costs, and other expenditures incurred in connection with the professional services associated with the deployment and implementation of our products, and allocated information technology and facilities costs.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and promotional expenses,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information technology and facilities costs.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interest expense related to our term loan and convertible notes, and amortization of debt discount and issuance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expense, net, consists primarily of losses on debt extinguishment, gain or loss on warrant remeasurement, interest income, gains or losses on foreign exchange transactions, as well as 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Provision for income taxes consists primarily of foreign income taxes and state taxes in the United States. As we expand the scale of our international business activities, any changes in the United States and foreign taxation of such activities may increase our overall provision for income taxes in the future. We have a valuation allowance for our U.S.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1700" w:type="dxa"/>
            <w:vAlign w:val="bottom"/>
          </w:tcPr>
          <w:p>
            <w:pPr>
              <w:spacing w:after="0"/>
              <w:rPr>
                <w:sz w:val="20"/>
                <w:szCs w:val="20"/>
                <w:color w:val="auto"/>
              </w:rPr>
            </w:pPr>
            <w:r>
              <w:rPr>
                <w:rFonts w:ascii="Arial" w:cs="Arial" w:eastAsia="Arial" w:hAnsi="Arial"/>
                <w:sz w:val="16"/>
                <w:szCs w:val="16"/>
                <w:i w:val="1"/>
                <w:iCs w:val="1"/>
                <w:color w:val="auto"/>
              </w:rPr>
              <w:t>Service 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rPr>
              <w:t>Three Months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percentages)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179,682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173,459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6,223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521,335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13,749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97.1 %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97.0 %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97.2 %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96.9 %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Service revenue increased by $6.2 million, or 3.6%, for the three months ended December 31, 2025, compared to the three months ended December 31, 2024. This change was driven by an increase of $14.0 million in platform usage revenue generated primarily in the Asia-Pacific region, resulting from higher customer consumption volumes of our usage-based offerings, reflecting expanded customer adoption and usage of messaging, minutes and AI-based solutions during the period. This increase was partially offset by a decrease in subscription revenue of $7.8 million consisting predominantly of former Fuze customers.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Service revenue increased by $13.7 million, or 2.6%, for the nine months ended December 31, 2025, compared to the nine months ended December 31, 2024. This change was driven by an increase of $34.2 million in platform usage revenue generated primarily in the Asia-Pacific region, resulting from higher customer consumption volumes of our usage-based offerings, reflecting expanded customer adoption and usage of messaging, minutes and AI-based solutions during the period. This increase was partially offset by a decrease in subscription revenue of $20.5 million consisting predominantly of former Fuze customers.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40" w:type="dxa"/>
            <w:vAlign w:val="bottom"/>
          </w:tcPr>
          <w:p>
            <w:pPr>
              <w:spacing w:after="0"/>
              <w:rPr>
                <w:sz w:val="20"/>
                <w:szCs w:val="20"/>
                <w:color w:val="auto"/>
              </w:rPr>
            </w:pPr>
            <w:r>
              <w:rPr>
                <w:rFonts w:ascii="Arial" w:cs="Arial" w:eastAsia="Arial" w:hAnsi="Arial"/>
                <w:sz w:val="16"/>
                <w:szCs w:val="16"/>
                <w:i w:val="1"/>
                <w:iCs w:val="1"/>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right"/>
              <w:ind w:right="259"/>
              <w:spacing w:after="0"/>
              <w:rPr>
                <w:sz w:val="20"/>
                <w:szCs w:val="20"/>
                <w:color w:val="auto"/>
              </w:rPr>
            </w:pPr>
            <w:r>
              <w:rPr>
                <w:rFonts w:ascii="Arial" w:cs="Arial" w:eastAsia="Arial" w:hAnsi="Arial"/>
                <w:sz w:val="16"/>
                <w:szCs w:val="16"/>
                <w:b w:val="1"/>
                <w:bCs w:val="1"/>
                <w:color w:val="auto"/>
              </w:rPr>
              <w:t>Three Months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Nine Months Ended 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percentages)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(55)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(1,270)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revenue decreased by $0.1 million, or 1.0%, for the three months ended December 31, 2025, compared to the three months ended December 31, 2024, due to a decrease in professional service revenue of $0.5 million, partially offset by an increase in product revenue of $0.4 million.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revenue decreased by $1.3 million, or 7.6%, for the nine months ended December 31, 2025, compared to the nine months ended December 31, 2024, due to lower product revenue and professional service revenue of $1.1 million and $0.2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service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6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7"/>
          </w:tcPr>
          <w:p>
            <w:pPr>
              <w:jc w:val="right"/>
              <w:ind w:right="239"/>
              <w:spacing w:after="0"/>
              <w:rPr>
                <w:sz w:val="20"/>
                <w:szCs w:val="20"/>
                <w:color w:val="auto"/>
              </w:rPr>
            </w:pPr>
            <w:r>
              <w:rPr>
                <w:rFonts w:ascii="Arial" w:cs="Arial" w:eastAsia="Arial" w:hAnsi="Arial"/>
                <w:sz w:val="16"/>
                <w:szCs w:val="16"/>
                <w:b w:val="1"/>
                <w:bCs w:val="1"/>
                <w:color w:val="auto"/>
              </w:rPr>
              <w:t>Three Months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Nine Months Ended December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percentages)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59,515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50,529</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color w:val="auto"/>
              </w:rPr>
              <w:t>8,986</w:t>
            </w: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17.8 %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171,036</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150,276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color w:val="auto"/>
              </w:rPr>
              <w:t>20,760</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service</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Cost of service revenue increased by $9.0 million, or 17.8%, for the three months ended December 31, 2025, compared to the three months ended December 31, 2024, primarily due to increases of $10.9 million in network and carrier service provider costs to deliver our subscription and platform usage services to support our capacity needs and $0.6 million in salaries, benefits and consulting costs. These increases were partially offset by decreases of $1.6 million in amortization of intangible assets, $0.5 million in stock-based compensation, and $0.4 million in amortization of capitalized software.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increased by $20.8 million, or 13.8%, for the nine months ended December 31, 2025, compared to the nine months ended December 31, 2024, primarily due to increases of $28.2 million in network and carrier service provider costs to deliver our subscription and platform usage services to support our capacity needs and $2.0 million in salaries, benefits and consulting costs. These increases were partially offset by decreases of $4.8 million in amortization of intangible assets, $2.7 million in stock-based compensation, and $1.9 million in amortization of capitalized software.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gridSpan w:val="2"/>
          </w:tcPr>
          <w:p>
            <w:pPr>
              <w:spacing w:after="0"/>
              <w:rPr>
                <w:sz w:val="20"/>
                <w:szCs w:val="20"/>
                <w:color w:val="auto"/>
              </w:rPr>
            </w:pPr>
            <w:r>
              <w:rPr>
                <w:rFonts w:ascii="Arial" w:cs="Arial" w:eastAsia="Arial" w:hAnsi="Arial"/>
                <w:sz w:val="16"/>
                <w:szCs w:val="16"/>
                <w:i w:val="1"/>
                <w:iCs w:val="1"/>
                <w:color w:val="auto"/>
              </w:rPr>
              <w:t>Cost of other revenue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Nine Months Ended 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40" w:type="dxa"/>
            <w:vAlign w:val="bottom"/>
          </w:tcPr>
          <w:p>
            <w:pPr>
              <w:ind w:left="20"/>
              <w:spacing w:after="0" w:line="144" w:lineRule="exact"/>
              <w:rPr>
                <w:sz w:val="20"/>
                <w:szCs w:val="20"/>
                <w:color w:val="auto"/>
              </w:rPr>
            </w:pPr>
            <w:r>
              <w:rPr>
                <w:rFonts w:ascii="Arial" w:cs="Arial" w:eastAsia="Arial" w:hAnsi="Arial"/>
                <w:sz w:val="16"/>
                <w:szCs w:val="16"/>
                <w:i w:val="1"/>
                <w:iCs w:val="1"/>
                <w:color w:val="auto"/>
              </w:rPr>
              <w:t>(In thousands, except</w:t>
            </w:r>
          </w:p>
        </w:tc>
        <w:tc>
          <w:tcPr>
            <w:tcW w:w="24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980" w:type="dxa"/>
            <w:vAlign w:val="bottom"/>
            <w:gridSpan w:val="2"/>
          </w:tcPr>
          <w:p>
            <w:pPr>
              <w:ind w:left="20"/>
              <w:spacing w:after="0"/>
              <w:rPr>
                <w:sz w:val="20"/>
                <w:szCs w:val="20"/>
                <w:color w:val="auto"/>
              </w:rPr>
            </w:pPr>
            <w:r>
              <w:rPr>
                <w:rFonts w:ascii="Arial" w:cs="Arial" w:eastAsia="Arial" w:hAnsi="Arial"/>
                <w:sz w:val="16"/>
                <w:szCs w:val="16"/>
                <w:i w:val="1"/>
                <w:iCs w:val="1"/>
                <w:color w:val="auto"/>
              </w:rPr>
              <w:t>percentages)</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7,268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51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21,474</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22,531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(1,057)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2"/>
        </w:trPr>
        <w:tc>
          <w:tcPr>
            <w:tcW w:w="19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other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136.3 %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134.0 %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ind w:left="320"/>
              <w:spacing w:after="0"/>
              <w:rPr>
                <w:sz w:val="20"/>
                <w:szCs w:val="20"/>
                <w:color w:val="auto"/>
              </w:rPr>
            </w:pPr>
            <w:r>
              <w:rPr>
                <w:rFonts w:ascii="Arial" w:cs="Arial" w:eastAsia="Arial" w:hAnsi="Arial"/>
                <w:sz w:val="16"/>
                <w:szCs w:val="16"/>
                <w:color w:val="auto"/>
                <w:w w:val="98"/>
              </w:rPr>
              <w:t>139.2 %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ind w:left="320"/>
              <w:spacing w:after="0"/>
              <w:rPr>
                <w:sz w:val="20"/>
                <w:szCs w:val="20"/>
                <w:color w:val="auto"/>
              </w:rPr>
            </w:pPr>
            <w:r>
              <w:rPr>
                <w:rFonts w:ascii="Arial" w:cs="Arial" w:eastAsia="Arial" w:hAnsi="Arial"/>
                <w:sz w:val="16"/>
                <w:szCs w:val="16"/>
                <w:color w:val="auto"/>
              </w:rPr>
              <w:t>135.0 %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8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other revenue increased by $0.1 million, or 0.7%, for the three months ended December 31, 2025, compared to the three months ended December 31, 2024, primarily due to an increase of $0.3 million in product costs associated with IP telephone hardware. This increase was partially offset by a decrease of $0.2 million in stock-based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Cost of other revenue decreased by $1.1 million, or 4.7%, for the nine months ended December 31, 2025, compared to the nine months ended December 31, 2024, primarily due to decreases of $0.9 million in lower product costs associated with IP telephone hardware and $0.7 million of stock-based compensation. These decreases were partially offset by an increase of $0.5 million in salaries, benefits, and consulting costs to deliver our professional services.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Nine Months Ended December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percentages)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Research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27,191</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29,833</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rPr>
              <w:t>(2,642)</w:t>
            </w: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(8.9)%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83,473</w:t>
            </w:r>
          </w:p>
        </w:tc>
        <w:tc>
          <w:tcPr>
            <w:tcW w:w="4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93,261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color w:val="auto"/>
              </w:rPr>
              <w:t>(9,788)</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Research and development expenses decreased by $2.6 million, or 8.9%, for the three months ended December 31, 2025, compared to the three months ended December 31, 2024, primarily due to decreases of $2.2 million in stock-based compensation, $1.2 million in combined salaries, benefits, and consulting costs necessary for us to conduct our product, platform development and engineering efforts, and $0.7 million in costs to operate data centers. These decreases were partially offset by increases of $1.1 million in software licenses and other costs and $0.4 million in amortization of capitalized software.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expenses decreased by $9.8 million, or 10.5%, for the nine months ended December 31, 2025, compared to the nine months ended December 31, 2024, primarily due to decreases of $7.4 million in stock-based compensation, $2.6 million in internally-developed software and other costs, and $1.7 million in costs to operate data centers and facilities. These decreases were partially offset by increases of $1.2 million in software licenses and $0.7 million in amortization of capitalized software.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19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1960" w:type="dxa"/>
            <w:vAlign w:val="bottom"/>
            <w:gridSpan w:val="3"/>
          </w:tcPr>
          <w:p>
            <w:pPr>
              <w:spacing w:after="0"/>
              <w:rPr>
                <w:sz w:val="20"/>
                <w:szCs w:val="20"/>
                <w:color w:val="auto"/>
              </w:rPr>
            </w:pPr>
            <w:r>
              <w:rPr>
                <w:rFonts w:ascii="Arial" w:cs="Arial" w:eastAsia="Arial" w:hAnsi="Arial"/>
                <w:sz w:val="16"/>
                <w:szCs w:val="16"/>
                <w:i w:val="1"/>
                <w:iCs w:val="1"/>
                <w:color w:val="auto"/>
              </w:rPr>
              <w:t>Sales and marketing</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6"/>
                <w:szCs w:val="16"/>
                <w:b w:val="1"/>
                <w:bCs w:val="1"/>
                <w:color w:val="auto"/>
              </w:rPr>
              <w:t>Nine Months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00" w:type="dxa"/>
            <w:vAlign w:val="bottom"/>
            <w:gridSpan w:val="2"/>
          </w:tcPr>
          <w:p>
            <w:pPr>
              <w:ind w:left="20"/>
              <w:spacing w:after="0" w:line="144" w:lineRule="exact"/>
              <w:rPr>
                <w:sz w:val="20"/>
                <w:szCs w:val="20"/>
                <w:color w:val="auto"/>
              </w:rPr>
            </w:pPr>
            <w:r>
              <w:rPr>
                <w:rFonts w:ascii="Arial" w:cs="Arial" w:eastAsia="Arial" w:hAnsi="Arial"/>
                <w:sz w:val="16"/>
                <w:szCs w:val="16"/>
                <w:i w:val="1"/>
                <w:iCs w:val="1"/>
                <w:color w:val="auto"/>
              </w:rPr>
              <w:t>(In thousands, except</w:t>
            </w: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960" w:type="dxa"/>
            <w:vAlign w:val="bottom"/>
            <w:gridSpan w:val="3"/>
          </w:tcPr>
          <w:p>
            <w:pPr>
              <w:ind w:left="20"/>
              <w:spacing w:after="0"/>
              <w:rPr>
                <w:sz w:val="20"/>
                <w:szCs w:val="20"/>
                <w:color w:val="auto"/>
              </w:rPr>
            </w:pPr>
            <w:r>
              <w:rPr>
                <w:rFonts w:ascii="Arial" w:cs="Arial" w:eastAsia="Arial" w:hAnsi="Arial"/>
                <w:sz w:val="16"/>
                <w:szCs w:val="16"/>
                <w:i w:val="1"/>
                <w:iCs w:val="1"/>
                <w:color w:val="auto"/>
              </w:rPr>
              <w:t>percentages)</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65,644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(5,131)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192,532</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197,617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(5,085)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2"/>
        </w:trPr>
        <w:tc>
          <w:tcPr>
            <w:tcW w:w="196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32.7 %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gridSpan w:val="3"/>
          </w:tcPr>
          <w:p>
            <w:pPr>
              <w:ind w:left="20"/>
              <w:spacing w:after="0"/>
              <w:rPr>
                <w:sz w:val="20"/>
                <w:szCs w:val="20"/>
                <w:color w:val="auto"/>
              </w:rPr>
            </w:pPr>
            <w:r>
              <w:rPr>
                <w:rFonts w:ascii="Arial" w:cs="Arial" w:eastAsia="Arial" w:hAnsi="Arial"/>
                <w:sz w:val="16"/>
                <w:szCs w:val="16"/>
                <w:color w:val="auto"/>
              </w:rPr>
              <w:t>revenue</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Sales and marketing expenses decreased by $5.1 million, or 7.8%, for the three months ended December 31, 2025, compared to the three months ended December 31, 2024, primarily due to decreases of $3.4 million in channel commissions and amortization of deferred contract acquisition costs, $1.4 million in stock-based compensation expense, and $0.7 million in paid media and other marketing services costs. These decreases were partially offset by an increase of $0.4 million in salaries, benefits, and consulting costs.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and marketing expenses decreased by $5.1 million, or 2.6% for the nine months ended December 31, 2025, compared to the nine months ended December 31, 2024, primarily due to decreases of $9.5 million in channel commissions and amortization of deferred contract acquisition costs and $3.1 million in stock-based compensation expense. These decreases were partially offset by increases of $5.7 million in salaries, benefits, and consulting costs and $1.8 million in paid media and other marketing services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Nine Months Ended December 31,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percentages)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General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20,818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16,629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4,189</w:t>
            </w: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25.2 %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66,383</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59,568</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6,815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expenses increased by $4.2 million, or 25.2%, for the three months ended December 31, 2025, compared to the three months ended December 31, 2024, primarily due to an increase of $6.7 million in legal and regulatory costs. This increase was partially offset by a decrease of $2.5 million in stock-based compensation and other general corporate costs.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 and administrative expenses increased by $6.8 million, or 11.4%, for the nine months ended December 31, 2025, compared to the nine months ended December 31, 2024, primarily due to increases of $10.9 million in legal and regulatory costs, $0.9 million in salaries, benefits, and consulting costs, and $0.6 million in facilities costs. These increases were partially offset by decreases of $2.6 million in stock-based compensation and $3.0 million in other general corporate costs.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17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1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expense, net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700" w:type="dxa"/>
            <w:vAlign w:val="bottom"/>
            <w:gridSpan w:val="2"/>
          </w:tcPr>
          <w:p>
            <w:pPr>
              <w:spacing w:after="0"/>
              <w:rPr>
                <w:sz w:val="20"/>
                <w:szCs w:val="20"/>
                <w:color w:val="auto"/>
              </w:rPr>
            </w:pPr>
            <w:r>
              <w:rPr>
                <w:rFonts w:ascii="Arial" w:cs="Arial" w:eastAsia="Arial" w:hAnsi="Arial"/>
                <w:sz w:val="16"/>
                <w:szCs w:val="16"/>
                <w:i w:val="1"/>
                <w:iCs w:val="1"/>
                <w:color w:val="auto"/>
              </w:rPr>
              <w:t>Interest expense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6"/>
                <w:szCs w:val="16"/>
                <w:b w:val="1"/>
                <w:bCs w:val="1"/>
                <w:color w:val="auto"/>
              </w:rPr>
              <w:t>Three Months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299"/>
              <w:spacing w:after="0"/>
              <w:rPr>
                <w:sz w:val="20"/>
                <w:szCs w:val="20"/>
                <w:color w:val="auto"/>
              </w:rPr>
            </w:pPr>
            <w:r>
              <w:rPr>
                <w:rFonts w:ascii="Arial" w:cs="Arial" w:eastAsia="Arial" w:hAnsi="Arial"/>
                <w:sz w:val="16"/>
                <w:szCs w:val="16"/>
                <w:b w:val="1"/>
                <w:bCs w:val="1"/>
                <w:color w:val="auto"/>
              </w:rPr>
              <w:t>Nine Months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percentages)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1,255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10,306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62"/>
        </w:trPr>
        <w:tc>
          <w:tcPr>
            <w:tcW w:w="1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Interest expense decreased by $1.3 million, or 21.5%, for the three months ended December 31, 2025, compared to the three months ended December 31, 2024, primarily due to a lower interest rate and principal balance on the 2024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Interest expense decreased by $10.3 million, or 43.5%, for the nine months ended December 31, 2025, compared to the nine months ended December 31, 2024, primarily due to a lower interest rate and principal balance on the 2024 Term Loan compared to the 2022 Term Loan and capitalized interest related to property, plant and equipment from general borrowing costs.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2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6"/>
                <w:szCs w:val="16"/>
                <w:b w:val="1"/>
                <w:bCs w:val="1"/>
                <w:color w:val="auto"/>
              </w:rPr>
              <w:t>Three Months Ended December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6"/>
                <w:szCs w:val="16"/>
                <w:b w:val="1"/>
                <w:bCs w:val="1"/>
                <w:color w:val="auto"/>
              </w:rPr>
              <w:t>Nine Months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percentages)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Other income</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rPr>
              <w:t>(282)</w:t>
            </w:r>
          </w:p>
        </w:tc>
        <w:tc>
          <w:tcPr>
            <w:tcW w:w="10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(35.6)% $</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(10,200)</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color w:val="auto"/>
              </w:rPr>
              <w:t>11,543</w:t>
            </w:r>
          </w:p>
        </w:tc>
        <w:tc>
          <w:tcPr>
            <w:tcW w:w="52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recognized $0.5 million of other income, net during the three months ended December 31, 2025, compared to $0.8 million of other income, net during the three months ended December 31, 2024, primarily due to a decrease of $1.6 million due to reduced foreign exchange gains and a $0.3 million decrease in interest income earned on cash and cash equivalents. These decreases were offset by a reduced loss of $1.2 million on the remeasurement of Warrants issued in connection with the 2022 Term Loan, a reduction in the loss on debt extinguishment of $0.2 million, and a $0.2 million decrease in other expense.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recognized $1.3 million of other income, net during the nine months ended December 31, 2025, compared to $10.2 million of other expense, net during the nine months ended December 31, 2024, primarily due to a decrease in the loss on debt extinguishment of $12.1 million, a $1.0 million decrease due to reduced foreign exchange losses, and a decrease of $0.3 million in other expenses. These decreases were offset by $1.3 million decrease in interest income earned on cash and cash equivalents and a reduced gain of $0.6 million on the remeasurement of Warrants issued in connection with the 2022 Term Loan.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17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21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w:t>
            </w:r>
          </w:p>
        </w:tc>
        <w:tc>
          <w:tcPr>
            <w:tcW w:w="3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6"/>
                <w:szCs w:val="16"/>
                <w:b w:val="1"/>
                <w:bCs w:val="1"/>
                <w:color w:val="auto"/>
              </w:rPr>
              <w:t>Three Months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Nine Months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7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percentages)</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Provision for income</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908</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rPr>
              <w:t>(380)</w:t>
            </w:r>
          </w:p>
        </w:tc>
        <w:tc>
          <w:tcPr>
            <w:tcW w:w="10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(41.9)%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2,682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rPr>
              <w:t>(670)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3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4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provision for income taxes decreased by $0.4 million for the three months ended December 31, 2025, compared to the three months ended December 31, 2024, primarily driven by the effect of the OBBBA's federal and state tax provision for the three months ended December 31, 2025.</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income taxes decreased by $0.7 million for the nine months ended December 31, 2025, compared to the nine months ended December 31, 2024, primarily driven by the effect of the OBBBA's federal and state tax provisions, which were partially offset by an increase in profit before tax of foreign profitable entities for the nine months ended December 31, 2025 as compared to the nine months ended December 31, 2024.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20"/>
                <w:szCs w:val="20"/>
                <w:color w:val="auto"/>
              </w:rPr>
            </w:pPr>
            <w:r>
              <w:rPr>
                <w:rFonts w:ascii="Arial" w:cs="Arial" w:eastAsia="Arial" w:hAnsi="Arial"/>
                <w:sz w:val="16"/>
                <w:szCs w:val="16"/>
                <w:i w:val="1"/>
                <w:iCs w:val="1"/>
                <w:color w:val="auto"/>
              </w:rPr>
              <w:t>Cash and Cash Equivalents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38"/>
        </w:trPr>
        <w:tc>
          <w:tcPr>
            <w:tcW w:w="6780" w:type="dxa"/>
            <w:vAlign w:val="bottom"/>
          </w:tcPr>
          <w:p>
            <w:pPr>
              <w:spacing w:after="0"/>
              <w:rPr>
                <w:sz w:val="20"/>
                <w:szCs w:val="20"/>
                <w:color w:val="auto"/>
              </w:rPr>
            </w:pPr>
            <w:r>
              <w:rPr>
                <w:rFonts w:ascii="Arial" w:cs="Arial" w:eastAsia="Arial" w:hAnsi="Arial"/>
                <w:sz w:val="16"/>
                <w:szCs w:val="16"/>
                <w:color w:val="auto"/>
              </w:rPr>
              <w:t>The following is a summary of our cash and cash equivalents (in thousands):</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80"/>
        </w:trPr>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2025</w:t>
            </w:r>
          </w:p>
        </w:tc>
        <w:tc>
          <w:tcPr>
            <w:tcW w:w="300" w:type="dxa"/>
            <w:vAlign w:val="bottom"/>
          </w:tcPr>
          <w:p>
            <w:pPr>
              <w:spacing w:after="0"/>
              <w:rPr>
                <w:sz w:val="24"/>
                <w:szCs w:val="24"/>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2025</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88,050</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current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6"/>
        </w:trPr>
        <w:tc>
          <w:tcPr>
            <w:tcW w:w="6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Restricted cash, non-current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88,200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89,324</w:t>
            </w:r>
          </w:p>
        </w:tc>
      </w:tr>
      <w:tr>
        <w:trPr>
          <w:trHeight w:val="21"/>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(1) Restricted cash supports letters of credit securing leases for office facilities and certain equipment for the same periods, and funds related to business combinations.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year 2026 is to invest excess cash on hand to support our continued growth initiatives into select markets and planned software development activities and pay down our debt. As of December 31, 2025,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non-cancellable purchase commitments, see Note </w:t>
      </w:r>
      <w:r>
        <w:rPr>
          <w:rFonts w:ascii="Arial" w:cs="Arial" w:eastAsia="Arial" w:hAnsi="Arial"/>
          <w:sz w:val="16"/>
          <w:szCs w:val="16"/>
          <w:color w:val="0000FF"/>
        </w:rPr>
        <w:t>6</w:t>
      </w:r>
      <w:r>
        <w:rPr>
          <w:rFonts w:ascii="Arial" w:cs="Arial" w:eastAsia="Arial" w:hAnsi="Arial"/>
          <w:sz w:val="16"/>
          <w:szCs w:val="16"/>
          <w:color w:val="auto"/>
        </w:rPr>
        <w:t xml:space="preserve">, Leases, and Note </w:t>
      </w:r>
      <w:r>
        <w:rPr>
          <w:rFonts w:ascii="Arial" w:cs="Arial" w:eastAsia="Arial" w:hAnsi="Arial"/>
          <w:sz w:val="16"/>
          <w:szCs w:val="16"/>
          <w:color w:val="0000FF"/>
        </w:rPr>
        <w:t>7</w:t>
      </w:r>
      <w:r>
        <w:rPr>
          <w:rFonts w:ascii="Arial" w:cs="Arial" w:eastAsia="Arial" w:hAnsi="Arial"/>
          <w:sz w:val="16"/>
          <w:szCs w:val="16"/>
          <w:color w:val="auto"/>
        </w:rPr>
        <w:t xml:space="preserve">, Commitments and Contingencies, respectively, to the condensed consolidated financial statements. Additionally, refer to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to the condensed consolidated financial statements for more information related to our debt obligations and applicable covenants.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Our outstanding 2024 Term Loan allows for voluntary prepayments. In order to reduce future cash interest payments, as well as future amounts due at maturity or upon redemption, we may, from time to time, make prepayments. The Company evaluates opportunities for stock repurchases and may utilize cash and cash equivalents to repurchase shares under the 2017 Plan. During the nine months ended December 31, 2025, the Company repurchased 1.0 million shares of common stock in the open market for approximately $1.8 million at an average price of $1.83 per share. For more information, see Note </w:t>
      </w:r>
      <w:r>
        <w:rPr>
          <w:rFonts w:ascii="Arial" w:cs="Arial" w:eastAsia="Arial" w:hAnsi="Arial"/>
          <w:sz w:val="16"/>
          <w:szCs w:val="16"/>
          <w:color w:val="0000FF"/>
        </w:rPr>
        <w:t>9</w:t>
      </w:r>
      <w:r>
        <w:rPr>
          <w:rFonts w:ascii="Arial" w:cs="Arial" w:eastAsia="Arial" w:hAnsi="Arial"/>
          <w:sz w:val="16"/>
          <w:szCs w:val="16"/>
          <w:color w:val="auto"/>
        </w:rPr>
        <w:t>, Stock-Based Compensation and Stockholders' Equity.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of December 31, 2025, our 2028 Notes were trading at a discount to their respective principal amount. We may seek to retire or purchase our outstanding debt through open-market purchases, privately negotiated transactions or otherwise, which may have an impact on our liquidity requirements. Any such transactions will be dependent upon several factors, including our liquidity requirements, contractual restrictions, prevailing market conditions, and other factors. Whether or not we engage in any such transactions will be determined at our discretion. For historical debt payments,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cash flows provided by (used in) operating, investing and financing activities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36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2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57,681</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(12,812)</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(10,230)</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(59,097)</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Cash provided by operating activities decreased by $16.3 million to $41.4 million for the nine months ended December 31, 2025, primarily due to reduced net loss, and to a lesser extent, changes in working capital, the timing of billings and customer collections, as well as the amount and timing of disbursements to our vendors. Cash used in investing activities increased $2.6 million to $12.8 million for the nine months ended December 31, 2025, mainly due to an increase in capitalized internal-use software costs. Cash used in financing activities decreased by $27.3 million to $31.8 million for the nine months ended December 31, 2025, mainly due to principal repayments for our term loan and payments for repurchases of shares of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w:t>
      </w:r>
    </w:p>
    <w:p>
      <w:pPr>
        <w:spacing w:after="0" w:line="15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in the unaudited condensed consolidated financial statements included elsewhere in this Quarterly Report for information regarding our debt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2024 Term Loan bears interest at an annual rate equal to the Term SOFR, plus a margin of either 2.50%, 2.75% or 3.00% based on the consolidated total net leverage ratio of the Company and its subsidiaries. The initial margin was 3.00% for the fiscal quarter ending September 30, 2024 and remained 3.00% as of December 31, 2025. We have the option to pay interest monthly, quarterly, or semi-annually. During the three months ended December 31, 2025, we elected quarterly interest payment terms which resulted in cash payments of $2.2 million. For the three months ending March 31, 2026, we have elected monthly interest payment terms, which will result in cash payments of approximately $2.0 million. As of December 31, 2025, the debt issuance costs were amortized to interest expense over the term of the 2024 Term Loan at an effective interest rate of 8.64%.</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terms of the 2024 Credit Agreement, the Company has the right to prepay the 2024 Term Loan at any time without any premium or penalty. The Company completed three principal repayments of the 2024 Term Loan during fiscal year 2025 for a total of $48.0 million in aggregate principal amount. The Company completed three principal repayments of the 2024 Term Loan during fiscal year 2026 for a total of $30.0 million in aggregate principal amount. As of December 31, 2025, the scheduled remaining principal repayments are $39.5 million in fiscal year 2027 ($2.0 million on June 30, 2026 and $12.5 million on September 30, 2026 and each quarter thereafter through maturity) and $82.5 million principal is due before or upon maturity in fiscal year 2028. These annualized repayments will be made in quarterly installments. As of December 31, 2025, the Company has paid $37.5 million, $8.0 million, and $10.0 million of the originally scheduled principal repayments due fiscal year 2026, 2027, and 2028 respectively, and the remaining principal amount of the 2024 Term Loan after the payments is $122.0 million.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short-term principal debt repayments are accounted for as partial debt extinguishment transactions. The carrying value of the 2024 Term Loan, including the unamortized debt discount and issuance costs, was derecognized. The difference of $0.5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and comprehensive income (loss).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Extinguishment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5, 2024, we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income (expense) in the condensed consolidated statement of operations and comprehensive income (loss). The Warrants continue to be outstanding with no change in terms in connection with the Repayment or issuance of the 2024 Term Loan.</w:t>
      </w:r>
    </w:p>
    <w:p>
      <w:pPr>
        <w:spacing w:after="0" w:line="10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Loans made under the 2022 Credit Agreement bore interest at an annual rate equal to the Term SOFR, subject to a floor of 1.00% and a credit spread adjustment of 0.10%, plus a margin of 6.50%. During the nine months ended December 31, 2024, we paid $9.4 million of interest under the 2022 Term Loan.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Cash Requirements and Other Obligations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2025, our material cash requirements and other obligations were $527.1 million. During the nine months ended December 31, 2025, we increased our non-cancellable three-year hosting service contract commitment from $24.1 million to $54.0 million. Under this agreement, $2.4 million remains due during fiscal year 2026, $10.0 million will be due during fiscal year 2027 and $10.0 million will be due during fiscal year 2028. For information regarding our material cash requirements and other obligations, see Item 7, "Management's Discussion and Analysis", in the Form 10-K.</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nine months ended December 31, 2025, we reduced the 2024 Term Loan contractual principal by $30.0 million to $122.0 million.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Our consolidated financial statements are prepared in accordance with U.S. generally accepted accounting principles ("U.S. GAAP"). See Note </w:t>
      </w:r>
      <w:r>
        <w:rPr>
          <w:rFonts w:ascii="Arial" w:cs="Arial" w:eastAsia="Arial" w:hAnsi="Arial"/>
          <w:sz w:val="16"/>
          <w:szCs w:val="16"/>
          <w:color w:val="0000FF"/>
        </w:rPr>
        <w:t>1</w:t>
      </w:r>
      <w:r>
        <w:rPr>
          <w:rFonts w:ascii="Arial" w:cs="Arial" w:eastAsia="Arial" w:hAnsi="Arial"/>
          <w:sz w:val="16"/>
          <w:szCs w:val="16"/>
          <w:color w:val="auto"/>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nine months ended December 31, 2025 to our critical accounting policies and estimates previously disclosed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in our exposures to market risk since March 31, 2025. For details on the Company’s interest rate and foreign currency exchange risks, see Part I, Item 7A. “Quantitative and Qualitative Information About Market Risks” in our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2025. Based on such evaluation, our Chief Executive Officer and Chief Financial Officer have concluded that, as of December 31, 2025, our disclosure controls and procedures were effective at a reasonable assurance level.</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three months ended December 31, 2025, there was no change in our internal control over financial reporting that has materially affected, or is reasonably likely to materially affect, our internal control over financial reporting.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Information with respect to this item may be found in Note </w:t>
      </w:r>
      <w:r>
        <w:rPr>
          <w:rFonts w:ascii="Arial" w:cs="Arial" w:eastAsia="Arial" w:hAnsi="Arial"/>
          <w:sz w:val="16"/>
          <w:szCs w:val="16"/>
          <w:color w:val="0000FF"/>
        </w:rPr>
        <w:t>7</w:t>
      </w:r>
      <w:r>
        <w:rPr>
          <w:rFonts w:ascii="Arial" w:cs="Arial" w:eastAsia="Arial" w:hAnsi="Arial"/>
          <w:sz w:val="16"/>
          <w:szCs w:val="16"/>
          <w:color w:val="auto"/>
        </w:rPr>
        <w:t>, Commitments and Contingencies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heading “Legal Proceedings” in the Notes to Unaudited Condensed Consolidated Financial Statements included in this Quarterly Report, which is incorporated by reference in response to this item.</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Additional risks and uncertainties not presently known to us or that we currently deem immaterial may also affect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58" w:lineRule="exact"/>
        <w:rPr>
          <w:sz w:val="20"/>
          <w:szCs w:val="20"/>
          <w:color w:val="auto"/>
        </w:rPr>
      </w:pPr>
    </w:p>
    <w:p>
      <w:pPr>
        <w:ind w:left="260" w:right="8180" w:hanging="252"/>
        <w:spacing w:after="0" w:line="396"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Unregistered Sales of Equity Securities None.</w:t>
      </w:r>
    </w:p>
    <w:p>
      <w:pPr>
        <w:ind w:left="260" w:right="7840" w:hanging="252"/>
        <w:spacing w:after="0" w:line="396"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Use of Proceeds from Registered Securities None.</w:t>
      </w: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Issuer Purchases of Equity Securities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The remaining amount of shares of our common stock available for repurchase under the 2017 Plan as of December 31, 2025 was approximately $5.2 million. There were no repurchases made during the three months ended December 31, 2025.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None of the Company's directors and officers (as defined in Rule 16a-1(f) under the Exchange Act) adopted or terminated a Rule 10b5-1 trading arrangement (as defined in Item 408(c) of Regulation S-K) during the three months ended December 31, 2025.</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officers (as defined in Rule 16a-1(f) under the Exchange Act) have entered into sell-to-cover arrangements, which constitute non-Rule 10b5-1 trading arrangements (as defined in Item 408(c) of Regulation S-K), authorizing the pre-arranged sale of shares to satisfy tax withholding obligations of the Company arising exclusively from the vesting of RSUs and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3180" w:type="dxa"/>
            <w:vAlign w:val="bottom"/>
            <w:tcBorders>
              <w:top w:val="single" w:sz="8" w:color="auto"/>
              <w:bottom w:val="single" w:sz="8" w:color="auto"/>
              <w:right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Incorporated by Reference</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Exhibit Number</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80" w:type="dxa"/>
            <w:vAlign w:val="bottom"/>
            <w:tcBorders>
              <w:right w:val="single" w:sz="8" w:color="auto"/>
            </w:tcBorders>
            <w:gridSpan w:val="7"/>
            <w:vMerge w:val="restart"/>
          </w:tcPr>
          <w:p>
            <w:pPr>
              <w:ind w:left="1140"/>
              <w:spacing w:after="0"/>
              <w:rPr>
                <w:sz w:val="20"/>
                <w:szCs w:val="20"/>
                <w:color w:val="auto"/>
              </w:rPr>
            </w:pPr>
            <w:r>
              <w:rPr>
                <w:rFonts w:ascii="Arial" w:cs="Arial" w:eastAsia="Arial" w:hAnsi="Arial"/>
                <w:sz w:val="16"/>
                <w:szCs w:val="16"/>
                <w:b w:val="1"/>
                <w:bCs w:val="1"/>
                <w:color w:val="auto"/>
              </w:rPr>
              <w:t>Exhibit Description</w:t>
            </w:r>
          </w:p>
        </w:tc>
        <w:tc>
          <w:tcPr>
            <w:tcW w:w="9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Company</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Exhibit</w:t>
            </w:r>
          </w:p>
        </w:tc>
        <w:tc>
          <w:tcPr>
            <w:tcW w:w="10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gridSpan w:val="7"/>
            <w:vMerge w:val="continue"/>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69"/>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5500" w:type="dxa"/>
            <w:vAlign w:val="bottom"/>
            <w:gridSpan w:val="9"/>
          </w:tcPr>
          <w:p>
            <w:pPr>
              <w:spacing w:after="0" w:line="169" w:lineRule="exact"/>
              <w:rPr>
                <w:rFonts w:ascii="Arial" w:cs="Arial" w:eastAsia="Arial" w:hAnsi="Arial"/>
                <w:sz w:val="16"/>
                <w:szCs w:val="16"/>
                <w:color w:val="0000FF"/>
              </w:rPr>
            </w:pPr>
            <w:hyperlink r:id="rId56">
              <w:r>
                <w:rPr>
                  <w:rFonts w:ascii="Arial" w:cs="Arial" w:eastAsia="Arial" w:hAnsi="Arial"/>
                  <w:sz w:val="16"/>
                  <w:szCs w:val="16"/>
                  <w:color w:val="0000FF"/>
                </w:rPr>
                <w:t>Certificate of Amendment to the Restated Certificate of Incorporation of</w:t>
              </w:r>
            </w:hyperlink>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7/13/2022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vMerge w:val="continue"/>
          </w:tcPr>
          <w:p>
            <w:pPr>
              <w:spacing w:after="0"/>
              <w:rPr>
                <w:sz w:val="12"/>
                <w:szCs w:val="12"/>
                <w:color w:val="auto"/>
              </w:rPr>
            </w:pPr>
          </w:p>
        </w:tc>
        <w:tc>
          <w:tcPr>
            <w:tcW w:w="540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8x8, Inc., dated as of July 12,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3200" w:type="dxa"/>
            <w:vAlign w:val="bottom"/>
            <w:tcBorders>
              <w:bottom w:val="single" w:sz="8" w:color="0000FF"/>
            </w:tcBorders>
            <w:gridSpan w:val="4"/>
          </w:tcPr>
          <w:p>
            <w:pPr>
              <w:spacing w:after="0"/>
              <w:rPr>
                <w:rFonts w:ascii="Arial" w:cs="Arial" w:eastAsia="Arial" w:hAnsi="Arial"/>
                <w:sz w:val="16"/>
                <w:szCs w:val="16"/>
                <w:color w:val="0000FF"/>
              </w:rPr>
            </w:pPr>
            <w:hyperlink r:id="rId57">
              <w:r>
                <w:rPr>
                  <w:rFonts w:ascii="Arial" w:cs="Arial" w:eastAsia="Arial" w:hAnsi="Arial"/>
                  <w:sz w:val="16"/>
                  <w:szCs w:val="16"/>
                  <w:color w:val="0000FF"/>
                </w:rPr>
                <w:t>Amended and Restated By-Laws of 8x8, Inc.</w:t>
              </w:r>
            </w:hyperlink>
          </w:p>
        </w:tc>
        <w:tc>
          <w:tcPr>
            <w:tcW w:w="2300" w:type="dxa"/>
            <w:vAlign w:val="bottom"/>
            <w:gridSpan w:val="5"/>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8-K</w:t>
            </w:r>
          </w:p>
        </w:tc>
        <w:tc>
          <w:tcPr>
            <w:tcW w:w="1100" w:type="dxa"/>
            <w:vAlign w:val="bottom"/>
          </w:tcPr>
          <w:p>
            <w:pPr>
              <w:jc w:val="center"/>
              <w:spacing w:after="0"/>
              <w:rPr>
                <w:sz w:val="20"/>
                <w:szCs w:val="20"/>
                <w:color w:val="auto"/>
              </w:rPr>
            </w:pPr>
            <w:r>
              <w:rPr>
                <w:rFonts w:ascii="Arial" w:cs="Arial" w:eastAsia="Arial" w:hAnsi="Arial"/>
                <w:sz w:val="16"/>
                <w:szCs w:val="16"/>
                <w:color w:val="auto"/>
              </w:rPr>
              <w:t>7/28/2015</w:t>
            </w: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6"/>
              </w:rPr>
              <w:t>31.1</w:t>
            </w:r>
          </w:p>
        </w:tc>
        <w:tc>
          <w:tcPr>
            <w:tcW w:w="55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of the Registrant pursuant to Rule</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560" w:type="dxa"/>
            <w:vAlign w:val="bottom"/>
            <w:vMerge w:val="continue"/>
          </w:tcPr>
          <w:p>
            <w:pPr>
              <w:spacing w:after="0"/>
              <w:rPr>
                <w:sz w:val="12"/>
                <w:szCs w:val="12"/>
                <w:color w:val="auto"/>
              </w:rPr>
            </w:pPr>
          </w:p>
        </w:tc>
        <w:tc>
          <w:tcPr>
            <w:tcW w:w="5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6"/>
              </w:rPr>
              <w:t>13a-14</w:t>
            </w:r>
          </w:p>
        </w:tc>
        <w:tc>
          <w:tcPr>
            <w:tcW w:w="49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6"/>
              </w:rPr>
              <w:t>31.2</w:t>
            </w:r>
          </w:p>
        </w:tc>
        <w:tc>
          <w:tcPr>
            <w:tcW w:w="550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of the Registrant pursuant to Rule</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560" w:type="dxa"/>
            <w:vAlign w:val="bottom"/>
            <w:vMerge w:val="continue"/>
          </w:tcPr>
          <w:p>
            <w:pPr>
              <w:spacing w:after="0"/>
              <w:rPr>
                <w:sz w:val="12"/>
                <w:szCs w:val="12"/>
                <w:color w:val="auto"/>
              </w:rPr>
            </w:pPr>
          </w:p>
        </w:tc>
        <w:tc>
          <w:tcPr>
            <w:tcW w:w="5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6"/>
              </w:rPr>
              <w:t>13a-14</w:t>
            </w:r>
          </w:p>
        </w:tc>
        <w:tc>
          <w:tcPr>
            <w:tcW w:w="49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55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of the Registrant pursuant to 18</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6"/>
              </w:rPr>
              <w:t>32.1</w:t>
            </w:r>
          </w:p>
        </w:tc>
        <w:tc>
          <w:tcPr>
            <w:tcW w:w="54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U.S.C. 1350, as adopted pursuant to Section 906 of the Sarbanes-Oxley</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560" w:type="dxa"/>
            <w:vAlign w:val="bottom"/>
            <w:vMerge w:val="continue"/>
          </w:tcPr>
          <w:p>
            <w:pPr>
              <w:spacing w:after="0"/>
              <w:rPr>
                <w:sz w:val="12"/>
                <w:szCs w:val="12"/>
                <w:color w:val="auto"/>
              </w:rPr>
            </w:pPr>
          </w:p>
        </w:tc>
        <w:tc>
          <w:tcPr>
            <w:tcW w:w="8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8"/>
              </w:rPr>
              <w:t>Act of 2002</w:t>
            </w:r>
          </w:p>
        </w:tc>
        <w:tc>
          <w:tcPr>
            <w:tcW w:w="4620" w:type="dxa"/>
            <w:vAlign w:val="bottom"/>
            <w:tcBorders>
              <w:top w:val="single" w:sz="8" w:color="0000FF"/>
            </w:tcBorders>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550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of the Registrant pursuant to 18</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6"/>
              </w:rPr>
              <w:t>32.2</w:t>
            </w:r>
          </w:p>
        </w:tc>
        <w:tc>
          <w:tcPr>
            <w:tcW w:w="54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U.S.C. 1350, as adopted pursuant to Section 906 of the Sarbanes-Oxley</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560" w:type="dxa"/>
            <w:vAlign w:val="bottom"/>
            <w:vMerge w:val="continue"/>
          </w:tcPr>
          <w:p>
            <w:pPr>
              <w:spacing w:after="0"/>
              <w:rPr>
                <w:sz w:val="12"/>
                <w:szCs w:val="12"/>
                <w:color w:val="auto"/>
              </w:rPr>
            </w:pPr>
          </w:p>
        </w:tc>
        <w:tc>
          <w:tcPr>
            <w:tcW w:w="8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8"/>
              </w:rPr>
              <w:t>Act of 2002</w:t>
            </w:r>
          </w:p>
        </w:tc>
        <w:tc>
          <w:tcPr>
            <w:tcW w:w="4620" w:type="dxa"/>
            <w:vAlign w:val="bottom"/>
            <w:tcBorders>
              <w:top w:val="single" w:sz="8" w:color="0000FF"/>
            </w:tcBorders>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5500" w:type="dxa"/>
            <w:vAlign w:val="bottom"/>
            <w:gridSpan w:val="9"/>
          </w:tcPr>
          <w:p>
            <w:pPr>
              <w:spacing w:after="0" w:line="183" w:lineRule="exact"/>
              <w:rPr>
                <w:sz w:val="20"/>
                <w:szCs w:val="20"/>
                <w:color w:val="auto"/>
              </w:rPr>
            </w:pPr>
            <w:r>
              <w:rPr>
                <w:rFonts w:ascii="Arial" w:cs="Arial" w:eastAsia="Arial" w:hAnsi="Arial"/>
                <w:sz w:val="16"/>
                <w:szCs w:val="16"/>
                <w:color w:val="auto"/>
              </w:rPr>
              <w:t>XBRL Instance Document - the instance document does not appear in the</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101.INS</w:t>
            </w:r>
          </w:p>
        </w:tc>
        <w:tc>
          <w:tcPr>
            <w:tcW w:w="5500" w:type="dxa"/>
            <w:vAlign w:val="bottom"/>
            <w:gridSpan w:val="9"/>
          </w:tcPr>
          <w:p>
            <w:pPr>
              <w:spacing w:after="0" w:line="162" w:lineRule="exact"/>
              <w:rPr>
                <w:sz w:val="20"/>
                <w:szCs w:val="20"/>
                <w:color w:val="auto"/>
              </w:rPr>
            </w:pPr>
            <w:r>
              <w:rPr>
                <w:rFonts w:ascii="Arial" w:cs="Arial" w:eastAsia="Arial" w:hAnsi="Arial"/>
                <w:sz w:val="16"/>
                <w:szCs w:val="16"/>
                <w:color w:val="auto"/>
              </w:rPr>
              <w:t>Interactive Data File because its XBRL tags are embedded within the Inline</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560" w:type="dxa"/>
            <w:vAlign w:val="bottom"/>
            <w:vMerge w:val="continue"/>
          </w:tcPr>
          <w:p>
            <w:pPr>
              <w:spacing w:after="0"/>
              <w:rPr>
                <w:sz w:val="18"/>
                <w:szCs w:val="18"/>
                <w:color w:val="auto"/>
              </w:rPr>
            </w:pPr>
          </w:p>
        </w:tc>
        <w:tc>
          <w:tcPr>
            <w:tcW w:w="5500" w:type="dxa"/>
            <w:vAlign w:val="bottom"/>
            <w:gridSpan w:val="9"/>
          </w:tcPr>
          <w:p>
            <w:pPr>
              <w:spacing w:after="0"/>
              <w:rPr>
                <w:sz w:val="20"/>
                <w:szCs w:val="20"/>
                <w:color w:val="auto"/>
              </w:rPr>
            </w:pPr>
            <w:r>
              <w:rPr>
                <w:rFonts w:ascii="Arial" w:cs="Arial" w:eastAsia="Arial" w:hAnsi="Arial"/>
                <w:sz w:val="16"/>
                <w:szCs w:val="16"/>
                <w:color w:val="auto"/>
              </w:rPr>
              <w:t>XBRL document.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60" w:type="dxa"/>
            <w:vAlign w:val="bottom"/>
          </w:tcPr>
          <w:p>
            <w:pPr>
              <w:jc w:val="center"/>
              <w:spacing w:after="0"/>
              <w:rPr>
                <w:sz w:val="20"/>
                <w:szCs w:val="20"/>
                <w:color w:val="auto"/>
              </w:rPr>
            </w:pPr>
            <w:r>
              <w:rPr>
                <w:rFonts w:ascii="Arial" w:cs="Arial" w:eastAsia="Arial" w:hAnsi="Arial"/>
                <w:sz w:val="16"/>
                <w:szCs w:val="16"/>
                <w:color w:val="auto"/>
              </w:rPr>
              <w:t>101.SCH</w:t>
            </w:r>
          </w:p>
        </w:tc>
        <w:tc>
          <w:tcPr>
            <w:tcW w:w="5500" w:type="dxa"/>
            <w:vAlign w:val="bottom"/>
            <w:gridSpan w:val="9"/>
          </w:tcPr>
          <w:p>
            <w:pPr>
              <w:spacing w:after="0"/>
              <w:rPr>
                <w:sz w:val="20"/>
                <w:szCs w:val="20"/>
                <w:color w:val="auto"/>
              </w:rPr>
            </w:pPr>
            <w:r>
              <w:rPr>
                <w:rFonts w:ascii="Arial" w:cs="Arial" w:eastAsia="Arial" w:hAnsi="Arial"/>
                <w:sz w:val="16"/>
                <w:szCs w:val="16"/>
                <w:color w:val="auto"/>
              </w:rPr>
              <w:t>XBRL Taxonomy Schema Linkbase Document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5500" w:type="dxa"/>
            <w:vAlign w:val="bottom"/>
            <w:gridSpan w:val="9"/>
          </w:tcPr>
          <w:p>
            <w:pPr>
              <w:spacing w:after="0"/>
              <w:rPr>
                <w:sz w:val="20"/>
                <w:szCs w:val="20"/>
                <w:color w:val="auto"/>
              </w:rPr>
            </w:pPr>
            <w:r>
              <w:rPr>
                <w:rFonts w:ascii="Arial" w:cs="Arial" w:eastAsia="Arial" w:hAnsi="Arial"/>
                <w:sz w:val="16"/>
                <w:szCs w:val="16"/>
                <w:color w:val="auto"/>
              </w:rPr>
              <w:t>XBRL Taxonomy Calculation Linkbase Document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6"/>
                <w:szCs w:val="16"/>
                <w:color w:val="auto"/>
              </w:rPr>
              <w:t>101.DEF</w:t>
            </w:r>
          </w:p>
        </w:tc>
        <w:tc>
          <w:tcPr>
            <w:tcW w:w="5500" w:type="dxa"/>
            <w:vAlign w:val="bottom"/>
            <w:gridSpan w:val="9"/>
          </w:tcPr>
          <w:p>
            <w:pPr>
              <w:spacing w:after="0"/>
              <w:rPr>
                <w:sz w:val="20"/>
                <w:szCs w:val="20"/>
                <w:color w:val="auto"/>
              </w:rPr>
            </w:pPr>
            <w:r>
              <w:rPr>
                <w:rFonts w:ascii="Arial" w:cs="Arial" w:eastAsia="Arial" w:hAnsi="Arial"/>
                <w:sz w:val="16"/>
                <w:szCs w:val="16"/>
                <w:color w:val="auto"/>
              </w:rPr>
              <w:t>XBRL Taxonomy Definition Linkbase Document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6"/>
                <w:szCs w:val="16"/>
                <w:color w:val="auto"/>
              </w:rPr>
              <w:t>101.LAB</w:t>
            </w:r>
          </w:p>
        </w:tc>
        <w:tc>
          <w:tcPr>
            <w:tcW w:w="5500" w:type="dxa"/>
            <w:vAlign w:val="bottom"/>
            <w:gridSpan w:val="9"/>
          </w:tcPr>
          <w:p>
            <w:pPr>
              <w:spacing w:after="0"/>
              <w:rPr>
                <w:sz w:val="20"/>
                <w:szCs w:val="20"/>
                <w:color w:val="auto"/>
              </w:rPr>
            </w:pPr>
            <w:r>
              <w:rPr>
                <w:rFonts w:ascii="Arial" w:cs="Arial" w:eastAsia="Arial" w:hAnsi="Arial"/>
                <w:sz w:val="16"/>
                <w:szCs w:val="16"/>
                <w:color w:val="auto"/>
              </w:rPr>
              <w:t>XBRL Taxonomy Labels Linkbase Document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560" w:type="dxa"/>
            <w:vAlign w:val="bottom"/>
          </w:tcPr>
          <w:p>
            <w:pPr>
              <w:jc w:val="center"/>
              <w:spacing w:after="0"/>
              <w:rPr>
                <w:sz w:val="20"/>
                <w:szCs w:val="20"/>
                <w:color w:val="auto"/>
              </w:rPr>
            </w:pPr>
            <w:r>
              <w:rPr>
                <w:rFonts w:ascii="Arial" w:cs="Arial" w:eastAsia="Arial" w:hAnsi="Arial"/>
                <w:sz w:val="16"/>
                <w:szCs w:val="16"/>
                <w:color w:val="auto"/>
              </w:rPr>
              <w:t>101.PRE</w:t>
            </w:r>
          </w:p>
        </w:tc>
        <w:tc>
          <w:tcPr>
            <w:tcW w:w="5500" w:type="dxa"/>
            <w:vAlign w:val="bottom"/>
            <w:gridSpan w:val="9"/>
          </w:tcPr>
          <w:p>
            <w:pPr>
              <w:spacing w:after="0"/>
              <w:rPr>
                <w:sz w:val="20"/>
                <w:szCs w:val="20"/>
                <w:color w:val="auto"/>
              </w:rPr>
            </w:pPr>
            <w:r>
              <w:rPr>
                <w:rFonts w:ascii="Arial" w:cs="Arial" w:eastAsia="Arial" w:hAnsi="Arial"/>
                <w:sz w:val="16"/>
                <w:szCs w:val="16"/>
                <w:color w:val="auto"/>
              </w:rPr>
              <w:t>XBRL Taxonomy Presentation Linkbase Document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7"/>
              </w:rPr>
              <w:t>104</w:t>
            </w:r>
          </w:p>
        </w:tc>
        <w:tc>
          <w:tcPr>
            <w:tcW w:w="5500" w:type="dxa"/>
            <w:vAlign w:val="bottom"/>
            <w:gridSpan w:val="9"/>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 contained</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560" w:type="dxa"/>
            <w:vAlign w:val="bottom"/>
            <w:vMerge w:val="continue"/>
          </w:tcPr>
          <w:p>
            <w:pPr>
              <w:spacing w:after="0"/>
              <w:rPr>
                <w:sz w:val="18"/>
                <w:szCs w:val="18"/>
                <w:color w:val="auto"/>
              </w:rPr>
            </w:pPr>
          </w:p>
        </w:tc>
        <w:tc>
          <w:tcPr>
            <w:tcW w:w="5500" w:type="dxa"/>
            <w:vAlign w:val="bottom"/>
            <w:gridSpan w:val="9"/>
          </w:tcPr>
          <w:p>
            <w:pPr>
              <w:spacing w:after="0"/>
              <w:rPr>
                <w:sz w:val="20"/>
                <w:szCs w:val="20"/>
                <w:color w:val="auto"/>
              </w:rPr>
            </w:pPr>
            <w:r>
              <w:rPr>
                <w:rFonts w:ascii="Arial" w:cs="Arial" w:eastAsia="Arial" w:hAnsi="Arial"/>
                <w:sz w:val="16"/>
                <w:szCs w:val="16"/>
                <w:color w:val="auto"/>
              </w:rPr>
              <w:t>in Exhibit 101.</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February 4, 2026.</w:t>
      </w:r>
    </w:p>
    <w:p>
      <w:pPr>
        <w:spacing w:after="0" w:line="319"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8x8, Inc.</w:t>
      </w: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19685</wp:posOffset>
            </wp:positionV>
            <wp:extent cx="44145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Suzy Seandel</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Chief Accounting Officer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2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2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2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February 4, 2026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4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Kevin Kraus, certify that:</w:t>
      </w:r>
    </w:p>
    <w:p>
      <w:pPr>
        <w:spacing w:after="0" w:line="15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28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28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286"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February 4, 2026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4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December 31, 2025,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February 4, 2026</w:t>
      </w:r>
    </w:p>
    <w:p>
      <w:pPr>
        <w:spacing w:after="0" w:line="15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sectPr>
          <w:pgSz w:w="11900" w:h="16838" w:orient="portrait"/>
          <w:cols w:equalWidth="0" w:num="1">
            <w:col w:w="11240"/>
          </w:cols>
          <w:pgMar w:left="320" w:top="104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December 31, 2025,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February 4, 2026</w:t>
      </w:r>
    </w:p>
    <w:p>
      <w:pPr>
        <w:spacing w:after="0" w:line="15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lowerRoman"/>
      <w:start w:val="5"/>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6" Type="http://schemas.openxmlformats.org/officeDocument/2006/relationships/hyperlink" Target="https://www.sec.gov/Archives/edgar/data/0001023731/000102373122000124/exhibit31certificateofamen.htm" TargetMode="External"/><Relationship Id="rId57" Type="http://schemas.openxmlformats.org/officeDocument/2006/relationships/hyperlink" Target="https://www.sec.gov/Archives/edgar/data/1023731/000113626115000219/exh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2026-02-04T15:18:57Z</dcterms:created>
  <dcterms:modified xsi:type="dcterms:W3CDTF">2026-02-04T15:18:57Z</dcterms:modified>
</cp:coreProperties>
</file>