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791845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102870</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2"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108585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13" w:lineRule="exact"/>
        <w:rPr>
          <w:sz w:val="24"/>
          <w:szCs w:val="24"/>
          <w:color w:val="auto"/>
        </w:rPr>
      </w:pPr>
    </w:p>
    <w:p>
      <w:pPr>
        <w:ind w:left="3860" w:right="2800" w:hanging="3852"/>
        <w:spacing w:after="0" w:line="486"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272" w:lineRule="exact"/>
        <w:rPr>
          <w:sz w:val="24"/>
          <w:szCs w:val="24"/>
          <w:color w:val="auto"/>
        </w:rPr>
      </w:pPr>
    </w:p>
    <w:p>
      <w:pPr>
        <w:ind w:left="3780" w:right="2780" w:hanging="3772"/>
        <w:spacing w:after="0" w:line="434" w:lineRule="auto"/>
        <w:tabs>
          <w:tab w:leader="none" w:pos="21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spacing w:after="0" w:line="1" w:lineRule="exact"/>
        <w:rPr>
          <w:rFonts w:ascii="MS PGothic" w:cs="MS PGothic" w:eastAsia="MS PGothic" w:hAnsi="MS PGothic"/>
          <w:sz w:val="18"/>
          <w:szCs w:val="18"/>
          <w:color w:val="auto"/>
        </w:rPr>
      </w:pPr>
    </w:p>
    <w:p>
      <w:pPr>
        <w:ind w:left="4400"/>
        <w:spacing w:after="0"/>
        <w:rPr>
          <w:rFonts w:ascii="MS PGothic" w:cs="MS PGothic" w:eastAsia="MS PGothic" w:hAnsi="MS PGothic"/>
          <w:sz w:val="18"/>
          <w:szCs w:val="18"/>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46355</wp:posOffset>
            </wp:positionV>
            <wp:extent cx="1457325"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4"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91"/>
              </w:rPr>
              <w:t>Delaware</w:t>
            </w:r>
          </w:p>
        </w:tc>
        <w:tc>
          <w:tcPr>
            <w:tcW w:w="2780" w:type="dxa"/>
            <w:vAlign w:val="bottom"/>
          </w:tcPr>
          <w:p>
            <w:pPr>
              <w:spacing w:after="0"/>
              <w:rPr>
                <w:sz w:val="14"/>
                <w:szCs w:val="14"/>
                <w:color w:val="auto"/>
              </w:rPr>
            </w:pPr>
          </w:p>
        </w:tc>
        <w:tc>
          <w:tcPr>
            <w:tcW w:w="37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77-0142404</w:t>
            </w:r>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8"/>
        </w:trPr>
        <w:tc>
          <w:tcPr>
            <w:tcW w:w="4860" w:type="dxa"/>
            <w:vAlign w:val="bottom"/>
            <w:gridSpan w:val="3"/>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3700" w:type="dxa"/>
            <w:vAlign w:val="bottom"/>
            <w:gridSpan w:val="3"/>
          </w:tcPr>
          <w:p>
            <w:pPr>
              <w:jc w:val="center"/>
              <w:ind w:left="1268"/>
              <w:spacing w:after="0"/>
              <w:rPr>
                <w:sz w:val="20"/>
                <w:szCs w:val="20"/>
                <w:color w:val="auto"/>
              </w:rPr>
            </w:pPr>
            <w:r>
              <w:rPr>
                <w:rFonts w:ascii="Arial" w:cs="Arial" w:eastAsia="Arial" w:hAnsi="Arial"/>
                <w:sz w:val="14"/>
                <w:szCs w:val="14"/>
                <w:color w:val="auto"/>
                <w:w w:val="96"/>
              </w:rPr>
              <w:t>(I.R.S. Employer Identification Number)</w:t>
            </w:r>
          </w:p>
        </w:tc>
      </w:tr>
    </w:tbl>
    <w:p>
      <w:pPr>
        <w:spacing w:after="0" w:line="14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675 Creekside Way</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30" w:type="dxa"/>
        <w:tblCellMar>
          <w:top w:w="0" w:type="dxa"/>
          <w:left w:w="0" w:type="dxa"/>
          <w:bottom w:w="0" w:type="dxa"/>
          <w:right w:w="0" w:type="dxa"/>
        </w:tblCellMar>
      </w:tblPr>
      <w:tr>
        <w:trPr>
          <w:trHeight w:val="227"/>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30" w:lineRule="exact"/>
        <w:rPr>
          <w:sz w:val="24"/>
          <w:szCs w:val="24"/>
          <w:color w:val="auto"/>
        </w:rPr>
      </w:pPr>
    </w:p>
    <w:p>
      <w:pPr>
        <w:ind w:right="100" w:firstLine="283"/>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1" w:lineRule="exact"/>
        <w:rPr>
          <w:sz w:val="24"/>
          <w:szCs w:val="24"/>
          <w:color w:val="auto"/>
        </w:rPr>
      </w:pPr>
    </w:p>
    <w:p>
      <w:pPr>
        <w:ind w:right="320" w:firstLine="283"/>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ind w:right="180" w:firstLine="283"/>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52"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4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222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29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222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40" w:type="dxa"/>
            <w:vAlign w:val="bottom"/>
          </w:tcPr>
          <w:p>
            <w:pPr>
              <w:ind w:left="2220"/>
              <w:spacing w:after="0"/>
              <w:rPr>
                <w:sz w:val="20"/>
                <w:szCs w:val="20"/>
                <w:color w:val="auto"/>
              </w:rPr>
            </w:pPr>
            <w:r>
              <w:rPr>
                <w:rFonts w:ascii="Arial" w:cs="Arial" w:eastAsia="Arial" w:hAnsi="Arial"/>
                <w:sz w:val="13"/>
                <w:szCs w:val="13"/>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280" w:firstLine="283"/>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7540" w:type="dxa"/>
            <w:vAlign w:val="bottom"/>
          </w:tcPr>
          <w:p>
            <w:pPr>
              <w:ind w:left="300"/>
              <w:spacing w:after="0" w:line="184" w:lineRule="exact"/>
              <w:rPr>
                <w:sz w:val="20"/>
                <w:szCs w:val="20"/>
                <w:color w:val="auto"/>
              </w:rPr>
            </w:pPr>
            <w:r>
              <w:rPr>
                <w:rFonts w:ascii="Arial" w:cs="Arial" w:eastAsia="Arial" w:hAnsi="Arial"/>
                <w:sz w:val="14"/>
                <w:szCs w:val="14"/>
                <w:color w:val="auto"/>
                <w:w w:val="96"/>
              </w:rPr>
              <w:t xml:space="preserve">Indicate by check mark whether the registrant is a shell company (as defined in Rule 12b-2 of the Exchange Act). Yes  </w:t>
            </w:r>
            <w:r>
              <w:rPr>
                <w:rFonts w:ascii="MS PGothic" w:cs="MS PGothic" w:eastAsia="MS PGothic" w:hAnsi="MS PGothic"/>
                <w:sz w:val="16"/>
                <w:szCs w:val="16"/>
                <w:color w:val="auto"/>
                <w:w w:val="96"/>
              </w:rPr>
              <w:t>☐</w:t>
            </w:r>
          </w:p>
        </w:tc>
        <w:tc>
          <w:tcPr>
            <w:tcW w:w="3700" w:type="dxa"/>
            <w:vAlign w:val="bottom"/>
            <w:gridSpan w:val="2"/>
          </w:tcPr>
          <w:p>
            <w:pPr>
              <w:ind w:left="140"/>
              <w:spacing w:after="0" w:line="184" w:lineRule="exact"/>
              <w:rPr>
                <w:sz w:val="20"/>
                <w:szCs w:val="20"/>
                <w:color w:val="auto"/>
              </w:rPr>
            </w:pPr>
            <w:r>
              <w:rPr>
                <w:rFonts w:ascii="Arial" w:cs="Arial" w:eastAsia="Arial" w:hAnsi="Arial"/>
                <w:sz w:val="14"/>
                <w:szCs w:val="14"/>
                <w:color w:val="auto"/>
                <w:w w:val="98"/>
              </w:rPr>
              <w:t xml:space="preserve">No  </w:t>
            </w:r>
            <w:r>
              <w:rPr>
                <w:rFonts w:ascii="MS PGothic" w:cs="MS PGothic" w:eastAsia="MS PGothic" w:hAnsi="MS PGothic"/>
                <w:sz w:val="16"/>
                <w:szCs w:val="16"/>
                <w:color w:val="auto"/>
                <w:w w:val="98"/>
              </w:rPr>
              <w:t>☒</w:t>
            </w:r>
            <w:r>
              <w:rPr>
                <w:rFonts w:ascii="Arial" w:cs="Arial" w:eastAsia="Arial" w:hAnsi="Arial"/>
                <w:sz w:val="14"/>
                <w:szCs w:val="14"/>
                <w:color w:val="auto"/>
                <w:w w:val="98"/>
              </w:rPr>
              <w:t xml:space="preserve"> The number of shares of the Registrant's Common</w:t>
            </w:r>
          </w:p>
        </w:tc>
      </w:tr>
      <w:tr>
        <w:trPr>
          <w:trHeight w:val="182"/>
        </w:trPr>
        <w:tc>
          <w:tcPr>
            <w:tcW w:w="7540" w:type="dxa"/>
            <w:vAlign w:val="bottom"/>
          </w:tcPr>
          <w:p>
            <w:pPr>
              <w:spacing w:after="0"/>
              <w:rPr>
                <w:sz w:val="20"/>
                <w:szCs w:val="20"/>
                <w:color w:val="auto"/>
              </w:rPr>
            </w:pPr>
            <w:r>
              <w:rPr>
                <w:rFonts w:ascii="Arial" w:cs="Arial" w:eastAsia="Arial" w:hAnsi="Arial"/>
                <w:sz w:val="14"/>
                <w:szCs w:val="14"/>
                <w:color w:val="auto"/>
              </w:rPr>
              <w:t>Stock outstanding as of October 22, 2020 was 106,321,438.</w:t>
            </w:r>
          </w:p>
        </w:tc>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754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019"/>
        </w:trPr>
        <w:tc>
          <w:tcPr>
            <w:tcW w:w="75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140" w:type="dxa"/>
            <w:vAlign w:val="bottom"/>
          </w:tcPr>
          <w:p>
            <w:pPr>
              <w:jc w:val="center"/>
              <w:ind w:left="978"/>
              <w:spacing w:after="0"/>
              <w:rPr>
                <w:sz w:val="20"/>
                <w:szCs w:val="20"/>
                <w:color w:val="auto"/>
              </w:rPr>
            </w:pPr>
            <w:r>
              <w:rPr>
                <w:rFonts w:ascii="Arial" w:cs="Arial" w:eastAsia="Arial" w:hAnsi="Arial"/>
                <w:sz w:val="18"/>
                <w:szCs w:val="18"/>
                <w:b w:val="1"/>
                <w:bCs w:val="1"/>
                <w:color w:val="auto"/>
                <w:w w:val="98"/>
              </w:rPr>
              <w:t>8X8, INC</w:t>
            </w:r>
          </w:p>
        </w:tc>
        <w:tc>
          <w:tcPr>
            <w:tcW w:w="1060" w:type="dxa"/>
            <w:vAlign w:val="bottom"/>
          </w:tcPr>
          <w:p>
            <w:pPr>
              <w:spacing w:after="0"/>
              <w:rPr>
                <w:sz w:val="20"/>
                <w:szCs w:val="20"/>
                <w:color w:val="auto"/>
              </w:rPr>
            </w:pPr>
          </w:p>
        </w:tc>
      </w:tr>
      <w:tr>
        <w:trPr>
          <w:trHeight w:val="378"/>
        </w:trPr>
        <w:tc>
          <w:tcPr>
            <w:tcW w:w="10140" w:type="dxa"/>
            <w:vAlign w:val="bottom"/>
          </w:tcPr>
          <w:p>
            <w:pPr>
              <w:jc w:val="center"/>
              <w:ind w:left="998"/>
              <w:spacing w:after="0"/>
              <w:rPr>
                <w:sz w:val="20"/>
                <w:szCs w:val="20"/>
                <w:color w:val="auto"/>
              </w:rPr>
            </w:pPr>
            <w:r>
              <w:rPr>
                <w:rFonts w:ascii="Arial" w:cs="Arial" w:eastAsia="Arial" w:hAnsi="Arial"/>
                <w:sz w:val="18"/>
                <w:szCs w:val="18"/>
                <w:b w:val="1"/>
                <w:bCs w:val="1"/>
                <w:color w:val="auto"/>
                <w:w w:val="99"/>
              </w:rPr>
              <w:t>FORM 10-Q</w:t>
            </w:r>
          </w:p>
        </w:tc>
        <w:tc>
          <w:tcPr>
            <w:tcW w:w="1060" w:type="dxa"/>
            <w:vAlign w:val="bottom"/>
          </w:tcPr>
          <w:p>
            <w:pPr>
              <w:spacing w:after="0"/>
              <w:rPr>
                <w:sz w:val="24"/>
                <w:szCs w:val="24"/>
                <w:color w:val="auto"/>
              </w:rPr>
            </w:pPr>
          </w:p>
        </w:tc>
      </w:tr>
      <w:tr>
        <w:trPr>
          <w:trHeight w:val="324"/>
        </w:trPr>
        <w:tc>
          <w:tcPr>
            <w:tcW w:w="10140" w:type="dxa"/>
            <w:vAlign w:val="bottom"/>
          </w:tcPr>
          <w:p>
            <w:pPr>
              <w:jc w:val="center"/>
              <w:ind w:left="978"/>
              <w:spacing w:after="0"/>
              <w:rPr>
                <w:sz w:val="20"/>
                <w:szCs w:val="20"/>
                <w:color w:val="auto"/>
              </w:rPr>
            </w:pPr>
            <w:r>
              <w:rPr>
                <w:rFonts w:ascii="Arial" w:cs="Arial" w:eastAsia="Arial" w:hAnsi="Arial"/>
                <w:sz w:val="18"/>
                <w:szCs w:val="18"/>
                <w:b w:val="1"/>
                <w:bCs w:val="1"/>
                <w:color w:val="auto"/>
                <w:w w:val="97"/>
              </w:rPr>
              <w:t>FOR THE QUARTER ENDED SEPTEMBER 30, 2020</w:t>
            </w:r>
          </w:p>
        </w:tc>
        <w:tc>
          <w:tcPr>
            <w:tcW w:w="1060" w:type="dxa"/>
            <w:vAlign w:val="bottom"/>
          </w:tcPr>
          <w:p>
            <w:pPr>
              <w:spacing w:after="0"/>
              <w:rPr>
                <w:sz w:val="24"/>
                <w:szCs w:val="24"/>
                <w:color w:val="auto"/>
              </w:rPr>
            </w:pPr>
          </w:p>
        </w:tc>
      </w:tr>
      <w:tr>
        <w:trPr>
          <w:trHeight w:val="324"/>
        </w:trPr>
        <w:tc>
          <w:tcPr>
            <w:tcW w:w="10140" w:type="dxa"/>
            <w:vAlign w:val="bottom"/>
          </w:tcPr>
          <w:p>
            <w:pPr>
              <w:jc w:val="center"/>
              <w:ind w:left="978"/>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r>
      <w:tr>
        <w:trPr>
          <w:trHeight w:val="345"/>
        </w:trPr>
        <w:tc>
          <w:tcPr>
            <w:tcW w:w="10140" w:type="dxa"/>
            <w:vAlign w:val="bottom"/>
          </w:tcPr>
          <w:p>
            <w:pPr>
              <w:spacing w:after="0"/>
              <w:rPr>
                <w:sz w:val="24"/>
                <w:szCs w:val="24"/>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Page No.</w:t>
            </w:r>
          </w:p>
        </w:tc>
      </w:tr>
      <w:tr>
        <w:trPr>
          <w:trHeight w:val="223"/>
        </w:trPr>
        <w:tc>
          <w:tcPr>
            <w:tcW w:w="10140" w:type="dxa"/>
            <w:vAlign w:val="bottom"/>
          </w:tcPr>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Forward-Looking Statements and Risk Factors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
              <w:r>
                <w:rPr>
                  <w:rFonts w:ascii="Arial" w:cs="Arial" w:eastAsia="Arial" w:hAnsi="Arial"/>
                  <w:sz w:val="16"/>
                  <w:szCs w:val="16"/>
                  <w:u w:val="single" w:color="auto"/>
                  <w:color w:val="0000FF"/>
                  <w:w w:val="89"/>
                </w:rPr>
                <w:t>2</w:t>
              </w:r>
            </w:hyperlink>
          </w:p>
        </w:tc>
      </w:tr>
      <w:tr>
        <w:trPr>
          <w:trHeight w:val="243"/>
        </w:trPr>
        <w:tc>
          <w:tcPr>
            <w:tcW w:w="10140" w:type="dxa"/>
            <w:vAlign w:val="bottom"/>
          </w:tcPr>
          <w:p>
            <w:pPr>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PART I. FINANCIAL INFORMATION</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4">
              <w:r>
                <w:rPr>
                  <w:rFonts w:ascii="Arial" w:cs="Arial" w:eastAsia="Arial" w:hAnsi="Arial"/>
                  <w:sz w:val="16"/>
                  <w:szCs w:val="16"/>
                  <w:u w:val="single" w:color="auto"/>
                  <w:color w:val="0000FF"/>
                  <w:w w:val="89"/>
                </w:rPr>
                <w:t>4</w:t>
              </w:r>
            </w:hyperlink>
          </w:p>
        </w:tc>
      </w:tr>
      <w:tr>
        <w:trPr>
          <w:trHeight w:val="243"/>
        </w:trPr>
        <w:tc>
          <w:tcPr>
            <w:tcW w:w="10140" w:type="dxa"/>
            <w:vAlign w:val="bottom"/>
          </w:tcPr>
          <w:p>
            <w:pPr>
              <w:spacing w:after="0"/>
              <w:rPr>
                <w:rFonts w:ascii="Arial" w:cs="Arial" w:eastAsia="Arial" w:hAnsi="Arial"/>
                <w:sz w:val="16"/>
                <w:szCs w:val="16"/>
                <w:color w:val="0000FF"/>
              </w:rPr>
            </w:pPr>
            <w:hyperlink w:anchor="page5">
              <w:r>
                <w:rPr>
                  <w:rFonts w:ascii="Arial" w:cs="Arial" w:eastAsia="Arial" w:hAnsi="Arial"/>
                  <w:sz w:val="16"/>
                  <w:szCs w:val="16"/>
                  <w:u w:val="single" w:color="auto"/>
                  <w:color w:val="0000FF"/>
                </w:rPr>
                <w:t>Item 1. Financial Statements (unaudited)</w:t>
              </w:r>
            </w:hyperlink>
            <w:r>
              <w:rPr>
                <w:rFonts w:ascii="Arial" w:cs="Arial" w:eastAsia="Arial" w:hAnsi="Arial"/>
                <w:sz w:val="16"/>
                <w:szCs w:val="16"/>
                <w:color w:val="000000"/>
              </w:rPr>
              <w:t>:</w:t>
            </w:r>
          </w:p>
        </w:tc>
        <w:tc>
          <w:tcPr>
            <w:tcW w:w="1060" w:type="dxa"/>
            <w:vAlign w:val="bottom"/>
          </w:tcPr>
          <w:p>
            <w:pPr>
              <w:jc w:val="center"/>
              <w:spacing w:after="0"/>
              <w:rPr>
                <w:rFonts w:ascii="Arial" w:cs="Arial" w:eastAsia="Arial" w:hAnsi="Arial"/>
                <w:sz w:val="16"/>
                <w:szCs w:val="16"/>
                <w:u w:val="single" w:color="auto"/>
                <w:color w:val="0000FF"/>
                <w:w w:val="89"/>
              </w:rPr>
            </w:pPr>
            <w:hyperlink w:anchor="page5">
              <w:r>
                <w:rPr>
                  <w:rFonts w:ascii="Arial" w:cs="Arial" w:eastAsia="Arial" w:hAnsi="Arial"/>
                  <w:sz w:val="16"/>
                  <w:szCs w:val="16"/>
                  <w:u w:val="single" w:color="auto"/>
                  <w:color w:val="0000FF"/>
                  <w:w w:val="89"/>
                </w:rPr>
                <w:t>4</w:t>
              </w:r>
            </w:hyperlink>
          </w:p>
        </w:tc>
      </w:tr>
      <w:tr>
        <w:trPr>
          <w:trHeight w:val="243"/>
        </w:trPr>
        <w:tc>
          <w:tcPr>
            <w:tcW w:w="10140" w:type="dxa"/>
            <w:vAlign w:val="bottom"/>
          </w:tcPr>
          <w:p>
            <w:pPr>
              <w:ind w:left="1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5">
              <w:r>
                <w:rPr>
                  <w:rFonts w:ascii="Arial" w:cs="Arial" w:eastAsia="Arial" w:hAnsi="Arial"/>
                  <w:sz w:val="16"/>
                  <w:szCs w:val="16"/>
                  <w:u w:val="single" w:color="auto"/>
                  <w:color w:val="0000FF"/>
                  <w:w w:val="89"/>
                </w:rPr>
                <w:t>4</w:t>
              </w:r>
            </w:hyperlink>
          </w:p>
        </w:tc>
      </w:tr>
      <w:tr>
        <w:trPr>
          <w:trHeight w:val="243"/>
        </w:trPr>
        <w:tc>
          <w:tcPr>
            <w:tcW w:w="10140" w:type="dxa"/>
            <w:vAlign w:val="bottom"/>
          </w:tcPr>
          <w:p>
            <w:pPr>
              <w:ind w:left="1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Statements of Operations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5">
              <w:r>
                <w:rPr>
                  <w:rFonts w:ascii="Arial" w:cs="Arial" w:eastAsia="Arial" w:hAnsi="Arial"/>
                  <w:sz w:val="16"/>
                  <w:szCs w:val="16"/>
                  <w:u w:val="single" w:color="auto"/>
                  <w:color w:val="0000FF"/>
                  <w:w w:val="89"/>
                </w:rPr>
                <w:t>5</w:t>
              </w:r>
            </w:hyperlink>
          </w:p>
        </w:tc>
      </w:tr>
      <w:tr>
        <w:trPr>
          <w:trHeight w:val="243"/>
        </w:trPr>
        <w:tc>
          <w:tcPr>
            <w:tcW w:w="10140" w:type="dxa"/>
            <w:vAlign w:val="bottom"/>
          </w:tcPr>
          <w:p>
            <w:pPr>
              <w:ind w:left="12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Comprehensive Loss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6">
              <w:r>
                <w:rPr>
                  <w:rFonts w:ascii="Arial" w:cs="Arial" w:eastAsia="Arial" w:hAnsi="Arial"/>
                  <w:sz w:val="16"/>
                  <w:szCs w:val="16"/>
                  <w:u w:val="single" w:color="auto"/>
                  <w:color w:val="0000FF"/>
                  <w:w w:val="89"/>
                </w:rPr>
                <w:t>6</w:t>
              </w:r>
            </w:hyperlink>
          </w:p>
        </w:tc>
      </w:tr>
      <w:tr>
        <w:trPr>
          <w:trHeight w:val="243"/>
        </w:trPr>
        <w:tc>
          <w:tcPr>
            <w:tcW w:w="10140" w:type="dxa"/>
            <w:vAlign w:val="bottom"/>
          </w:tcPr>
          <w:p>
            <w:pPr>
              <w:ind w:left="12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Condensed Consolidated Statements of Stockholders' Equity</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7">
              <w:r>
                <w:rPr>
                  <w:rFonts w:ascii="Arial" w:cs="Arial" w:eastAsia="Arial" w:hAnsi="Arial"/>
                  <w:sz w:val="16"/>
                  <w:szCs w:val="16"/>
                  <w:u w:val="single" w:color="auto"/>
                  <w:color w:val="0000FF"/>
                  <w:w w:val="89"/>
                </w:rPr>
                <w:t>7</w:t>
              </w:r>
            </w:hyperlink>
          </w:p>
        </w:tc>
      </w:tr>
      <w:tr>
        <w:trPr>
          <w:trHeight w:val="243"/>
        </w:trPr>
        <w:tc>
          <w:tcPr>
            <w:tcW w:w="10140" w:type="dxa"/>
            <w:vAlign w:val="bottom"/>
          </w:tcPr>
          <w:p>
            <w:pPr>
              <w:ind w:left="12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Condensed Consolidated Statements of Cash Flows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8">
              <w:r>
                <w:rPr>
                  <w:rFonts w:ascii="Arial" w:cs="Arial" w:eastAsia="Arial" w:hAnsi="Arial"/>
                  <w:sz w:val="16"/>
                  <w:szCs w:val="16"/>
                  <w:u w:val="single" w:color="auto"/>
                  <w:color w:val="0000FF"/>
                  <w:w w:val="89"/>
                </w:rPr>
                <w:t>8</w:t>
              </w:r>
            </w:hyperlink>
          </w:p>
        </w:tc>
      </w:tr>
      <w:tr>
        <w:trPr>
          <w:trHeight w:val="243"/>
        </w:trPr>
        <w:tc>
          <w:tcPr>
            <w:tcW w:w="10140" w:type="dxa"/>
            <w:vAlign w:val="bottom"/>
          </w:tcPr>
          <w:p>
            <w:pPr>
              <w:ind w:left="120"/>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Notes to Unaudited Condensed Consolidated Financial Statements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10">
              <w:r>
                <w:rPr>
                  <w:rFonts w:ascii="Arial" w:cs="Arial" w:eastAsia="Arial" w:hAnsi="Arial"/>
                  <w:sz w:val="16"/>
                  <w:szCs w:val="16"/>
                  <w:u w:val="single" w:color="auto"/>
                  <w:color w:val="0000FF"/>
                  <w:w w:val="89"/>
                </w:rPr>
                <w:t>10</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Item 2. Management's Discussion and Analysis of Financial Condition and Results of Operations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0">
              <w:r>
                <w:rPr>
                  <w:rFonts w:ascii="Arial" w:cs="Arial" w:eastAsia="Arial" w:hAnsi="Arial"/>
                  <w:sz w:val="16"/>
                  <w:szCs w:val="16"/>
                  <w:u w:val="single" w:color="auto"/>
                  <w:color w:val="0000FF"/>
                  <w:w w:val="89"/>
                </w:rPr>
                <w:t>19</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Item 3. Quantitative and Qualitative Disclosures About Market Risk</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7">
              <w:r>
                <w:rPr>
                  <w:rFonts w:ascii="Arial" w:cs="Arial" w:eastAsia="Arial" w:hAnsi="Arial"/>
                  <w:sz w:val="16"/>
                  <w:szCs w:val="16"/>
                  <w:u w:val="single" w:color="auto"/>
                  <w:color w:val="0000FF"/>
                  <w:w w:val="89"/>
                </w:rPr>
                <w:t>26</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Item 4. Controls and Procedures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8">
              <w:r>
                <w:rPr>
                  <w:rFonts w:ascii="Arial" w:cs="Arial" w:eastAsia="Arial" w:hAnsi="Arial"/>
                  <w:sz w:val="16"/>
                  <w:szCs w:val="16"/>
                  <w:u w:val="single" w:color="auto"/>
                  <w:color w:val="0000FF"/>
                  <w:w w:val="89"/>
                </w:rPr>
                <w:t>27</w:t>
              </w:r>
            </w:hyperlink>
          </w:p>
        </w:tc>
      </w:tr>
      <w:tr>
        <w:trPr>
          <w:trHeight w:val="243"/>
        </w:trPr>
        <w:tc>
          <w:tcPr>
            <w:tcW w:w="10140" w:type="dxa"/>
            <w:vAlign w:val="bottom"/>
          </w:tcPr>
          <w:p>
            <w:pPr>
              <w:spacing w:after="0"/>
              <w:rPr>
                <w:rFonts w:ascii="Arial" w:cs="Arial" w:eastAsia="Arial" w:hAnsi="Arial"/>
                <w:sz w:val="16"/>
                <w:szCs w:val="16"/>
                <w:b w:val="1"/>
                <w:bCs w:val="1"/>
                <w:u w:val="single" w:color="auto"/>
                <w:color w:val="0000FF"/>
              </w:rPr>
            </w:pPr>
            <w:hyperlink w:anchor="page28">
              <w:r>
                <w:rPr>
                  <w:rFonts w:ascii="Arial" w:cs="Arial" w:eastAsia="Arial" w:hAnsi="Arial"/>
                  <w:sz w:val="16"/>
                  <w:szCs w:val="16"/>
                  <w:b w:val="1"/>
                  <w:bCs w:val="1"/>
                  <w:u w:val="single" w:color="auto"/>
                  <w:color w:val="0000FF"/>
                </w:rPr>
                <w:t>PART II. OTHER INFORMATION</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8">
              <w:r>
                <w:rPr>
                  <w:rFonts w:ascii="Arial" w:cs="Arial" w:eastAsia="Arial" w:hAnsi="Arial"/>
                  <w:sz w:val="16"/>
                  <w:szCs w:val="16"/>
                  <w:u w:val="single" w:color="auto"/>
                  <w:color w:val="0000FF"/>
                  <w:w w:val="89"/>
                </w:rPr>
                <w:t>28</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1. Legal Proceedings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28</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1A. Risk Factors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28</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2. Unregistered Sales of Equity Securities and Use of Proceeds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28</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3. Defaults Upon Senior Securities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28</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4. Mine Safety Disclosures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28</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5. Other Information</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28</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6. Exhibits</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29</w:t>
              </w:r>
            </w:hyperlink>
          </w:p>
        </w:tc>
      </w:tr>
      <w:tr>
        <w:trPr>
          <w:trHeight w:val="243"/>
        </w:trPr>
        <w:tc>
          <w:tcPr>
            <w:tcW w:w="10140" w:type="dxa"/>
            <w:vAlign w:val="bottom"/>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Signature</w:t>
              </w:r>
            </w:hyperlink>
          </w:p>
        </w:tc>
        <w:tc>
          <w:tcPr>
            <w:tcW w:w="1060" w:type="dxa"/>
            <w:vAlign w:val="bottom"/>
          </w:tcPr>
          <w:p>
            <w:pPr>
              <w:jc w:val="center"/>
              <w:spacing w:after="0"/>
              <w:rPr>
                <w:rFonts w:ascii="Arial" w:cs="Arial" w:eastAsia="Arial" w:hAnsi="Arial"/>
                <w:sz w:val="16"/>
                <w:szCs w:val="16"/>
                <w:u w:val="single" w:color="auto"/>
                <w:color w:val="0000FF"/>
                <w:w w:val="89"/>
              </w:rPr>
            </w:pPr>
            <w:hyperlink w:anchor="page30">
              <w:r>
                <w:rPr>
                  <w:rFonts w:ascii="Arial" w:cs="Arial" w:eastAsia="Arial" w:hAnsi="Arial"/>
                  <w:sz w:val="16"/>
                  <w:szCs w:val="16"/>
                  <w:u w:val="single" w:color="auto"/>
                  <w:color w:val="0000FF"/>
                  <w:w w:val="89"/>
                </w:rPr>
                <w:t>30</w:t>
              </w:r>
            </w:hyperlink>
          </w:p>
        </w:tc>
      </w:tr>
    </w:tbl>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and other revenue; research and development expenses; hiring of employees; sales and marketing expenses; general and administrative expenses in future periods;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economic downturns on us and our customers, including the impacts of 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cancellations and rate of customer churn;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benefits that can be realized from migrating customers from legacy products, including reducing the number of supported platforms and improved customer churn;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demand for our cloud communication and collaboration services, including voice, contact center, video, messaging, and communication application programming interfaces ("APIs");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market pressures, and any changes in the competitive dynamics of the markets in which we compete;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new or existing services and features we may offer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quality and reliability of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acquisition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network of channel partners to provide substantial new customer demand;</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upfront investments, including the cost to support new strategic initiatives such as our cloud migration program with value-added resellers ("VARs") and other partners, to acquire more customers may not result in additional revenue from new or existing customers;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and extent of improvements in operating results from increased spending in marketing, sales, and research and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existing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infrastructure of third-party network services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failure in our physical infrastructure;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defects or bugs in our software;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cybersecurity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compatibility of our software with third-party applications and mobile platforms;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 including privacy, in the United States and foreign countries in which we make our cloud software and services solutions available, and the costs of such compliance;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acquisition and integration of businesses we have acquired (for example, Wavecell Pte. Ltd.) or may acquire in the future, particularly if the acquired business operates in a different product market space from us or is based in a region where we do not have significant operations;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senior convertible notes and the related capped call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and effects of new accounting standards and policies in our reported financial results;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future intellectual property infringement claims and other litigation that could adversely impact our business and operating results.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Please refer to the "Risk Factors" section of our annual report on Form 10-K for the fiscal year ended March 31, 2020 as modified by the "Risk Factors" section of our Quarterly Report for the three-month period ended June 30, 2020,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fiscal year ends on March 31 of each calendar year. Each reference to a fiscal year in this Quarterly Report, refers to the fiscal year ended March 31 of the calendar year indicated (for example, fiscal 2021 refers to the fiscal year ending on March 31, 2021). Unless the context requires otherwise, references to "we," "us," "our," "8x8" and the "Company" refer to 8x8, Inc. and its consolidated subsidiaries.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 2020</w:t>
            </w:r>
          </w:p>
        </w:tc>
        <w:tc>
          <w:tcPr>
            <w:tcW w:w="400" w:type="dxa"/>
            <w:vAlign w:val="bottom"/>
          </w:tcPr>
          <w:p>
            <w:pPr>
              <w:spacing w:after="0"/>
              <w:rPr>
                <w:sz w:val="20"/>
                <w:szCs w:val="20"/>
                <w:color w:val="auto"/>
              </w:rPr>
            </w:pPr>
          </w:p>
        </w:tc>
        <w:tc>
          <w:tcPr>
            <w:tcW w:w="2120" w:type="dxa"/>
            <w:vAlign w:val="bottom"/>
          </w:tcPr>
          <w:p>
            <w:pPr>
              <w:jc w:val="right"/>
              <w:ind w:right="570"/>
              <w:spacing w:after="0"/>
              <w:rPr>
                <w:sz w:val="20"/>
                <w:szCs w:val="20"/>
                <w:color w:val="auto"/>
              </w:rPr>
            </w:pPr>
            <w:r>
              <w:rPr>
                <w:rFonts w:ascii="Arial" w:cs="Arial" w:eastAsia="Arial" w:hAnsi="Arial"/>
                <w:sz w:val="18"/>
                <w:szCs w:val="18"/>
                <w:b w:val="1"/>
                <w:bCs w:val="1"/>
                <w:color w:val="auto"/>
              </w:rPr>
              <w:t>March 31, 2020</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137,394</w:t>
            </w:r>
          </w:p>
        </w:tc>
      </w:tr>
      <w:tr>
        <w:trPr>
          <w:trHeight w:val="229"/>
        </w:trPr>
        <w:tc>
          <w:tcPr>
            <w:tcW w:w="6120" w:type="dxa"/>
            <w:vAlign w:val="bottom"/>
          </w:tcPr>
          <w:p>
            <w:pPr>
              <w:ind w:left="220"/>
              <w:spacing w:after="0"/>
              <w:rPr>
                <w:sz w:val="20"/>
                <w:szCs w:val="20"/>
                <w:color w:val="auto"/>
              </w:rPr>
            </w:pPr>
            <w:r>
              <w:rPr>
                <w:rFonts w:ascii="Arial" w:cs="Arial" w:eastAsia="Arial" w:hAnsi="Arial"/>
                <w:sz w:val="18"/>
                <w:szCs w:val="18"/>
                <w:color w:val="auto"/>
              </w:rPr>
              <w:t>Restricted cash, current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10,376</w:t>
            </w:r>
          </w:p>
        </w:tc>
      </w:tr>
      <w:tr>
        <w:trPr>
          <w:trHeight w:val="229"/>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33,458</w:t>
            </w: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42,971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37,811</w:t>
            </w:r>
          </w:p>
        </w:tc>
      </w:tr>
      <w:tr>
        <w:trPr>
          <w:trHeight w:val="229"/>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sales commission costs, current</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w:t>
            </w:r>
          </w:p>
        </w:tc>
      </w:tr>
      <w:tr>
        <w:trPr>
          <w:trHeight w:val="230"/>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35,679</w:t>
            </w:r>
          </w:p>
        </w:tc>
      </w:tr>
      <w:tr>
        <w:trPr>
          <w:trHeight w:val="223"/>
        </w:trPr>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277,162</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96,185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94,382</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78,963</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19,959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24,001</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128,300</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Restricted cash, non-current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8,641</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16,083</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Deferred sales commission costs, non-current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64,061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53,307</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19,802</w:t>
            </w:r>
          </w:p>
        </w:tc>
      </w:tr>
      <w:tr>
        <w:trPr>
          <w:trHeight w:val="223"/>
        </w:trPr>
        <w:tc>
          <w:tcPr>
            <w:tcW w:w="612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687,244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700,641</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97"/>
        </w:trPr>
        <w:tc>
          <w:tcPr>
            <w:tcW w:w="6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40,261</w:t>
            </w:r>
          </w:p>
        </w:tc>
      </w:tr>
      <w:tr>
        <w:trPr>
          <w:trHeight w:val="229"/>
        </w:trPr>
        <w:tc>
          <w:tcPr>
            <w:tcW w:w="61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28,698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22,656</w:t>
            </w: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Operating lease liabilities, current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5,875</w:t>
            </w: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current</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r>
      <w:tr>
        <w:trPr>
          <w:trHeight w:val="229"/>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37,277</w:t>
            </w:r>
          </w:p>
        </w:tc>
      </w:tr>
      <w:tr>
        <w:trPr>
          <w:trHeight w:val="223"/>
        </w:trPr>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123,425</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87,462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92,452</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net</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291,537</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non-current</w:t>
            </w: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r>
      <w:tr>
        <w:trPr>
          <w:trHeight w:val="223"/>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509,910</w:t>
            </w: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625,474</w:t>
            </w:r>
          </w:p>
        </w:tc>
      </w:tr>
      <w:tr>
        <w:trPr>
          <w:trHeight w:val="229"/>
        </w:trPr>
        <w:tc>
          <w:tcPr>
            <w:tcW w:w="61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(12,176)</w:t>
            </w: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(422,670)</w:t>
            </w:r>
          </w:p>
        </w:tc>
      </w:tr>
      <w:tr>
        <w:trPr>
          <w:trHeight w:val="223"/>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190,731</w:t>
            </w:r>
          </w:p>
        </w:tc>
      </w:tr>
      <w:tr>
        <w:trPr>
          <w:trHeight w:val="248"/>
        </w:trPr>
        <w:tc>
          <w:tcPr>
            <w:tcW w:w="6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700,641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191,184</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206,192</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61,113</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Cost of other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26,275</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37,765</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121,549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111,494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40,042</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276,689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(70,497)</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(74,793)</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97,356</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5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(75,197)</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investments in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103,178,621</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625,474</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(12,176)</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(422,670)</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680" w:type="dxa"/>
            <w:vAlign w:val="bottom"/>
          </w:tcPr>
          <w:p>
            <w:pPr>
              <w:ind w:left="180"/>
              <w:spacing w:after="0" w:line="166" w:lineRule="exact"/>
              <w:rPr>
                <w:sz w:val="20"/>
                <w:szCs w:val="20"/>
                <w:color w:val="auto"/>
              </w:rPr>
            </w:pPr>
            <w:r>
              <w:rPr>
                <w:rFonts w:ascii="Arial" w:cs="Arial" w:eastAsia="Arial" w:hAnsi="Arial"/>
                <w:sz w:val="16"/>
                <w:szCs w:val="16"/>
                <w:color w:val="auto"/>
              </w:rPr>
              <w:t>Adjustment to opening balance for change in</w:t>
            </w:r>
          </w:p>
        </w:tc>
        <w:tc>
          <w:tcPr>
            <w:tcW w:w="20" w:type="dxa"/>
            <w:vAlign w:val="bottom"/>
          </w:tcPr>
          <w:p>
            <w:pPr>
              <w:spacing w:after="0"/>
              <w:rPr>
                <w:sz w:val="14"/>
                <w:szCs w:val="14"/>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(2,800)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accounting principle</w:t>
            </w:r>
          </w:p>
        </w:tc>
        <w:tc>
          <w:tcPr>
            <w:tcW w:w="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36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7"/>
              </w:rPr>
              <w:t>Issuance of common stock under stock plans, less</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688,414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acquisition</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Unrealized investment gain</w:t>
            </w:r>
          </w:p>
        </w:tc>
        <w:tc>
          <w:tcPr>
            <w:tcW w:w="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103,867,035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Issuance of common stock under stock plans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2,119,196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6"/>
                <w:szCs w:val="16"/>
                <w:color w:val="auto"/>
              </w:rPr>
              <w:t>Unrealized investment gain/loss</w:t>
            </w:r>
          </w:p>
        </w:tc>
        <w:tc>
          <w:tcPr>
            <w:tcW w:w="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September 30, 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105,986,231</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688,116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(7,967)</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(505,796)</w:t>
            </w: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40" w:type="dxa"/>
            <w:vAlign w:val="bottom"/>
            <w:tcBorders>
              <w:bottom w:val="single" w:sz="8" w:color="auto"/>
            </w:tcBorders>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ind w:left="180"/>
              <w:spacing w:after="0" w:line="11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Loss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96,119,888</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506,949</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(250,302)</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680" w:type="dxa"/>
            <w:vAlign w:val="bottom"/>
          </w:tcPr>
          <w:p>
            <w:pPr>
              <w:ind w:left="200"/>
              <w:spacing w:after="0" w:line="166" w:lineRule="exact"/>
              <w:rPr>
                <w:sz w:val="20"/>
                <w:szCs w:val="20"/>
                <w:color w:val="auto"/>
              </w:rPr>
            </w:pPr>
            <w:r>
              <w:rPr>
                <w:rFonts w:ascii="Arial" w:cs="Arial" w:eastAsia="Arial" w:hAnsi="Arial"/>
                <w:sz w:val="16"/>
                <w:szCs w:val="16"/>
                <w:color w:val="auto"/>
                <w:w w:val="97"/>
              </w:rPr>
              <w:t>Issuance of common stock under stock plans, less</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451,308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1,493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withholding</w:t>
            </w:r>
          </w:p>
        </w:tc>
        <w:tc>
          <w:tcPr>
            <w:tcW w:w="1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Unrealized investment gain</w:t>
            </w:r>
          </w:p>
        </w:tc>
        <w:tc>
          <w:tcPr>
            <w:tcW w:w="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96,571,196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522,501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680" w:type="dxa"/>
            <w:vAlign w:val="bottom"/>
          </w:tcPr>
          <w:p>
            <w:pPr>
              <w:ind w:left="200"/>
              <w:spacing w:after="0" w:line="166" w:lineRule="exact"/>
              <w:rPr>
                <w:sz w:val="20"/>
                <w:szCs w:val="20"/>
                <w:color w:val="auto"/>
              </w:rPr>
            </w:pPr>
            <w:r>
              <w:rPr>
                <w:rFonts w:ascii="Arial" w:cs="Arial" w:eastAsia="Arial" w:hAnsi="Arial"/>
                <w:sz w:val="16"/>
                <w:szCs w:val="16"/>
                <w:color w:val="auto"/>
                <w:w w:val="97"/>
              </w:rPr>
              <w:t>Issuance of common stock under stock plans, less</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1,761,483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withholding</w:t>
            </w:r>
          </w:p>
        </w:tc>
        <w:tc>
          <w:tcPr>
            <w:tcW w:w="1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6"/>
                <w:szCs w:val="16"/>
                <w:color w:val="auto"/>
                <w:w w:val="98"/>
              </w:rPr>
              <w:t>Issuance of common stock related to acquisitions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1,476,009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35,838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investment loss</w:t>
            </w: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Balance at September 30, 2019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99,808,688</w:t>
            </w:r>
          </w:p>
        </w:tc>
        <w:tc>
          <w:tcPr>
            <w:tcW w:w="20" w:type="dxa"/>
            <w:vAlign w:val="bottom"/>
          </w:tcPr>
          <w:p>
            <w:pPr>
              <w:spacing w:after="0"/>
              <w:rPr>
                <w:sz w:val="17"/>
                <w:szCs w:val="17"/>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575,416</w:t>
            </w:r>
          </w:p>
        </w:tc>
        <w:tc>
          <w:tcPr>
            <w:tcW w:w="20" w:type="dxa"/>
            <w:vAlign w:val="bottom"/>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(11,140)</w:t>
            </w:r>
          </w:p>
        </w:tc>
        <w:tc>
          <w:tcPr>
            <w:tcW w:w="2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(325,499)</w:t>
            </w:r>
          </w:p>
        </w:tc>
        <w:tc>
          <w:tcPr>
            <w:tcW w:w="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238,877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September 30,</w:t>
            </w: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7"/>
                <w:szCs w:val="17"/>
                <w:color w:val="auto"/>
              </w:rPr>
              <w:t>Net loss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(80,326)</w:t>
            </w:r>
          </w:p>
        </w:tc>
        <w:tc>
          <w:tcPr>
            <w:tcW w:w="10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(75,197)</w:t>
            </w:r>
          </w:p>
        </w:tc>
        <w:tc>
          <w:tcPr>
            <w:tcW w:w="40" w:type="dxa"/>
            <w:vAlign w:val="bottom"/>
          </w:tcPr>
          <w:p>
            <w:pPr>
              <w:spacing w:after="0"/>
              <w:rPr>
                <w:sz w:val="19"/>
                <w:szCs w:val="19"/>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5,690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4,599</w:t>
            </w:r>
          </w:p>
        </w:tc>
        <w:tc>
          <w:tcPr>
            <w:tcW w:w="40" w:type="dxa"/>
            <w:vAlign w:val="bottom"/>
          </w:tcPr>
          <w:p>
            <w:pPr>
              <w:spacing w:after="0"/>
              <w:rPr>
                <w:sz w:val="19"/>
                <w:szCs w:val="19"/>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intangible assets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40" w:type="dxa"/>
            <w:vAlign w:val="bottom"/>
          </w:tcPr>
          <w:p>
            <w:pPr>
              <w:spacing w:after="0"/>
              <w:rPr>
                <w:sz w:val="19"/>
                <w:szCs w:val="19"/>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7"/>
                <w:szCs w:val="17"/>
                <w:color w:val="auto"/>
              </w:rPr>
              <w:t>Amortization of capitalized software</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12,893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8,242</w:t>
            </w:r>
          </w:p>
        </w:tc>
        <w:tc>
          <w:tcPr>
            <w:tcW w:w="40" w:type="dxa"/>
            <w:vAlign w:val="bottom"/>
          </w:tcPr>
          <w:p>
            <w:pPr>
              <w:spacing w:after="0"/>
              <w:rPr>
                <w:sz w:val="19"/>
                <w:szCs w:val="19"/>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debt discount and issuance costs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40" w:type="dxa"/>
            <w:vAlign w:val="bottom"/>
          </w:tcPr>
          <w:p>
            <w:pPr>
              <w:spacing w:after="0"/>
              <w:rPr>
                <w:sz w:val="19"/>
                <w:szCs w:val="19"/>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7"/>
                <w:szCs w:val="17"/>
                <w:color w:val="auto"/>
              </w:rPr>
              <w:t>Amortization of deferred sales commission costs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12,764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8,718</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Allowance for credit losses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40" w:type="dxa"/>
            <w:vAlign w:val="bottom"/>
          </w:tcPr>
          <w:p>
            <w:pPr>
              <w:spacing w:after="0"/>
              <w:rPr>
                <w:sz w:val="19"/>
                <w:szCs w:val="19"/>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7"/>
                <w:szCs w:val="17"/>
                <w:color w:val="auto"/>
              </w:rPr>
              <w:t>Operating lease expense, net of accretion</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6,234</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30,988</w:t>
            </w:r>
          </w:p>
        </w:tc>
        <w:tc>
          <w:tcPr>
            <w:tcW w:w="40" w:type="dxa"/>
            <w:vAlign w:val="bottom"/>
          </w:tcPr>
          <w:p>
            <w:pPr>
              <w:spacing w:after="0"/>
              <w:rPr>
                <w:sz w:val="19"/>
                <w:szCs w:val="19"/>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7"/>
                <w:szCs w:val="17"/>
                <w:color w:val="auto"/>
              </w:rPr>
              <w:t>Other</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19"/>
                <w:szCs w:val="19"/>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Changes in assets and liabilities:</w:t>
            </w: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(2,563)</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sales commission costs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w:t>
            </w:r>
          </w:p>
        </w:tc>
        <w:tc>
          <w:tcPr>
            <w:tcW w:w="40" w:type="dxa"/>
            <w:vAlign w:val="bottom"/>
          </w:tcPr>
          <w:p>
            <w:pPr>
              <w:spacing w:after="0"/>
              <w:rPr>
                <w:sz w:val="19"/>
                <w:szCs w:val="19"/>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7"/>
                <w:szCs w:val="17"/>
                <w:color w:val="auto"/>
              </w:rPr>
              <w:t>Other current and non-current assets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(17,418)</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accruals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9"/>
                <w:szCs w:val="19"/>
                <w:color w:val="auto"/>
              </w:rPr>
            </w:pPr>
          </w:p>
        </w:tc>
      </w:tr>
      <w:tr>
        <w:trPr>
          <w:trHeight w:val="230"/>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Deferred revenue</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19"/>
                <w:szCs w:val="19"/>
                <w:color w:val="auto"/>
              </w:rPr>
            </w:pPr>
          </w:p>
        </w:tc>
      </w:tr>
      <w:tr>
        <w:trPr>
          <w:trHeight w:val="223"/>
        </w:trPr>
        <w:tc>
          <w:tcPr>
            <w:tcW w:w="7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Net cash used in operating activities</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40" w:type="dxa"/>
            <w:vAlign w:val="bottom"/>
          </w:tcPr>
          <w:p>
            <w:pPr>
              <w:spacing w:after="0"/>
              <w:rPr>
                <w:sz w:val="19"/>
                <w:szCs w:val="19"/>
                <w:color w:val="auto"/>
              </w:rPr>
            </w:pPr>
          </w:p>
        </w:tc>
      </w:tr>
      <w:tr>
        <w:trPr>
          <w:trHeight w:val="196"/>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property and equipment</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40" w:type="dxa"/>
            <w:vAlign w:val="bottom"/>
          </w:tcPr>
          <w:p>
            <w:pPr>
              <w:spacing w:after="0"/>
              <w:rPr>
                <w:sz w:val="19"/>
                <w:szCs w:val="19"/>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7"/>
                <w:szCs w:val="17"/>
                <w:color w:val="auto"/>
              </w:rPr>
              <w:t>Purchase of businesses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(58,741)</w:t>
            </w:r>
          </w:p>
        </w:tc>
        <w:tc>
          <w:tcPr>
            <w:tcW w:w="40" w:type="dxa"/>
            <w:vAlign w:val="bottom"/>
          </w:tcPr>
          <w:p>
            <w:pPr>
              <w:spacing w:after="0"/>
              <w:rPr>
                <w:sz w:val="19"/>
                <w:szCs w:val="19"/>
                <w:color w:val="auto"/>
              </w:rPr>
            </w:pPr>
          </w:p>
        </w:tc>
      </w:tr>
      <w:tr>
        <w:trPr>
          <w:trHeight w:val="230"/>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Cost of capitalized software</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w:t>
            </w:r>
          </w:p>
        </w:tc>
        <w:tc>
          <w:tcPr>
            <w:tcW w:w="40" w:type="dxa"/>
            <w:vAlign w:val="bottom"/>
          </w:tcPr>
          <w:p>
            <w:pPr>
              <w:spacing w:after="0"/>
              <w:rPr>
                <w:sz w:val="19"/>
                <w:szCs w:val="19"/>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7"/>
                <w:szCs w:val="17"/>
                <w:color w:val="auto"/>
              </w:rPr>
              <w:t>Proceeds from maturities of investments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30,071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8,545</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sales of investments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30,639</w:t>
            </w:r>
          </w:p>
        </w:tc>
        <w:tc>
          <w:tcPr>
            <w:tcW w:w="40" w:type="dxa"/>
            <w:vAlign w:val="bottom"/>
          </w:tcPr>
          <w:p>
            <w:pPr>
              <w:spacing w:after="0"/>
              <w:rPr>
                <w:sz w:val="19"/>
                <w:szCs w:val="19"/>
                <w:color w:val="auto"/>
              </w:rPr>
            </w:pPr>
          </w:p>
        </w:tc>
      </w:tr>
      <w:tr>
        <w:trPr>
          <w:trHeight w:val="230"/>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Purchases of investments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(18,890)</w:t>
            </w:r>
          </w:p>
        </w:tc>
        <w:tc>
          <w:tcPr>
            <w:tcW w:w="40" w:type="dxa"/>
            <w:vAlign w:val="bottom"/>
          </w:tcPr>
          <w:p>
            <w:pPr>
              <w:spacing w:after="0"/>
              <w:rPr>
                <w:sz w:val="19"/>
                <w:szCs w:val="19"/>
                <w:color w:val="auto"/>
              </w:rPr>
            </w:pPr>
          </w:p>
        </w:tc>
      </w:tr>
      <w:tr>
        <w:trPr>
          <w:trHeight w:val="223"/>
        </w:trPr>
        <w:tc>
          <w:tcPr>
            <w:tcW w:w="70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Net cash used in investing activities</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(59,924)</w:t>
            </w:r>
          </w:p>
        </w:tc>
        <w:tc>
          <w:tcPr>
            <w:tcW w:w="40" w:type="dxa"/>
            <w:vAlign w:val="bottom"/>
          </w:tcPr>
          <w:p>
            <w:pPr>
              <w:spacing w:after="0"/>
              <w:rPr>
                <w:sz w:val="19"/>
                <w:szCs w:val="19"/>
                <w:color w:val="auto"/>
              </w:rPr>
            </w:pPr>
          </w:p>
        </w:tc>
      </w:tr>
      <w:tr>
        <w:trPr>
          <w:trHeight w:val="196"/>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lease payments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9"/>
                <w:szCs w:val="19"/>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7"/>
                <w:szCs w:val="17"/>
                <w:color w:val="auto"/>
              </w:rPr>
              <w:t>Tax-related withholding of common stock</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Pr>
          <w:p>
            <w:pPr>
              <w:spacing w:after="0"/>
              <w:rPr>
                <w:sz w:val="19"/>
                <w:szCs w:val="19"/>
                <w:color w:val="auto"/>
              </w:rPr>
            </w:pPr>
          </w:p>
        </w:tc>
      </w:tr>
      <w:tr>
        <w:trPr>
          <w:trHeight w:val="230"/>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issuance of common stock under employee stock plans</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40" w:type="dxa"/>
            <w:vAlign w:val="bottom"/>
          </w:tcPr>
          <w:p>
            <w:pPr>
              <w:spacing w:after="0"/>
              <w:rPr>
                <w:sz w:val="19"/>
                <w:szCs w:val="19"/>
                <w:color w:val="auto"/>
              </w:rPr>
            </w:pPr>
          </w:p>
        </w:tc>
      </w:tr>
      <w:tr>
        <w:trPr>
          <w:trHeight w:val="223"/>
        </w:trPr>
        <w:tc>
          <w:tcPr>
            <w:tcW w:w="702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9"/>
                <w:szCs w:val="19"/>
                <w:color w:val="auto"/>
              </w:rPr>
            </w:pPr>
          </w:p>
        </w:tc>
      </w:tr>
      <w:tr>
        <w:trPr>
          <w:trHeight w:val="223"/>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Effects of currency exchange rates on cash, cash equivalent, and restricted cash</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(19,005)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(103,447)</w:t>
            </w:r>
          </w:p>
        </w:tc>
        <w:tc>
          <w:tcPr>
            <w:tcW w:w="4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the beginning of the period</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156,411</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284,683</w:t>
            </w:r>
          </w:p>
        </w:tc>
        <w:tc>
          <w:tcPr>
            <w:tcW w:w="4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the end of the period</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137,406</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181,236</w:t>
            </w:r>
          </w:p>
        </w:tc>
        <w:tc>
          <w:tcPr>
            <w:tcW w:w="40" w:type="dxa"/>
            <w:vAlign w:val="bottom"/>
          </w:tcPr>
          <w:p>
            <w:pPr>
              <w:spacing w:after="0"/>
              <w:rPr>
                <w:sz w:val="19"/>
                <w:szCs w:val="19"/>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70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Supplemental and non-cash disclosures:</w:t>
            </w: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7"/>
                <w:szCs w:val="17"/>
                <w:color w:val="auto"/>
              </w:rPr>
              <w:t>Income taxes paid</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19"/>
                <w:szCs w:val="19"/>
                <w:color w:val="auto"/>
              </w:rPr>
            </w:pPr>
          </w:p>
        </w:tc>
      </w:tr>
      <w:tr>
        <w:trPr>
          <w:trHeight w:val="230"/>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paid</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19"/>
                <w:szCs w:val="19"/>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7"/>
                <w:szCs w:val="17"/>
                <w:color w:val="auto"/>
              </w:rPr>
              <w:t>Right of use assets obtained in exchange for new or modified operating lease liabilities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62,832</w:t>
            </w:r>
          </w:p>
        </w:tc>
        <w:tc>
          <w:tcPr>
            <w:tcW w:w="40" w:type="dxa"/>
            <w:vAlign w:val="bottom"/>
          </w:tcPr>
          <w:p>
            <w:pPr>
              <w:spacing w:after="0"/>
              <w:rPr>
                <w:sz w:val="20"/>
                <w:szCs w:val="20"/>
                <w:color w:val="auto"/>
              </w:rPr>
            </w:pPr>
          </w:p>
        </w:tc>
      </w:tr>
      <w:tr>
        <w:trPr>
          <w:trHeight w:val="742"/>
        </w:trPr>
        <w:tc>
          <w:tcPr>
            <w:tcW w:w="7020" w:type="dxa"/>
            <w:vAlign w:val="bottom"/>
          </w:tcPr>
          <w:p>
            <w:pPr>
              <w:ind w:left="5580"/>
              <w:spacing w:after="0"/>
              <w:rPr>
                <w:sz w:val="20"/>
                <w:szCs w:val="20"/>
                <w:color w:val="auto"/>
              </w:rPr>
            </w:pPr>
            <w:r>
              <w:rPr>
                <w:rFonts w:ascii="Arial" w:cs="Arial" w:eastAsia="Arial" w:hAnsi="Arial"/>
                <w:sz w:val="18"/>
                <w:szCs w:val="18"/>
                <w:color w:val="auto"/>
              </w:rPr>
              <w:t>8</w:t>
            </w: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702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cash, cash equivalents, and restricted cash to the condensed consolidated balance sheets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3,459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181,236</w:t>
            </w:r>
          </w:p>
        </w:tc>
      </w:tr>
      <w:tr>
        <w:trPr>
          <w:trHeight w:val="21"/>
        </w:trPr>
        <w:tc>
          <w:tcPr>
            <w:tcW w:w="7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8x8, Inc. ("8x8" or the "Company") was incorporated in California in February 1987 and was reincorporated in Delaware in December 1996.</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leading cloud provider of enterprise Software-as-a-Service ("SaaS") communications solutions that enable businesses of all sizes to communicate faster and smarter across voice, video meetings, chat, and contact centers,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and other services. Substantially all revenue is generated from communication services subscriptions and platform usage. The Company also generates revenue from sales of hardware and professional services, which are complementary to the delivery of our integrated technology platform.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accompanying interim condensed consolidated financial statements are unaudited and have been prepared in accordance with U.S. generally accepted accounting principles ("GAAP") and regulations of the Securities and Exchange Commission ("SEC") regarding interim financial reporting. The March 31, 2020 year-end condensed consolidated balance sheet data in this document were derived from audited consolidated financial statements and does not include all of the disclosures required by GAAP. These condensed consolidated financial statements should be read in conjunction with the Company's audited consolidated financial statements as of and for the fiscal year ended March 31, 2020 and notes thereto included in the Company's fiscal 2020 annual report on Form 10-K. There have been no material changes in our significant accounting policies as described in the Company's annual report on Form 10-K for the year ended March 31, 2020 during the three and six months ended September 30, 2020, except for the accounting policies described below that were updated as a result of adopting Accounting Standards Update ("ASU") 2016-03,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w:t>
      </w:r>
      <w:r>
        <w:rPr>
          <w:rFonts w:ascii="Arial" w:cs="Arial" w:eastAsia="Arial" w:hAnsi="Arial"/>
          <w:sz w:val="16"/>
          <w:szCs w:val="16"/>
          <w:color w:val="auto"/>
        </w:rPr>
        <w:t>further amended by various ASUs and ASU 2018-15,</w:t>
      </w:r>
      <w:r>
        <w:rPr>
          <w:rFonts w:ascii="Arial" w:cs="Arial" w:eastAsia="Arial" w:hAnsi="Arial"/>
          <w:sz w:val="16"/>
          <w:szCs w:val="16"/>
          <w:i w:val="1"/>
          <w:iCs w:val="1"/>
          <w:color w:val="auto"/>
        </w:rPr>
        <w:t xml:space="preserve"> Intangibles-Goodwill and Other-Internal Use Software </w:t>
      </w:r>
      <w:r>
        <w:rPr>
          <w:rFonts w:ascii="Arial" w:cs="Arial" w:eastAsia="Arial" w:hAnsi="Arial"/>
          <w:sz w:val="16"/>
          <w:szCs w:val="16"/>
          <w:color w:val="auto"/>
        </w:rPr>
        <w:t>(Subtopic 350-40). The results of operations and cash flows for the interim periods included in these condensed consolidated financial statements are not necessarily indicative of the results to be expected for any future periods or the entire fiscal year.</w:t>
      </w:r>
    </w:p>
    <w:p>
      <w:pPr>
        <w:spacing w:after="0" w:line="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unaudited interim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opinion of the Company's management, these interim condensed consolidated financial statements reflect all adjustments (consisting only of normal recurring adjustments) considered necessary for a fair statement of the Company's financial position, results of operations, and cash flows for the periods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reported amounts of assets, liabilities and equity, and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allowance for credit losses, returns reserve for expected cancellations, fair value of and/or evaluation for impairment of goodwill and other long-lived assets, capitalization of internally developed software, benefit period for deferred sales commission costs, stock-based compensation expense, incremental borrowing rate used to calculate operating lease liabilities, income and sales tax liabilities, fair value of convertible senior notes,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AND OTHER CHANGES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fiscal 2020, the Company determined that presenting service revenue as revenue from the Company's core communication services would provide transparency and clarity to the users of the financial statements. As such, the Company reclassified certain revenue and cost of revenue on its condensed consolidated statement of operations for the three and six months ended September 30, 2019. Professional services revenue and cost of professional services revenue previously reported in service revenue and cost of service revenue are now reported in other revenue and cost of other revenue. Product revenue and cost of product revenue are also now reported in other revenue and cost of other revenue. The reclassifications did not have any impact on total revenue, consolidated net loss, or cash flows.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prior year amounts in the condensed consolidated statements of cash flows have been reclassified to conform with the current year presentation.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June 2016, the Financial Accounting Standards Board ("FASB") issued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Financial Instruments—Credit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of Credit Losses on Financial Instruments</w:t>
      </w:r>
      <w:r>
        <w:rPr>
          <w:rFonts w:ascii="Arial" w:cs="Arial" w:eastAsia="Arial" w:hAnsi="Arial"/>
          <w:sz w:val="16"/>
          <w:szCs w:val="16"/>
          <w:color w:val="auto"/>
        </w:rPr>
        <w:t>, as amended, which replaces the existing impairment model with a forward-looking expected loss method.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update, on initial recognition and at each reporting period, an entity is required to recognize an allowance that reflects the entity's current estimate of credit losses expected to be incurred over the life of the financial instrument. For trade receivables, loans, and other financial instruments, an entity is required to use a forward-looking expected loss model to recognize credit losses that are probable. The Company adopted ASU 2016-13 on a modified retrospective basis as of April 1, 2020 through a cumulative-effect adjustment to the Company's beginning accumulated deficit balance; the impact of the adoption was not material to the Company's consolidated financial statements. Credit losses are not expected to be significant based on historical collection trends, the financial condition of the Company’s customers, and external market factors, including those related to the COVID-19 pandemic. The Company will continue to actively monitor the impact of the recent COVID-19 pandemic on expected credit losses.</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In August 2018, the FASB issued ASU 2018-13, </w:t>
      </w:r>
      <w:r>
        <w:rPr>
          <w:rFonts w:ascii="Arial" w:cs="Arial" w:eastAsia="Arial" w:hAnsi="Arial"/>
          <w:sz w:val="18"/>
          <w:szCs w:val="18"/>
          <w:i w:val="1"/>
          <w:iCs w:val="1"/>
          <w:color w:val="212529"/>
        </w:rPr>
        <w:t>Fair Value Measurement</w:t>
      </w:r>
      <w:r>
        <w:rPr>
          <w:rFonts w:ascii="Arial" w:cs="Arial" w:eastAsia="Arial" w:hAnsi="Arial"/>
          <w:sz w:val="18"/>
          <w:szCs w:val="18"/>
          <w:color w:val="212529"/>
        </w:rPr>
        <w:t xml:space="preserve"> (Topic 820), which makes modifications to disclosure requirements on fair value measurements. </w:t>
      </w:r>
      <w:r>
        <w:rPr>
          <w:rFonts w:ascii="Arial" w:cs="Arial" w:eastAsia="Arial" w:hAnsi="Arial"/>
          <w:sz w:val="18"/>
          <w:szCs w:val="18"/>
          <w:color w:val="000000"/>
        </w:rPr>
        <w:t>The Company adopted ASU 2018-13 on April 1, 2020, and the impact of the adoption was immaterial to the Company's consolidated</w:t>
      </w:r>
      <w:r>
        <w:rPr>
          <w:rFonts w:ascii="Arial" w:cs="Arial" w:eastAsia="Arial" w:hAnsi="Arial"/>
          <w:sz w:val="18"/>
          <w:szCs w:val="18"/>
          <w:color w:val="212529"/>
        </w:rPr>
        <w:t xml:space="preserve"> </w:t>
      </w:r>
      <w:r>
        <w:rPr>
          <w:rFonts w:ascii="Arial" w:cs="Arial" w:eastAsia="Arial" w:hAnsi="Arial"/>
          <w:sz w:val="18"/>
          <w:szCs w:val="18"/>
          <w:color w:val="000000"/>
        </w:rPr>
        <w:t>financial statements.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 Use Software</w:t>
      </w:r>
      <w:r>
        <w:rPr>
          <w:rFonts w:ascii="Arial" w:cs="Arial" w:eastAsia="Arial" w:hAnsi="Arial"/>
          <w:sz w:val="17"/>
          <w:szCs w:val="17"/>
          <w:color w:val="auto"/>
        </w:rPr>
        <w:t xml:space="preserve"> (Subtopic 350-40), which reduces complexity for the accounting for costs of implementing a cloud computing service arrangement. The Company adopted this guidance on a prospective basis effective April 1, 2020. The adoption of this guidance did not have a material impact on the Company's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will be effective for public companies with fiscal years beginning after December 15, 2020, which is fiscal 2022 for the Company; early adoption is permitted. The Company is currently assessing the impact of this pronouncement to its consolidated financial statements.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w:t>
      </w:r>
      <w:r>
        <w:rPr>
          <w:rFonts w:ascii="Arial" w:cs="Arial" w:eastAsia="Arial" w:hAnsi="Arial"/>
          <w:sz w:val="16"/>
          <w:szCs w:val="16"/>
          <w:color w:val="auto"/>
        </w:rPr>
        <w:t>(Subtopic 815-40), which simplifies accounting for convertible instruments by eliminating two of the three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models available for convertible debt instruments and convertible preferred stock. The guidance also addresses how convertible instruments are accounted for in the diluted earnings per share calculation. The guidance is effective for fiscal years beginning after December 15, 2021, which is fiscal 2023 for the Company; early adoption is permitted. The Company is currently assessing the impact of this pronouncement to its consolidated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regions. See Note 13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receivables, contract assets, and deferred revenues from contracts with customers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2020</w:t>
            </w:r>
          </w:p>
        </w:tc>
        <w:tc>
          <w:tcPr>
            <w:tcW w:w="30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 2020</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Contract assets, current, net (included in 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11,712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10,425</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non-current, net (included in Other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13,698</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9,452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7,105</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 (included in Other liabilities, non-current)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contract assets and deferred revenue balances during the six months ended September 30, 2020 are as follows (in thousands):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2020</w:t>
            </w:r>
          </w:p>
        </w:tc>
        <w:tc>
          <w:tcPr>
            <w:tcW w:w="34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2020</w:t>
            </w:r>
          </w:p>
        </w:tc>
        <w:tc>
          <w:tcPr>
            <w:tcW w:w="38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3,906</w:t>
            </w:r>
          </w:p>
        </w:tc>
      </w:tr>
    </w:tbl>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 in contract assets was primarily driven by the recognition of revenue that has not yet been billed, net of amounts billed during the period and reserve for current estimate of credit losses. The increase in deferred revenue was due to billings in advance of performance obligations being satisfied, net of revenue recognized for services rendered during the period. Revenue of $1.3 million and $5.0 million was recognized during the three and six months ended September 30, 2020, which were included in the deferred revenue balance at the beginning of the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subscription terms typically range from one to five years. Contract revenue that has not yet been recognized as of September 30, 2020 was approximately $330 million from remaining performance obligations. This excludes contracts with an original expected length of one year or less. The Company expects to recognize revenue on most of the remaining performance obligations over the next 36 months.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Sales Commission Costs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sales commission costs was $6.7 million and $4.5 million for the three months ended September 30, 2020 and 2019, respectively, and $12.8 million and $8.7 million, for the six months ended September 30, 2020 and 2019, respectively. There were no material write-offs relative to the costs capitalized during these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restricted cash, and available-for-sale investments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 Fair</w:t>
            </w:r>
          </w:p>
        </w:tc>
        <w:tc>
          <w:tcPr>
            <w:tcW w:w="18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Cash and</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Cash (Current</w:t>
            </w: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1"/>
                <w:szCs w:val="11"/>
                <w:color w:val="auto"/>
              </w:rPr>
            </w:pPr>
          </w:p>
        </w:tc>
        <w:tc>
          <w:tcPr>
            <w:tcW w:w="100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2"/>
              </w:rPr>
              <w:t>Long-Term</w:t>
            </w: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 of September 30, 2020</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&amp; Non-</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Cash Equivalents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7"/>
              </w:rPr>
              <w:t>Current)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tcPr>
          <w:p>
            <w:pPr>
              <w:ind w:left="20"/>
              <w:spacing w:after="0"/>
              <w:rPr>
                <w:sz w:val="20"/>
                <w:szCs w:val="20"/>
                <w:color w:val="auto"/>
              </w:rPr>
            </w:pPr>
            <w:r>
              <w:rPr>
                <w:rFonts w:ascii="Arial" w:cs="Arial" w:eastAsia="Arial" w:hAnsi="Arial"/>
                <w:sz w:val="15"/>
                <w:szCs w:val="15"/>
                <w:color w:val="auto"/>
              </w:rPr>
              <w:t>Level 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Money market funds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Treasury securities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6,253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8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Subtotal</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133,218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6,253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80" w:type="dxa"/>
            <w:vAlign w:val="bottom"/>
          </w:tcPr>
          <w:p>
            <w:pPr>
              <w:ind w:left="20"/>
              <w:spacing w:after="0"/>
              <w:rPr>
                <w:sz w:val="20"/>
                <w:szCs w:val="20"/>
                <w:color w:val="auto"/>
              </w:rPr>
            </w:pPr>
            <w:r>
              <w:rPr>
                <w:rFonts w:ascii="Arial" w:cs="Arial" w:eastAsia="Arial" w:hAnsi="Arial"/>
                <w:sz w:val="15"/>
                <w:szCs w:val="15"/>
                <w:color w:val="auto"/>
              </w:rPr>
              <w:t>Level 2:</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Certificate of deposit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tcPr>
          <w:p>
            <w:pPr>
              <w:ind w:left="220"/>
              <w:spacing w:after="0"/>
              <w:rPr>
                <w:sz w:val="20"/>
                <w:szCs w:val="20"/>
                <w:color w:val="auto"/>
              </w:rPr>
            </w:pPr>
            <w:r>
              <w:rPr>
                <w:rFonts w:ascii="Arial" w:cs="Arial" w:eastAsia="Arial" w:hAnsi="Arial"/>
                <w:sz w:val="15"/>
                <w:szCs w:val="15"/>
                <w:color w:val="auto"/>
              </w:rPr>
              <w:t>Commercial paper</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4,399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2,599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Corporate debt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28,586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28,710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22,529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Subtotal</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41,626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41,750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8,641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25,128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174,968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31,381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 Fair</w:t>
            </w:r>
          </w:p>
        </w:tc>
        <w:tc>
          <w:tcPr>
            <w:tcW w:w="18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Cash and</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Cash (Current</w:t>
            </w: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1"/>
                <w:szCs w:val="11"/>
                <w:color w:val="auto"/>
              </w:rPr>
            </w:pPr>
          </w:p>
        </w:tc>
        <w:tc>
          <w:tcPr>
            <w:tcW w:w="100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2"/>
              </w:rPr>
              <w:t>Long-Term</w:t>
            </w: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 of March 31, 2020</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&amp; Non-</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Cash Equivalents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7"/>
              </w:rPr>
              <w:t>Current)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tcPr>
          <w:p>
            <w:pPr>
              <w:ind w:left="20"/>
              <w:spacing w:after="0"/>
              <w:rPr>
                <w:sz w:val="20"/>
                <w:szCs w:val="20"/>
                <w:color w:val="auto"/>
              </w:rPr>
            </w:pPr>
            <w:r>
              <w:rPr>
                <w:rFonts w:ascii="Arial" w:cs="Arial" w:eastAsia="Arial" w:hAnsi="Arial"/>
                <w:sz w:val="15"/>
                <w:szCs w:val="15"/>
                <w:color w:val="auto"/>
              </w:rPr>
              <w:t>Level 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Money market funds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Treasury securities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6,308</w:t>
            </w:r>
          </w:p>
        </w:tc>
        <w:tc>
          <w:tcPr>
            <w:tcW w:w="0" w:type="dxa"/>
            <w:vAlign w:val="bottom"/>
          </w:tcPr>
          <w:p>
            <w:pPr>
              <w:spacing w:after="0"/>
              <w:rPr>
                <w:sz w:val="1"/>
                <w:szCs w:val="1"/>
                <w:color w:val="auto"/>
              </w:rPr>
            </w:pPr>
          </w:p>
        </w:tc>
      </w:tr>
      <w:tr>
        <w:trPr>
          <w:trHeight w:val="200"/>
        </w:trPr>
        <w:tc>
          <w:tcPr>
            <w:tcW w:w="208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Subtotal</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6,308</w:t>
            </w:r>
          </w:p>
        </w:tc>
        <w:tc>
          <w:tcPr>
            <w:tcW w:w="0" w:type="dxa"/>
            <w:vAlign w:val="bottom"/>
          </w:tcPr>
          <w:p>
            <w:pPr>
              <w:spacing w:after="0"/>
              <w:rPr>
                <w:sz w:val="1"/>
                <w:szCs w:val="1"/>
                <w:color w:val="auto"/>
              </w:rPr>
            </w:pPr>
          </w:p>
        </w:tc>
      </w:tr>
      <w:tr>
        <w:trPr>
          <w:trHeight w:val="178"/>
        </w:trPr>
        <w:tc>
          <w:tcPr>
            <w:tcW w:w="2080" w:type="dxa"/>
            <w:vAlign w:val="bottom"/>
          </w:tcPr>
          <w:p>
            <w:pPr>
              <w:ind w:left="20"/>
              <w:spacing w:after="0"/>
              <w:rPr>
                <w:sz w:val="20"/>
                <w:szCs w:val="20"/>
                <w:color w:val="auto"/>
              </w:rPr>
            </w:pPr>
            <w:r>
              <w:rPr>
                <w:rFonts w:ascii="Arial" w:cs="Arial" w:eastAsia="Arial" w:hAnsi="Arial"/>
                <w:sz w:val="15"/>
                <w:szCs w:val="15"/>
                <w:color w:val="auto"/>
              </w:rPr>
              <w:t>Level 2:</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Certificate of deposit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80" w:type="dxa"/>
            <w:vAlign w:val="bottom"/>
          </w:tcPr>
          <w:p>
            <w:pPr>
              <w:ind w:left="220"/>
              <w:spacing w:after="0"/>
              <w:rPr>
                <w:sz w:val="20"/>
                <w:szCs w:val="20"/>
                <w:color w:val="auto"/>
              </w:rPr>
            </w:pPr>
            <w:r>
              <w:rPr>
                <w:rFonts w:ascii="Arial" w:cs="Arial" w:eastAsia="Arial" w:hAnsi="Arial"/>
                <w:sz w:val="15"/>
                <w:szCs w:val="15"/>
                <w:color w:val="auto"/>
              </w:rPr>
              <w:t>Commercial paper</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14,979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14,985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5,596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9,389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Corporate debt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5"/>
                <w:szCs w:val="15"/>
                <w:color w:val="auto"/>
                <w:w w:val="96"/>
              </w:rPr>
              <w:t>(341)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24,069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9,775</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Subtotal</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57,773</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96"/>
              </w:rPr>
              <w:t>(341)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57,470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5,596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8,641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33,458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9,775</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206,139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5"/>
                <w:szCs w:val="15"/>
                <w:color w:val="auto"/>
                <w:w w:val="96"/>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137,394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33,458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Certificate of deposit represents the Company's letter of credits securing leases for office facilities, and the balance of which is included in restricted cash, non-current in the Company's condensed consolidated balance sheet.</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considers its investments as available to support its current operations, and it has classified all investments as available-for-sale securities. As of September 30, 2020, for investments that were in unrealized loss positions, the Company does not have the intent to sell any of these investments and has determined that it is not more likely than not that it will be required to sell any of these investments before recovery of the entire amortized cost basis.</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regularly reviews the changes to the rating of its securities at the individual security level by rating agencies as well as reasonably monitors the surrounding economic conditions to assess the risk of expected credit losses. As of September 30, 2020, the Company did not have any risk of expected credit losses.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the estimated fair value of the Company's outstanding convertible senior notes (the "Notes") was $336.7 million, which was determined based on the closing price for the Notes on the last trading day of the reporting period and is considered to be Level 2 in the fair value hierarchy due to limited trading activity of the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2019, the Company purchased all of the outstanding shares and equity interests of Wavecell, Pte. Ltd. During the three months ended September 30, 2020, the fair value of all assets acquired and liabilities assumed in the transaction, were finalized, and did not result in any additional adjustments to the preliminary purchase price allocation in the current quarter. Of the $10.4 million cash and 394,515 shares (equivalent to $8.5 million at acquisition) that were held back, the Company released $3.5 million of cash and 116,505 shares on the one-year anniversary of the acquisition. The remaining balance is expected to be released in January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September 30, 2020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2020</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3"/>
                <w:szCs w:val="13"/>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960" w:type="dxa"/>
            <w:vAlign w:val="bottom"/>
          </w:tcPr>
          <w:p>
            <w:pPr>
              <w:jc w:val="center"/>
              <w:ind w:right="94"/>
              <w:spacing w:after="0" w:line="158" w:lineRule="exact"/>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3"/>
                <w:szCs w:val="13"/>
                <w:color w:val="auto"/>
              </w:rPr>
            </w:pPr>
          </w:p>
        </w:tc>
        <w:tc>
          <w:tcPr>
            <w:tcW w:w="980" w:type="dxa"/>
            <w:vAlign w:val="bottom"/>
          </w:tcPr>
          <w:p>
            <w:pPr>
              <w:jc w:val="center"/>
              <w:ind w:right="94"/>
              <w:spacing w:after="0" w:line="158" w:lineRule="exact"/>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4"/>
              </w:rPr>
              <w:t>Carrying</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80" w:type="dxa"/>
            <w:vAlign w:val="bottom"/>
          </w:tcPr>
          <w:p>
            <w:pPr>
              <w:spacing w:after="0"/>
              <w:rPr>
                <w:sz w:val="18"/>
                <w:szCs w:val="18"/>
                <w:color w:val="auto"/>
              </w:rPr>
            </w:pPr>
          </w:p>
        </w:tc>
        <w:tc>
          <w:tcPr>
            <w:tcW w:w="980" w:type="dxa"/>
            <w:vAlign w:val="bottom"/>
          </w:tcPr>
          <w:p>
            <w:pPr>
              <w:jc w:val="center"/>
              <w:ind w:right="94"/>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2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domain names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55"/>
        </w:trPr>
        <w:tc>
          <w:tcPr>
            <w:tcW w:w="3240" w:type="dxa"/>
            <w:vAlign w:val="bottom"/>
          </w:tcPr>
          <w:p>
            <w:pPr>
              <w:ind w:left="220"/>
              <w:spacing w:after="0" w:line="156" w:lineRule="exact"/>
              <w:rPr>
                <w:sz w:val="20"/>
                <w:szCs w:val="20"/>
                <w:color w:val="auto"/>
              </w:rPr>
            </w:pPr>
            <w:r>
              <w:rPr>
                <w:rFonts w:ascii="Arial" w:cs="Arial" w:eastAsia="Arial" w:hAnsi="Arial"/>
                <w:sz w:val="18"/>
                <w:szCs w:val="18"/>
                <w:color w:val="auto"/>
              </w:rPr>
              <w:t>Total acquired identifiable intangible</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46,552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(26,593)</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19,959</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46,324</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(22,323)</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24,001</w:t>
            </w:r>
          </w:p>
        </w:tc>
        <w:tc>
          <w:tcPr>
            <w:tcW w:w="0" w:type="dxa"/>
            <w:vAlign w:val="bottom"/>
          </w:tcPr>
          <w:p>
            <w:pPr>
              <w:spacing w:after="0"/>
              <w:rPr>
                <w:sz w:val="1"/>
                <w:szCs w:val="1"/>
                <w:color w:val="auto"/>
              </w:rPr>
            </w:pPr>
          </w:p>
        </w:tc>
      </w:tr>
      <w:tr>
        <w:trPr>
          <w:trHeight w:val="208"/>
        </w:trPr>
        <w:tc>
          <w:tcPr>
            <w:tcW w:w="3240" w:type="dxa"/>
            <w:vAlign w:val="bottom"/>
          </w:tcPr>
          <w:p>
            <w:pPr>
              <w:ind w:left="220"/>
              <w:spacing w:after="0" w:line="202" w:lineRule="exact"/>
              <w:rPr>
                <w:sz w:val="20"/>
                <w:szCs w:val="20"/>
                <w:color w:val="auto"/>
              </w:rPr>
            </w:pPr>
            <w:r>
              <w:rPr>
                <w:rFonts w:ascii="Arial" w:cs="Arial" w:eastAsia="Arial" w:hAnsi="Arial"/>
                <w:sz w:val="18"/>
                <w:szCs w:val="18"/>
                <w:color w:val="auto"/>
              </w:rPr>
              <w:t>assets</w:t>
            </w: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the weighted average remaining useful life for technology and customer relationships was 4.8 years and 5.6 years,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the expected future amortization expense of these intangible assets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4,708</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2,851</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r>
      <w:tr>
        <w:trPr>
          <w:trHeight w:val="23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19,959</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(in thousands):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128,300</w:t>
            </w:r>
          </w:p>
        </w:tc>
      </w:tr>
      <w:tr>
        <w:trPr>
          <w:trHeight w:val="229"/>
        </w:trPr>
        <w:tc>
          <w:tcPr>
            <w:tcW w:w="9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130,152</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primarily leases facilities for office and data center space under non-cancellable operating leases for its U.S. and international locations that expire at various dates through 2030.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balance sheet information related to leases as of September 30, 2020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2020</w:t>
            </w:r>
          </w:p>
        </w:tc>
        <w:tc>
          <w:tcPr>
            <w:tcW w:w="340" w:type="dxa"/>
            <w:vAlign w:val="bottom"/>
          </w:tcPr>
          <w:p>
            <w:pPr>
              <w:spacing w:after="0"/>
              <w:rPr>
                <w:sz w:val="20"/>
                <w:szCs w:val="20"/>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 2020</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29"/>
        </w:trPr>
        <w:tc>
          <w:tcPr>
            <w:tcW w:w="654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72,841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78,963</w:t>
            </w:r>
          </w:p>
        </w:tc>
      </w:tr>
      <w:tr>
        <w:trPr>
          <w:trHeight w:val="270"/>
        </w:trPr>
        <w:tc>
          <w:tcPr>
            <w:tcW w:w="6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r>
      <w:tr>
        <w:trPr>
          <w:trHeight w:val="229"/>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92,452</w:t>
            </w:r>
          </w:p>
        </w:tc>
      </w:tr>
      <w:tr>
        <w:trPr>
          <w:trHeight w:val="248"/>
        </w:trPr>
        <w:tc>
          <w:tcPr>
            <w:tcW w:w="6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The components of lease expense were as follows (in thousands):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5360" w:type="dxa"/>
            <w:vAlign w:val="bottom"/>
          </w:tcPr>
          <w:p>
            <w:pPr>
              <w:spacing w:after="0"/>
              <w:rPr>
                <w:sz w:val="24"/>
                <w:szCs w:val="24"/>
                <w:color w:val="auto"/>
              </w:rPr>
            </w:pPr>
          </w:p>
        </w:tc>
        <w:tc>
          <w:tcPr>
            <w:tcW w:w="300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4"/>
                <w:szCs w:val="24"/>
                <w:color w:val="auto"/>
              </w:rPr>
            </w:pPr>
          </w:p>
        </w:tc>
        <w:tc>
          <w:tcPr>
            <w:tcW w:w="27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53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expense was immaterial for the three and six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Operating cash outflow from operating lease was $4.2 million and $4.5 million, respectively, for the six months ended September 30, 2020 and 2019.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information for the six months ended September 30, 2020 (in thousands, except for weighted average):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4840" w:type="dxa"/>
            <w:vAlign w:val="bottom"/>
            <w:shd w:val="clear" w:color="auto" w:fill="CCEEFF"/>
          </w:tcPr>
          <w:p>
            <w:pPr>
              <w:jc w:val="center"/>
              <w:ind w:left="2710"/>
              <w:spacing w:after="0"/>
              <w:rPr>
                <w:sz w:val="20"/>
                <w:szCs w:val="20"/>
                <w:color w:val="auto"/>
              </w:rPr>
            </w:pPr>
            <w:r>
              <w:rPr>
                <w:rFonts w:ascii="Arial" w:cs="Arial" w:eastAsia="Arial" w:hAnsi="Arial"/>
                <w:sz w:val="18"/>
                <w:szCs w:val="18"/>
                <w:color w:val="auto"/>
                <w:w w:val="86"/>
              </w:rPr>
              <w:t>8.6 years</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840" w:type="dxa"/>
            <w:vAlign w:val="bottom"/>
          </w:tcPr>
          <w:p>
            <w:pPr>
              <w:jc w:val="right"/>
              <w:ind w:right="750"/>
              <w:spacing w:after="0"/>
              <w:rPr>
                <w:sz w:val="20"/>
                <w:szCs w:val="20"/>
                <w:color w:val="auto"/>
              </w:rPr>
            </w:pPr>
            <w:r>
              <w:rPr>
                <w:rFonts w:ascii="Arial" w:cs="Arial" w:eastAsia="Arial" w:hAnsi="Arial"/>
                <w:sz w:val="18"/>
                <w:szCs w:val="18"/>
                <w:color w:val="auto"/>
              </w:rPr>
              <w:t>4.0%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September 30, 2020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11,766</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0" w:type="dxa"/>
            <w:vAlign w:val="bottom"/>
          </w:tcPr>
          <w:p>
            <w:pPr>
              <w:spacing w:after="0"/>
              <w:rPr>
                <w:sz w:val="1"/>
                <w:szCs w:val="1"/>
                <w:color w:val="auto"/>
              </w:rPr>
            </w:pPr>
          </w:p>
        </w:tc>
      </w:tr>
      <w:tr>
        <w:trPr>
          <w:trHeight w:val="23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58,122</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118,148</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(19,542)</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 receivable</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3"/>
        </w:trPr>
        <w:tc>
          <w:tcPr>
            <w:tcW w:w="9180" w:type="dxa"/>
            <w:vAlign w:val="bottom"/>
          </w:tcPr>
          <w:p>
            <w:pPr>
              <w:ind w:left="340"/>
              <w:spacing w:after="0"/>
              <w:rPr>
                <w:sz w:val="20"/>
                <w:szCs w:val="20"/>
                <w:color w:val="auto"/>
              </w:rPr>
            </w:pPr>
            <w:r>
              <w:rPr>
                <w:rFonts w:ascii="Arial" w:cs="Arial" w:eastAsia="Arial" w:hAnsi="Arial"/>
                <w:sz w:val="18"/>
                <w:szCs w:val="18"/>
                <w:color w:val="auto"/>
              </w:rPr>
              <w:t>Present value of lease liabilities</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Assignment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fourth quarter of fiscal 2018, the Company entered into a 132-month lease agreement (the "Agreement") with CAP Phase I, a Delaware limited liability company (the "Landlord"), to rent approximately 162,000 square feet of office space in a new building in San Jose, California. The lease term began on January 1, 2019. On April 30, 2019, due to the Company's rapid growth and greater than anticipated future space needs, the Company entered into an assignment and assumption (the "Assignment") of the Agreement with the Landlord, and Roku Inc., a Delaware corporation ("Roku"), whereby the Company assigned to Roku the Agreement. Pursuant to the Assignment, the Company expects to be released from all of its obligations under the lease and related standby letter of credit by the end of the Company’s fiscal year ending March 31, 2022, or shortly thereafter. The Company also expects to receive the reimbursement of base rent and direct expenses from Roku by the end of the Company’s fiscal year ending March 31, 2022 in accordance with the Assignment.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obligations related to the Agreement are not included in the right-of-use asset or lease liabilities as of September 30, 2020. The remaining obligations related to the Assignment of $4.8 million and the termination fee of $0.8 million are recorded in other accrued liabilities and other liabilities, non-current, respectively, in the Company's condensed consolidated balance sheet. The expected receivable of $6.9 million is recorded in other current assets in the Company's condensed consolidated balance sheet.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Indemnifications, and Contingencies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the Company receives inquiries from federal and various state and municipal taxing agencies with respect to the remittance of sales, use, telecommunications, excise, payroll, and income taxes. Several jurisdictions are currently conducting tax audits of the Company's records. The Company collects from its customers or has accrued for taxes that it believes are required to be remitted. The amounts that have been remitted have historically been within the accruals established by the Company. The Company adjusts its accrued taxes when facts relating to specific exposures warrant such adjustment. The Company continues to conduct periodic review of the taxability of certain of its services that may be subject to sales, use, telecommunications or other similar indirect taxes in certain jurisdictions. As of September 30, 2020 and March 31, 2020, the Company had accrued contingent indirect tax liabilities of $4.5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from time to time, may be involved in a variety of claims, lawsuits, investigations and other proceedings, including patent infringement claims, employment litigation, regulatory compliance matters and contractual disputes, that can arise in the normal course of the Company's operations. The Company accrues a liability when management believes information available prior to the issuance of the financial statements indicates it is probable a loss has been incurred as of the date of the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2020, the Company does not have any material provisions for any such lawsuits, claims and proceedings and believes it is not probable that a loss had been incurred. Litigation is inherently unpredictable and subject to significant uncertainties. While there can be no assurances that favorable final outcomes will be obtained, the Company believes it has valid defenses with respect to legal matters pending against it. Future litigation could be costly to defend, could impose significant burdens on employees and cause the diversion of management's attention, and could upon resolution have a material adverse effect on the Company's business, results of operations, financial condition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 AND CAPPED CALL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Notes") due 2024 in a private placement, including the exercise in full of the initial purchasers' option to purchase additional notes. The Initial Notes are senior unsecured obligations of the Company and interest is payable semiannually in arrears on February 1 and August 1 of each year, beginning on August 1, 2019. The Initial Notes will mature on February 1, 2024, unless earlier repurchased, redeemed, or converted. The total net proceeds from the debt offering, after deducting initial purchase discounts, debt issuance costs, and costs of the capped call transactions described below, were approximately $245.8 million.</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the Company issued an additional $75 million aggregate principal amount of 0.50% convertible senior notes (the "Additional Notes" and together with the Initial Notes, the "Notes") due 2024 in a registered offering under the same indenture as the Initial Notes. The total net proceeds from the Additional Notes, after deducting underwriting discounts, debt issuance costs, and costs of the capped call transactions described below, were approximately $64.6 million. The Additional Notes constitute a further issuance of, and form a single series with, the Company’s outstanding 0.50% convertible senior notes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2024 issued in February 2019 in the aggregate principal amount of $287.5 million. Immediately after giving effect to the issuance of the Additional Notes, the Company has $362.5 million aggregate principal amount of convertible senior notes.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are senior unsecured obligations of the Company and interest is payable semiannually in arrears on February 1 and August 1 of each year, beginning on February 1, 2020. The Notes will mature on February 1, 2024, unless earlier repurchased, redeemed, or converted.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$1,000 principal amount of the Notes are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will be convertible at certain times and upon the occurrence of certain events in the future. Further, 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 During the six months ended September 30, 2020, the conditions allowing holders of the Notes to convert were not met.</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2020</w:t>
            </w:r>
          </w:p>
        </w:tc>
        <w:tc>
          <w:tcPr>
            <w:tcW w:w="340" w:type="dxa"/>
            <w:vAlign w:val="bottom"/>
          </w:tcPr>
          <w:p>
            <w:pPr>
              <w:spacing w:after="0"/>
              <w:rPr>
                <w:sz w:val="20"/>
                <w:szCs w:val="20"/>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(61,786)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(69,987)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Net carrying amount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291,537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Interest expense related to the Notes was as follows (in thousands):</w:t>
            </w: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980" w:type="dxa"/>
            <w:vAlign w:val="bottom"/>
            <w:gridSpan w:val="6"/>
          </w:tcPr>
          <w:p>
            <w:pPr>
              <w:ind w:left="60"/>
              <w:spacing w:after="0"/>
              <w:rPr>
                <w:sz w:val="20"/>
                <w:szCs w:val="20"/>
                <w:color w:val="auto"/>
              </w:rPr>
            </w:pPr>
            <w:r>
              <w:rPr>
                <w:rFonts w:ascii="Arial" w:cs="Arial" w:eastAsia="Arial" w:hAnsi="Arial"/>
                <w:sz w:val="18"/>
                <w:szCs w:val="18"/>
                <w:b w:val="1"/>
                <w:bCs w:val="1"/>
                <w:color w:val="auto"/>
                <w:w w:val="94"/>
              </w:rPr>
              <w:t>Three Months Ended September 30,</w:t>
            </w:r>
          </w:p>
        </w:tc>
        <w:tc>
          <w:tcPr>
            <w:tcW w:w="140" w:type="dxa"/>
            <w:vAlign w:val="bottom"/>
          </w:tcPr>
          <w:p>
            <w:pPr>
              <w:spacing w:after="0"/>
              <w:rPr>
                <w:sz w:val="20"/>
                <w:szCs w:val="20"/>
                <w:color w:val="auto"/>
              </w:rPr>
            </w:pPr>
          </w:p>
        </w:tc>
        <w:tc>
          <w:tcPr>
            <w:tcW w:w="27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53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6,344</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w:t>
            </w:r>
          </w:p>
        </w:tc>
      </w:tr>
      <w:tr>
        <w:trPr>
          <w:trHeight w:val="21"/>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7"/>
        </w:trPr>
        <w:tc>
          <w:tcPr>
            <w:tcW w:w="5380" w:type="dxa"/>
            <w:vAlign w:val="bottom"/>
          </w:tcPr>
          <w:p>
            <w:pPr>
              <w:spacing w:after="0"/>
              <w:rPr>
                <w:sz w:val="24"/>
                <w:szCs w:val="24"/>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538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pricing of the Initial Notes and Additional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 The cost of $33.7 million incurred to purchase the Capped Calls in connection with the Initial Notes and $9.3 million in connection with the Additional Notes were recorded as a reduction to additional paid-in capital and will not be remeasured.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pertaining to the stock-based compensation expense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00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53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Cost of other revenue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9,261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w:t>
            </w: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 and Performance Stock Units (PSU)</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Activities related to RSU and PSU, collectively Stock Awards, during six months ended September 30, 2020 and 2019 are summarized as follows (in thousands, except weighted-average grant-date fair value and recognition period):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50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2"/>
              </w:rPr>
              <w:t>Six Months Ended September 30,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outstanding at the beginning of the period:</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Stock awards granted</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awards vested</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 awards canceled and forfeited</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awards outstanding at the end of the period:</w:t>
            </w:r>
          </w:p>
        </w:tc>
        <w:tc>
          <w:tcPr>
            <w:tcW w:w="1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fair value of grants during the period</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300" w:type="dxa"/>
            <w:vAlign w:val="bottom"/>
          </w:tcPr>
          <w:p>
            <w:pPr>
              <w:jc w:val="right"/>
              <w:ind w:right="1090"/>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15.75</w:t>
            </w:r>
          </w:p>
        </w:tc>
        <w:tc>
          <w:tcPr>
            <w:tcW w:w="120" w:type="dxa"/>
            <w:vAlign w:val="bottom"/>
          </w:tcPr>
          <w:p>
            <w:pPr>
              <w:spacing w:after="0"/>
              <w:rPr>
                <w:sz w:val="17"/>
                <w:szCs w:val="17"/>
                <w:color w:val="auto"/>
              </w:rPr>
            </w:pPr>
          </w:p>
        </w:tc>
        <w:tc>
          <w:tcPr>
            <w:tcW w:w="1340" w:type="dxa"/>
            <w:vAlign w:val="bottom"/>
          </w:tcPr>
          <w:p>
            <w:pPr>
              <w:jc w:val="right"/>
              <w:ind w:right="115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recognition period (in years)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Total unrecognized compensation expense at period-end</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144,066</w:t>
            </w:r>
          </w:p>
        </w:tc>
        <w:tc>
          <w:tcPr>
            <w:tcW w:w="120" w:type="dxa"/>
            <w:vAlign w:val="bottom"/>
          </w:tcPr>
          <w:p>
            <w:pPr>
              <w:spacing w:after="0"/>
              <w:rPr>
                <w:sz w:val="20"/>
                <w:szCs w:val="20"/>
                <w:color w:val="auto"/>
              </w:rPr>
            </w:pP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127,540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Activities related to Stock Options, during six months ended September 30, 2020 and 2019 are summarized as follows (in thousands, except weighted-average grant-date fair value and recognition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60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5"/>
              </w:rPr>
              <w:t>Six Months Ended September 30,</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 at the beginning of the period:</w:t>
            </w: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3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(36)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 and forfeited</w:t>
            </w:r>
          </w:p>
        </w:tc>
        <w:tc>
          <w:tcPr>
            <w:tcW w:w="1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3"/>
              </w:rPr>
              <w:t>(28)</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the end of the period:</w:t>
            </w:r>
          </w:p>
        </w:tc>
        <w:tc>
          <w:tcPr>
            <w:tcW w:w="13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fair value of grants during the period</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380" w:type="dxa"/>
            <w:vAlign w:val="bottom"/>
          </w:tcPr>
          <w:p>
            <w:pPr>
              <w:jc w:val="right"/>
              <w:ind w:right="117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40" w:type="dxa"/>
            <w:vAlign w:val="bottom"/>
          </w:tcPr>
          <w:p>
            <w:pPr>
              <w:jc w:val="right"/>
              <w:ind w:right="125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intrinsic value of options exercised during the period</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Weighted-average remaining recognition period (in years)</w:t>
            </w:r>
          </w:p>
        </w:tc>
        <w:tc>
          <w:tcPr>
            <w:tcW w:w="13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w w:val="85"/>
              </w:rPr>
              <w:t>1.54</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unrecognized compensation expense at period-end</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329,430 shares were purchased and issued under the ESPP. As of September 30, 2020, there was a total of $2.9 million of unrecognized compensation, net of estimated forfeitures, which will be amortized on a straight line basis over the remaining weighted-average vesting period of 0.57 years. As of September 30, 2020, a total of 3,252,882 shares were available for issuance under the ESPP.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2017, the Company's board of directors authorized the 2017 Repurchase Plan under which the Company could purchase up to $25.0 million of its common stock. The remaining amount available at September 30, 2020 was approximately $7.1 million. There were no stock repurchases during the three and six months ended September 30, 2020 and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was (0.4)% and (0.6)% for the three months ended September 30, 2020 and 2019, respectively, and (0.5)% for the six months ended September 30, 2020 and 2019. The difference in the effective tax rate and the U.S. federal statutory rate was primarily due to the full valuation allowance the Company continues to maintain against its deferred tax assets. The effective tax rate is calculated by dividing the income tax provision by net loss before income tax expense.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53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(75,197)</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Common shares - basic and diluted</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(0.77)</w:t>
            </w:r>
          </w:p>
        </w:tc>
      </w:tr>
    </w:tbl>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00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29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534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400" w:type="dxa"/>
            <w:vAlign w:val="bottom"/>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11,472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10,334</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 shares to be issued from ESPP</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Total anti-dilutive shares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13,509</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13,509</w:t>
            </w:r>
          </w:p>
        </w:tc>
      </w:tr>
      <w:tr>
        <w:trPr>
          <w:trHeight w:val="20"/>
        </w:trPr>
        <w:tc>
          <w:tcPr>
            <w:tcW w:w="5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57"/>
        </w:trPr>
        <w:tc>
          <w:tcPr>
            <w:tcW w:w="5340" w:type="dxa"/>
            <w:vAlign w:val="bottom"/>
          </w:tcPr>
          <w:p>
            <w:pPr>
              <w:spacing w:after="0"/>
              <w:rPr>
                <w:sz w:val="24"/>
                <w:szCs w:val="24"/>
                <w:color w:val="auto"/>
              </w:rPr>
            </w:pPr>
          </w:p>
        </w:tc>
        <w:tc>
          <w:tcPr>
            <w:tcW w:w="1400" w:type="dxa"/>
            <w:vAlign w:val="bottom"/>
          </w:tcPr>
          <w:p>
            <w:pPr>
              <w:jc w:val="right"/>
              <w:ind w:right="9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3"/>
        </w:trPr>
        <w:tc>
          <w:tcPr>
            <w:tcW w:w="534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geographic information for each period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0"/>
                <w:szCs w:val="20"/>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Revenue by geographic area:</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168,676</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37,516</w:t>
            </w: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by geographic area:</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2020</w:t>
            </w:r>
          </w:p>
        </w:tc>
        <w:tc>
          <w:tcPr>
            <w:tcW w:w="340" w:type="dxa"/>
            <w:vAlign w:val="bottom"/>
          </w:tcPr>
          <w:p>
            <w:pPr>
              <w:spacing w:after="0"/>
              <w:rPr>
                <w:sz w:val="20"/>
                <w:szCs w:val="20"/>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 2020</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87,673</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r>
      <w:tr>
        <w:trPr>
          <w:trHeight w:val="248"/>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our annual report on Form 10-K for the fiscal year ended March 31, 2020 as modified by those in Part II, Item 1A of our Quarterly Report for the three-month period ended June 30, 2020 on Form 10-Q under the heading "Risk Factors."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leading software-as-a-service ("SaaS") provider of voice, video, chat, contact center, and enterprise-class application programming interfaces ("API") solutions powered by one global cloud communications platform. From our proprietary cloud technology platform, organizations across all their locations and employees have access to unified communications, team collaboration, video conferencing, contact center, data and analytics, communication APIs, and other services, enabling them to be more productive and responsive to their customers.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customers range from small businesses to large enterprises and their users are spread across more than 150 countries. In recent years, we have increased our focus on the mid-market and enterprise customer categories.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 portfolio of cloud-based offerings that are subscription based, made available at different rates varying by the specific functionalities, services and number of users. We generate service revenue from communication services subscriptions and platform usage. We generate other revenues from the sales and rentals of office phones and other hardware equipment, and professional services.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flagship service is our 8x8 X Series, a next generation suite of unified communications as a service ("UCaaS") and contact center as a service ("CCaaS") solutions, which consist of service plans of increasing functionality designated X1, X2, etc., through X8. With 8x8 X Series, we provide enterprise-grade voice, unified communications, video meetings, team collaboration, and contact center functionalities from a single platform. We also offer standalone SaaS services for contact center, video meetings, and enterprise communication APIs. Through our July 2019 acquisition of Wavecell Pte. Ltd., an Asia-based global communication platform as a service ("CPaaS") provider of SMS, messaging, voice and video APIs to enterprises, we expanded our API offerings both geographically and functionally. We expect to continue integrating these services into our platform, as we believe in the value of the collective solutions.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over 90% of our customer base has been migrated to the 8x8 X Series platform and we intend to migrate the remaining customer base through the end of the fiscal year. These migrations may require us to incur professional services and related engineering costs. While we may not be able to recover these costs from our customers, we believe that we will realize other benefits including reducing the number of platforms that we are required to support and improved customer retention.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fiscal 2021, our total service revenue grew 19.3% year-over-year to $120.9 million. We continued to show an increase in our average annualized service revenue per customer, which grew to $8,052 in the second quarter of fiscal 2021, compared with $7,957 in the same period of fiscal 2020, as we are selling more to mid-market and enterprise customers. Service revenue from mid-market and enterprise customers represented 46% of total service revenue and grew 29% over the prior year. We increased the number of bundled deals where customers purchase our integrated communications and contact center solutions.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continued business focus is on achieving improved operating efficiencies while delivering revenue growth. We continue to make important investments in our products and technology platform, and focus on key areas of spend in our go-to-market strategy. Additionally, we aim to drive efficiencies in our small business customer acquisition and operations, and are heavily focused on expanding our business upmarket with mid-market and enterprise customers. We believe that effective execution will enable the Company to grow and capture market share, during this phase of industry disruption, in a cost-effective way and support the Company in pursuit of its path to profitability and operating cash flow improvement.</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remainder of fiscal 2021, we plan to continue making investments in activities to acquire more customers, including global expansion and investing in our direct marketing efforts, sales force, e-commerce, and outbound marketing efforts. We also intend to continue investing in our indirect channel programs to acquire more third-party selling agents to help sell our solutions, including investments in our value added resellers ("VARs") and master agent programs. Should these upfront investments not result in additional revenue from new or existing customers, including as result of adverse impacts from the COVID-19 pandemic, and/or these cost reduction and efficiency efforts do not result in meaningful savings, our operating results may be adversely impacted.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full extent of the impact of the COVID-19 pandemic on our business, operations and financial results will depend on numerous evolving factors that we may not be able to accurately predict, including those set forth under the section entitled "Risk Factors" in our annual report on Form 10-K for the fiscal year ended March 31, 2020 as modified by the "Risk Factors" section of our Quarterly Report on Form 10-Q for the three-month period ended June 30, 2020. In an effort to contain COVID-19 or slow its spread, governments around the world have enacted various measures, some of which have been subsequently rescinded, modified or reinstated, including orders to close non-essential businesses, isolate residents to their homes, and practice social distancing. To protect the health and safety of our employees, our workforce continues to spend a significant amount of time working from home with many of our offices around the world remaining closed and travel being curtailed for our employees as well as our customers as the number of COVID-19 cases continues to surge and retreat in various locations globally, and the availability and reliability of testing remains inconsistent. These restrictions have altered the ways we conduct sales activities and market to current and prospective customers and how we conduct our ongoing business operations, resulting in reductions in travel related expenses and, by some measures, has resulted in improved employee productivity in certain areas. Small business and mid-size customers have been more impacted by the COVID-19 pandemic than enterprise customers, which has necessitated greater flexibility and responsiveness to our customers evolving needs. While we anticipate that the global health crisis caused by COVID-19, including any resurgences, and the measures enacted to slow its spread will negatively impact certain business activity across the globe, to date, it has not resulted in as significant a negative impact on our business, as initially anticipated. We continue to proactively and closely monitor the health of our customers and suppliers and other impacts of the pandemic to determine whether risks of loss or other negative impacts upon our business exist. The effects of COVID-19 have also been considered in management's judgments around credit loss impairments.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and CPaaS offerings. We plan to continue to drive our business to increase service revenue through a combination of increased sales and marketing efforts, geographic expansion of our customer base outside the United States, innovation in product and technology, and through strategic partnerships and other business development.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revenue consists primarily of revenues from sales and rentals of IP telephones in conjunction with our cloud telephony service, and revenues from non-recurring professional services, primarily in support of deployment of our solutions and/or platform. Other revenue is dependent on the number of customers who choose to purchase or rent an IP telephone in conjunction with our service instead of using the solution on their cell phone, computer, or other compatible device, and/or choose to engage our services for implementation and deployment of our cloud services.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internally developed software, and other costs such as customer service, and technical support costs. Cost of service revenue also includes other communication origination and termination services provided by third-party carriers and outsourced customer service call center operations.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Other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other revenue consists primarily of direct and indirect costs associated with the purchasing of IP telephones as well as the scheduling, shipping and handling, personnel costs and related expenditures incurred in connection with the professional services associated with the deployment and implementation of our products, and allocated IT and facilities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personnel and related costs, third-party development and related work, equipment costs necessary for us to conduct our product and platform development and engineering efforts, and allocated IT and facilities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expenses consist primarily of personnel and related costs, sales commissions, trade shows, advertising and other marketing, demand generation, channel costs, promotional expenses, and allocated IT and facilities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personnel and related costs, professional services fees, human resources, legal, employee recruiting, general management, and allocated IT and facilities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consists primarily of interest expense related to the convertible notes, offset by income earned on our cash, cash equivalents, and investments, and foreign exchange gains/losses.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consists primarily of state minimum taxes in the United States and foreign income taxes.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or NOLs. We expect to maintain this valuation allowance until it becomes more likely than not that the benefit of our federal and state deferred tax assets will be realized by way of expected future taxable income in the United States.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condensed consolidated financial statements and the notes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Service revenue</w:t>
            </w:r>
          </w:p>
        </w:tc>
        <w:tc>
          <w:tcPr>
            <w:tcW w:w="12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6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940" w:type="dxa"/>
            <w:vAlign w:val="bottom"/>
            <w:gridSpan w:val="3"/>
          </w:tcPr>
          <w:p>
            <w:pPr>
              <w:jc w:val="right"/>
              <w:ind w:right="170"/>
              <w:spacing w:after="0"/>
              <w:rPr>
                <w:sz w:val="20"/>
                <w:szCs w:val="20"/>
                <w:color w:val="auto"/>
              </w:rPr>
            </w:pPr>
            <w:r>
              <w:rPr>
                <w:rFonts w:ascii="Arial" w:cs="Arial" w:eastAsia="Arial" w:hAnsi="Arial"/>
                <w:sz w:val="18"/>
                <w:szCs w:val="18"/>
                <w:color w:val="auto"/>
              </w:rPr>
              <w:t>(dollar amounts in thousands)</w:t>
            </w: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9"/>
              </w:rPr>
              <w:t>120,942</w:t>
            </w:r>
          </w:p>
        </w:tc>
        <w:tc>
          <w:tcPr>
            <w:tcW w:w="12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101,345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19,597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93.7 %</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92.5 %</w:t>
            </w: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235,125</w:t>
            </w:r>
          </w:p>
        </w:tc>
        <w:tc>
          <w:tcPr>
            <w:tcW w:w="126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89"/>
              </w:rPr>
              <w:t>191,184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30"/>
              <w:spacing w:after="0"/>
              <w:rPr>
                <w:sz w:val="20"/>
                <w:szCs w:val="20"/>
                <w:color w:val="auto"/>
              </w:rPr>
            </w:pPr>
            <w:r>
              <w:rPr>
                <w:rFonts w:ascii="Arial" w:cs="Arial" w:eastAsia="Arial" w:hAnsi="Arial"/>
                <w:sz w:val="18"/>
                <w:szCs w:val="18"/>
                <w:color w:val="auto"/>
              </w:rPr>
              <w:t>43,941</w:t>
            </w:r>
          </w:p>
        </w:tc>
        <w:tc>
          <w:tcPr>
            <w:tcW w:w="840" w:type="dxa"/>
            <w:vAlign w:val="bottom"/>
          </w:tcPr>
          <w:p>
            <w:pPr>
              <w:jc w:val="right"/>
              <w:spacing w:after="0"/>
              <w:rPr>
                <w:sz w:val="20"/>
                <w:szCs w:val="20"/>
                <w:color w:val="auto"/>
              </w:rPr>
            </w:pPr>
            <w:r>
              <w:rPr>
                <w:rFonts w:ascii="Arial" w:cs="Arial" w:eastAsia="Arial" w:hAnsi="Arial"/>
                <w:sz w:val="18"/>
                <w:szCs w:val="18"/>
                <w:color w:val="auto"/>
              </w:rPr>
              <w:t>23.0 %</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93.7 %</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92.7 %</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 revenue increased for the three and six months ended September 30, 2020 compared with the same period of the previous fiscal year primarily due to a net increase in our subscriber base, expanded offerings to existing customers, and growth in related usage; service revenue from new customers was primarily driven by sales of standalone and bundled UCaaS and</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CCaaS deals globally to our mid-market and enterprise customers. Increase in service revenue was also attributable to growth in usage revenue generated by our CPaaS products primarily in the APAC region.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total service revenue to grow over time with our expanding platform offering as our business continues to expand globally and across broader customer categories.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0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Other revenue</w:t>
            </w:r>
          </w:p>
        </w:tc>
        <w:tc>
          <w:tcPr>
            <w:tcW w:w="12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jc w:val="right"/>
              <w:ind w:right="270"/>
              <w:spacing w:after="0" w:line="182" w:lineRule="exact"/>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00" w:type="dxa"/>
            <w:vAlign w:val="bottom"/>
            <w:gridSpan w:val="3"/>
          </w:tcPr>
          <w:p>
            <w:pPr>
              <w:jc w:val="right"/>
              <w:ind w:right="190"/>
              <w:spacing w:after="0"/>
              <w:rPr>
                <w:sz w:val="20"/>
                <w:szCs w:val="20"/>
                <w:color w:val="auto"/>
              </w:rPr>
            </w:pPr>
            <w:r>
              <w:rPr>
                <w:rFonts w:ascii="Arial" w:cs="Arial" w:eastAsia="Arial" w:hAnsi="Arial"/>
                <w:sz w:val="18"/>
                <w:szCs w:val="18"/>
                <w:color w:val="auto"/>
              </w:rPr>
              <w:t>(dollar amounts in thousands)</w:t>
            </w:r>
          </w:p>
        </w:tc>
        <w:tc>
          <w:tcPr>
            <w:tcW w:w="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8,191</w:t>
            </w:r>
          </w:p>
        </w:tc>
        <w:tc>
          <w:tcPr>
            <w:tcW w:w="13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8,172</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6.3 %</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7.5 %</w:t>
            </w:r>
          </w:p>
        </w:tc>
        <w:tc>
          <w:tcPr>
            <w:tcW w:w="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4"/>
              </w:rPr>
              <w:t>15,815</w:t>
            </w:r>
          </w:p>
        </w:tc>
        <w:tc>
          <w:tcPr>
            <w:tcW w:w="13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15,008</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70"/>
              <w:spacing w:after="0"/>
              <w:rPr>
                <w:sz w:val="20"/>
                <w:szCs w:val="20"/>
                <w:color w:val="auto"/>
              </w:rPr>
            </w:pPr>
            <w:r>
              <w:rPr>
                <w:rFonts w:ascii="Arial" w:cs="Arial" w:eastAsia="Arial" w:hAnsi="Arial"/>
                <w:sz w:val="18"/>
                <w:szCs w:val="18"/>
                <w:color w:val="auto"/>
              </w:rPr>
              <w:t>807</w:t>
            </w:r>
          </w:p>
        </w:tc>
        <w:tc>
          <w:tcPr>
            <w:tcW w:w="8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remained relatively flat during the three months ended September 30, 2020 compared with the same period in the prior fiscal year the slight increase was in professional services revenue resulting from the overall growth in our business and subscriber base, largely offset by a decrease in product revenue as a result of shift towards hardware rental program and reduced demand for hardware caused by COVID-19 pandemic with increase in work from home policies.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increased during the six months ended September 30, 2020 compared with the same period in the prior fiscal year primarily due to an increase in professional services revenue resulting from the overall growth in our business and subscriber base, partially offset by a decrease in product revenue as a result of shift toward hardware rental program and reduced demand for hardware caused by COVID-19 pandemic with increase in work from home policies.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other revenue to grow over time at a rate lower than our service revenue as we focus on delivering higher margin platform offerings to existing and new customers.</w:t>
      </w:r>
    </w:p>
    <w:p>
      <w:pPr>
        <w:spacing w:after="0" w:line="62" w:lineRule="exact"/>
        <w:rPr>
          <w:sz w:val="20"/>
          <w:szCs w:val="20"/>
          <w:color w:val="auto"/>
        </w:rPr>
      </w:pPr>
    </w:p>
    <w:p>
      <w:pPr>
        <w:ind w:right="1200"/>
        <w:spacing w:after="0" w:line="402" w:lineRule="auto"/>
        <w:rPr>
          <w:sz w:val="20"/>
          <w:szCs w:val="20"/>
          <w:color w:val="auto"/>
        </w:rPr>
      </w:pPr>
      <w:r>
        <w:rPr>
          <w:rFonts w:ascii="Arial" w:cs="Arial" w:eastAsia="Arial" w:hAnsi="Arial"/>
          <w:sz w:val="18"/>
          <w:szCs w:val="18"/>
          <w:color w:val="auto"/>
        </w:rPr>
        <w:t xml:space="preserve">No customer represented greater than 10% of the Company's total revenue for the three and six months ended September 30, 2020 or 2019. </w:t>
      </w:r>
      <w:r>
        <w:rPr>
          <w:rFonts w:ascii="Arial" w:cs="Arial" w:eastAsia="Arial" w:hAnsi="Arial"/>
          <w:sz w:val="18"/>
          <w:szCs w:val="18"/>
          <w:b w:val="1"/>
          <w:bCs w:val="1"/>
          <w:i w:val="1"/>
          <w:iCs w:val="1"/>
          <w:u w:val="single" w:color="auto"/>
          <w:color w:val="auto"/>
        </w:rPr>
        <w:t>Cost of Revenue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Cost of service revenue</w:t>
            </w:r>
          </w:p>
        </w:tc>
        <w:tc>
          <w:tcPr>
            <w:tcW w:w="12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00" w:type="dxa"/>
            <w:vAlign w:val="bottom"/>
            <w:gridSpan w:val="3"/>
          </w:tcPr>
          <w:p>
            <w:pPr>
              <w:jc w:val="right"/>
              <w:ind w:right="170"/>
              <w:spacing w:after="0"/>
              <w:rPr>
                <w:sz w:val="20"/>
                <w:szCs w:val="20"/>
                <w:color w:val="auto"/>
              </w:rPr>
            </w:pPr>
            <w:r>
              <w:rPr>
                <w:rFonts w:ascii="Arial" w:cs="Arial" w:eastAsia="Arial" w:hAnsi="Arial"/>
                <w:sz w:val="18"/>
                <w:szCs w:val="18"/>
                <w:color w:val="auto"/>
              </w:rPr>
              <w:t>(dollar amounts in thousands)</w:t>
            </w: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44,803</w:t>
            </w:r>
          </w:p>
        </w:tc>
        <w:tc>
          <w:tcPr>
            <w:tcW w:w="13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35,813</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8,990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Percentage of service revenue</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37.0 %</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35.3 %</w:t>
            </w: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w w:val="98"/>
              </w:rPr>
              <w:t>85,799</w:t>
            </w:r>
          </w:p>
        </w:tc>
        <w:tc>
          <w:tcPr>
            <w:tcW w:w="132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4"/>
              </w:rPr>
              <w:t>61,113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30"/>
              <w:spacing w:after="0"/>
              <w:rPr>
                <w:sz w:val="20"/>
                <w:szCs w:val="20"/>
                <w:color w:val="auto"/>
              </w:rPr>
            </w:pPr>
            <w:r>
              <w:rPr>
                <w:rFonts w:ascii="Arial" w:cs="Arial" w:eastAsia="Arial" w:hAnsi="Arial"/>
                <w:sz w:val="18"/>
                <w:szCs w:val="18"/>
                <w:color w:val="auto"/>
              </w:rPr>
              <w:t>24,686</w:t>
            </w:r>
          </w:p>
        </w:tc>
        <w:tc>
          <w:tcPr>
            <w:tcW w:w="840" w:type="dxa"/>
            <w:vAlign w:val="bottom"/>
          </w:tcPr>
          <w:p>
            <w:pPr>
              <w:jc w:val="right"/>
              <w:spacing w:after="0"/>
              <w:rPr>
                <w:sz w:val="20"/>
                <w:szCs w:val="20"/>
                <w:color w:val="auto"/>
              </w:rPr>
            </w:pPr>
            <w:r>
              <w:rPr>
                <w:rFonts w:ascii="Arial" w:cs="Arial" w:eastAsia="Arial" w:hAnsi="Arial"/>
                <w:sz w:val="18"/>
                <w:szCs w:val="18"/>
                <w:color w:val="auto"/>
              </w:rPr>
              <w:t>40.4 %</w:t>
            </w: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service revenue</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cost of service revenue for the three months ended September 30, 2020 from the same period in the prior fiscal year was primarily attributable to a $7.2 million increase in communication infrastructure costs incurred to deliver our services primarily due to growth in usage across our platform including those in connection with CPaaS, a $1.9 million increase in amortization of capitalized software, and a $1.2 million increase in stock-based compensation expense. These increases were partially offset by a $0.7 million decrease in employee and consulting related expenditures and a $0.6 million decrease in depreciation and amortization of intangible assets.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service revenue for the six months ended September 30, 2020 increased over the same prior fiscal year period primarily due to $20.2 million increase in communication infrastructure costs incurred to deliver our services primarily due to growth in usage across our platform including those in connection with CPaaS, a $3.9 million increase in amortization of capitalized software, and a $2.0 million increase in stock-based compensation expense. These increases were partially offset by a decrease of $1.0 million in employee and consulting related expenditures and a decrease of $0.6 million in depreciation and amortization of intangible assets.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cost of service revenue will increase in absolute dollars in future periods as revenue continues to grow.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Cost of other revenue</w:t>
            </w:r>
          </w:p>
        </w:tc>
        <w:tc>
          <w:tcPr>
            <w:tcW w:w="12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00" w:type="dxa"/>
            <w:vAlign w:val="bottom"/>
            <w:gridSpan w:val="3"/>
          </w:tcPr>
          <w:p>
            <w:pPr>
              <w:jc w:val="right"/>
              <w:ind w:right="190"/>
              <w:spacing w:after="0"/>
              <w:rPr>
                <w:sz w:val="20"/>
                <w:szCs w:val="20"/>
                <w:color w:val="auto"/>
              </w:rPr>
            </w:pPr>
            <w:r>
              <w:rPr>
                <w:rFonts w:ascii="Arial" w:cs="Arial" w:eastAsia="Arial" w:hAnsi="Arial"/>
                <w:sz w:val="18"/>
                <w:szCs w:val="18"/>
                <w:color w:val="auto"/>
              </w:rPr>
              <w:t>(dollar amounts in thousands)</w:t>
            </w: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4"/>
              </w:rPr>
              <w:t>11,693</w:t>
            </w:r>
          </w:p>
        </w:tc>
        <w:tc>
          <w:tcPr>
            <w:tcW w:w="13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8"/>
              </w:rPr>
              <w:t>13,884</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(2,191)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Percentage of other revenue</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142.8 %</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169.9 %</w:t>
            </w: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4"/>
              </w:rPr>
              <w:t>22,830</w:t>
            </w:r>
          </w:p>
        </w:tc>
        <w:tc>
          <w:tcPr>
            <w:tcW w:w="13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26,275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(3,445)</w:t>
            </w: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product revenue</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144.4 %</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175.1 %</w:t>
            </w: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other revenue for the three and six months ended September 30, 2020 decreased compared to the same periods in the prior fiscal year primarily due to a decrease in cost of products as a result of decrease in hardware shipment volume, improved pricing, and increase in our hardware rental program, which has better margins than hardware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Research and development</w:t>
            </w:r>
          </w:p>
        </w:tc>
        <w:tc>
          <w:tcPr>
            <w:tcW w:w="12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00" w:type="dxa"/>
            <w:vAlign w:val="bottom"/>
            <w:gridSpan w:val="3"/>
          </w:tcPr>
          <w:p>
            <w:pPr>
              <w:jc w:val="right"/>
              <w:ind w:right="170"/>
              <w:spacing w:after="0"/>
              <w:rPr>
                <w:sz w:val="20"/>
                <w:szCs w:val="20"/>
                <w:color w:val="auto"/>
              </w:rPr>
            </w:pPr>
            <w:r>
              <w:rPr>
                <w:rFonts w:ascii="Arial" w:cs="Arial" w:eastAsia="Arial" w:hAnsi="Arial"/>
                <w:sz w:val="18"/>
                <w:szCs w:val="18"/>
                <w:color w:val="auto"/>
              </w:rPr>
              <w:t>(dollar amounts in thousands)</w:t>
            </w: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21,567</w:t>
            </w:r>
          </w:p>
        </w:tc>
        <w:tc>
          <w:tcPr>
            <w:tcW w:w="13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19,434</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2,133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16.7 %</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17.7 %</w:t>
            </w: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w w:val="98"/>
              </w:rPr>
              <w:t>43,061</w:t>
            </w:r>
          </w:p>
        </w:tc>
        <w:tc>
          <w:tcPr>
            <w:tcW w:w="132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4"/>
              </w:rPr>
              <w:t>37,765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5,296</w:t>
            </w:r>
          </w:p>
        </w:tc>
        <w:tc>
          <w:tcPr>
            <w:tcW w:w="84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6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for the three months ended September 30, 2020 increased compared to the same prior fiscal year period primarily due to a $4.0 million increase in stock-based compensation expense, and a $0.3 million increase in public cloud expenses. These increases were partially offset by a $1.5 million higher allocation to capitalized software costs, and a $0.5 million decrease in travel related costs.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for the six months ended September 30, 2020 increased compared to the same prior fiscal year period primarily due to a $6.7 million increase in stock-based compensation expense, a $0.8 million increase in public cloud expenses, and a $0.5 million increase in employee and consulting related expenditures. These increases were partially offset by a $1.9 million higher allocation of capitalized software costs from research and development expenses during the period and a decrease of $0.9 million in travel related costs.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continue to invest in research and development to support our efforts to expand the capabilities and scope of our platform and to enhance the user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Sales and marketing</w:t>
            </w:r>
          </w:p>
        </w:tc>
        <w:tc>
          <w:tcPr>
            <w:tcW w:w="12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6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80" w:type="dxa"/>
            <w:vAlign w:val="bottom"/>
          </w:tcPr>
          <w:p>
            <w:pPr>
              <w:jc w:val="right"/>
              <w:ind w:right="270"/>
              <w:spacing w:after="0" w:line="182" w:lineRule="exact"/>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940" w:type="dxa"/>
            <w:vAlign w:val="bottom"/>
            <w:gridSpan w:val="3"/>
          </w:tcPr>
          <w:p>
            <w:pPr>
              <w:jc w:val="right"/>
              <w:ind w:right="170"/>
              <w:spacing w:after="0"/>
              <w:rPr>
                <w:sz w:val="20"/>
                <w:szCs w:val="20"/>
                <w:color w:val="auto"/>
              </w:rPr>
            </w:pPr>
            <w:r>
              <w:rPr>
                <w:rFonts w:ascii="Arial" w:cs="Arial" w:eastAsia="Arial" w:hAnsi="Arial"/>
                <w:sz w:val="18"/>
                <w:szCs w:val="18"/>
                <w:color w:val="auto"/>
              </w:rPr>
              <w:t>(dollar amounts in thousands)</w:t>
            </w: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61,399</w:t>
            </w:r>
          </w:p>
        </w:tc>
        <w:tc>
          <w:tcPr>
            <w:tcW w:w="12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57,895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3,504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47.5 %</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52.9 %</w:t>
            </w: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121,549</w:t>
            </w: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111,494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70"/>
              <w:spacing w:after="0"/>
              <w:rPr>
                <w:sz w:val="20"/>
                <w:szCs w:val="20"/>
                <w:color w:val="auto"/>
              </w:rPr>
            </w:pPr>
            <w:r>
              <w:rPr>
                <w:rFonts w:ascii="Arial" w:cs="Arial" w:eastAsia="Arial" w:hAnsi="Arial"/>
                <w:sz w:val="18"/>
                <w:szCs w:val="18"/>
                <w:color w:val="auto"/>
              </w:rPr>
              <w:t>10,055</w:t>
            </w:r>
          </w:p>
        </w:tc>
        <w:tc>
          <w:tcPr>
            <w:tcW w:w="80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Sales and marketing expenses for the three months ended September 30, 2020 increased over the same prior fiscal year period primarily due to a $2.8 million increase in channel commissions, a $2.1 million increase in amortization of deferred sales commission costs, a $1.7 million increase in stock-based compensation expense, a $0.6 million increase in employee and consulting related expenditures, and a $0.6 million increase in marketing software and application related expenditures. These increases were partially offset by a net decrease of $2.3 million in marketing program and public cloud expenses as we gained efficiencies in lead generation and brand awareness and a $1.9 million decrease in travel related costs.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Sales and marketing expenses for the six months ended September 30, 2020 increased over the same prior fiscal year period primarily due to a $5.4 million increase in employee and consulting related expenditures, a $4.3 million increase in channel commissions, a $4.0 million increase in amortization of deferred sales commission costs, a $3.5 million increase in stock-based compensation expense, and a $2.2 million increase in marketing software and application costs. These increases were partially offset by a net decrease of $7.2 million in marketing program and public cloud expenses as we gained efficiencies in lead generation and brand awareness, and a $2.7 million decrease in travel related costs.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plan to continue investing in sales and marketing to attract and retain customers on our platform and to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0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General and administrative</w:t>
            </w:r>
          </w:p>
        </w:tc>
        <w:tc>
          <w:tcPr>
            <w:tcW w:w="12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900" w:type="dxa"/>
            <w:vAlign w:val="bottom"/>
            <w:gridSpan w:val="3"/>
          </w:tcPr>
          <w:p>
            <w:pPr>
              <w:jc w:val="right"/>
              <w:ind w:right="170"/>
              <w:spacing w:after="0"/>
              <w:rPr>
                <w:sz w:val="20"/>
                <w:szCs w:val="20"/>
                <w:color w:val="auto"/>
              </w:rPr>
            </w:pPr>
            <w:r>
              <w:rPr>
                <w:rFonts w:ascii="Arial" w:cs="Arial" w:eastAsia="Arial" w:hAnsi="Arial"/>
                <w:sz w:val="18"/>
                <w:szCs w:val="18"/>
                <w:color w:val="auto"/>
              </w:rPr>
              <w:t>(dollar amounts in thousands)</w:t>
            </w: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22,769</w:t>
            </w:r>
          </w:p>
        </w:tc>
        <w:tc>
          <w:tcPr>
            <w:tcW w:w="13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20,435</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2,334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17.6 %</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18.7 %</w:t>
            </w: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w w:val="98"/>
              </w:rPr>
              <w:t>48,559</w:t>
            </w:r>
          </w:p>
        </w:tc>
        <w:tc>
          <w:tcPr>
            <w:tcW w:w="132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4"/>
              </w:rPr>
              <w:t>40,042</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8,517</w:t>
            </w:r>
          </w:p>
        </w:tc>
        <w:tc>
          <w:tcPr>
            <w:tcW w:w="840" w:type="dxa"/>
            <w:vAlign w:val="bottom"/>
          </w:tcPr>
          <w:p>
            <w:pPr>
              <w:jc w:val="right"/>
              <w:spacing w:after="0"/>
              <w:rPr>
                <w:sz w:val="20"/>
                <w:szCs w:val="20"/>
                <w:color w:val="auto"/>
              </w:rPr>
            </w:pPr>
            <w:r>
              <w:rPr>
                <w:rFonts w:ascii="Arial" w:cs="Arial" w:eastAsia="Arial" w:hAnsi="Arial"/>
                <w:sz w:val="18"/>
                <w:szCs w:val="18"/>
                <w:color w:val="auto"/>
              </w:rPr>
              <w:t>21.3 %</w:t>
            </w: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revenue</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6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for the three months ended September 30, 2020 increased as compared to the same prior fiscal year period due to a $0.7 million higher allowance for credit losses recognized partially in response to external market factors and uncertainties in connection with the COVID-19 pandemic, a $0.7 million increase in employee and consulting related expenditures, a $0.6 million increase in stock-based compensation expense, and a $0.7 million increase in facilities and other allocated expenses; these increases were partially offset by a $0.4 million decrease in acquisition and integration costs.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for the six months ended September 30, 2020 increased over the same prior fiscal year period primarily due to a $4.4 million increase in stock-based compensation expense, a $2.2 million increase in tax related expense, a $2.1 million higher allowance for credit losses recognized, a $1.6 million increase in employee and consulting related expenditures, and a $1.2 million increase in facilities and other allocated expenses. These increases were partially offset by a $1.5 million decrease in acquisition and integration costs and a $1.4 million decrease in contract termination cost.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improving our cost structure and achieve operational efficiencies, and therefore also expect that general and administrative expenses as a percentage of total revenue will decline over time.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Other expense, net</w:t>
            </w:r>
          </w:p>
        </w:tc>
        <w:tc>
          <w:tcPr>
            <w:tcW w:w="12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00" w:type="dxa"/>
            <w:vAlign w:val="bottom"/>
            <w:gridSpan w:val="3"/>
          </w:tcPr>
          <w:p>
            <w:pPr>
              <w:jc w:val="right"/>
              <w:ind w:right="190"/>
              <w:spacing w:after="0"/>
              <w:rPr>
                <w:sz w:val="20"/>
                <w:szCs w:val="20"/>
                <w:color w:val="auto"/>
              </w:rPr>
            </w:pPr>
            <w:r>
              <w:rPr>
                <w:rFonts w:ascii="Arial" w:cs="Arial" w:eastAsia="Arial" w:hAnsi="Arial"/>
                <w:sz w:val="18"/>
                <w:szCs w:val="18"/>
                <w:color w:val="auto"/>
              </w:rPr>
              <w:t>(dollar amounts in thousands)</w:t>
            </w: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8"/>
              </w:rPr>
              <w:t>(5,178)</w:t>
            </w:r>
          </w:p>
        </w:tc>
        <w:tc>
          <w:tcPr>
            <w:tcW w:w="13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(2,732)</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(2,446)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89.5 %</w:t>
            </w: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98"/>
              </w:rPr>
              <w:t>(9,103)</w:t>
            </w:r>
          </w:p>
        </w:tc>
        <w:tc>
          <w:tcPr>
            <w:tcW w:w="13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(4,296)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(4,807)</w:t>
            </w:r>
          </w:p>
        </w:tc>
        <w:tc>
          <w:tcPr>
            <w:tcW w:w="880" w:type="dxa"/>
            <w:vAlign w:val="bottom"/>
          </w:tcPr>
          <w:p>
            <w:pPr>
              <w:jc w:val="right"/>
              <w:spacing w:after="0"/>
              <w:rPr>
                <w:sz w:val="20"/>
                <w:szCs w:val="20"/>
                <w:color w:val="auto"/>
              </w:rPr>
            </w:pPr>
            <w:r>
              <w:rPr>
                <w:rFonts w:ascii="Arial" w:cs="Arial" w:eastAsia="Arial" w:hAnsi="Arial"/>
                <w:sz w:val="18"/>
                <w:szCs w:val="18"/>
                <w:color w:val="auto"/>
              </w:rPr>
              <w:t>111.9 %</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net of other income increased for the three months ended September 30, 2020 over the same prior fiscal year period primarily due to a $1.1 million of lower interest income and a $1.0 million increase related to contractual interest expense, amortization of debt discount, and amortization of issuance costs associated with additional convertible notes issued in November 2019. The remaining increase is attributable to fluctuations in foreign exchange rates.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net of other income for the six months ended September 30, 2020 increased over the same prior fiscal year period primarily due to a $2.6 million of lower interest income and a $2.1 million increase related to contractual interest expense, amortization of debt discount, and amortization of issuance costs associated with additional convertible notes issued in November 2019. The remaining increase is attributable to fluctuations in foreign exchange rates.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recognition of interest expense and amortization of debt discount and issuance costs in connection with our convertible senior notes, we expect the net of other income and expense to continue to be in a net expense position in future periods.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66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40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Provision for income taxes</w:t>
            </w:r>
          </w:p>
        </w:tc>
        <w:tc>
          <w:tcPr>
            <w:tcW w:w="132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15"/>
                <w:szCs w:val="15"/>
                <w:color w:val="auto"/>
              </w:rPr>
            </w:pPr>
          </w:p>
        </w:tc>
        <w:tc>
          <w:tcPr>
            <w:tcW w:w="14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780" w:type="dxa"/>
            <w:vAlign w:val="bottom"/>
            <w:gridSpan w:val="3"/>
          </w:tcPr>
          <w:p>
            <w:pPr>
              <w:jc w:val="right"/>
              <w:ind w:right="170"/>
              <w:spacing w:after="0"/>
              <w:rPr>
                <w:sz w:val="20"/>
                <w:szCs w:val="20"/>
                <w:color w:val="auto"/>
              </w:rPr>
            </w:pPr>
            <w:r>
              <w:rPr>
                <w:rFonts w:ascii="Arial" w:cs="Arial" w:eastAsia="Arial" w:hAnsi="Arial"/>
                <w:sz w:val="18"/>
                <w:szCs w:val="18"/>
                <w:color w:val="auto"/>
              </w:rPr>
              <w:t>(dollar amounts in thousands)</w:t>
            </w:r>
          </w:p>
        </w:tc>
        <w:tc>
          <w:tcPr>
            <w:tcW w:w="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137</w:t>
            </w:r>
          </w:p>
        </w:tc>
        <w:tc>
          <w:tcPr>
            <w:tcW w:w="140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256</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9"/>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5"/>
              </w:rPr>
              <w:t>Percentage of loss before provision for income taxes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80"/>
              <w:spacing w:after="0"/>
              <w:rPr>
                <w:sz w:val="20"/>
                <w:szCs w:val="20"/>
                <w:color w:val="auto"/>
              </w:rPr>
            </w:pPr>
            <w:r>
              <w:rPr>
                <w:rFonts w:ascii="Arial" w:cs="Arial" w:eastAsia="Arial" w:hAnsi="Arial"/>
                <w:sz w:val="18"/>
                <w:szCs w:val="18"/>
                <w:color w:val="auto"/>
              </w:rPr>
              <w:t>365</w:t>
            </w:r>
          </w:p>
        </w:tc>
        <w:tc>
          <w:tcPr>
            <w:tcW w:w="140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404</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50"/>
              <w:spacing w:after="0"/>
              <w:rPr>
                <w:sz w:val="20"/>
                <w:szCs w:val="20"/>
                <w:color w:val="auto"/>
              </w:rPr>
            </w:pPr>
            <w:r>
              <w:rPr>
                <w:rFonts w:ascii="Arial" w:cs="Arial" w:eastAsia="Arial" w:hAnsi="Arial"/>
                <w:sz w:val="18"/>
                <w:szCs w:val="18"/>
                <w:color w:val="auto"/>
              </w:rPr>
              <w:t>(39)</w:t>
            </w: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Percentage of loss before provision for income taxes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2020, we had $159.4 million of cash, cash equivalents, and investments. In addition, as of September 30, 2020, we had restricted cash including $8.6 million in support of letter of credits securing leases for office facilities and $6.9 million held in escrow for our acquisition of Wavecell in July 2019, pursuant to the terms of the acquisition agreement. During the three months ended September 30, 2020, $3.5 million of restricted cash was released, and the remaining amount of $6.9 million held in escrow for our acquisition of Wavecell is due to be released in January 2021. By comparison, at March 31, 2020, we had $186.9 million of cash, cash equivalents, and investments as well as $19.0 million restricted cash.</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27, 2020, the Coronavirus Aid, Relief, and Economic Security Act (the "CARES Act") was passed into law, which amended portions of relevant tax laws and provided relief to certain qualifying entities. In connection with the CARES Act, the Company elected to defer certain employer payroll taxes, which is expected to reduce cash usage by over $4 million throughout fiscal 2021. The amounts deferred will be remitted to tax authorities during the third quarter of fiscal 2022 and fiscal 2023, respectively, when they become due. Other jurisdictions around the world have also provided similar tax relief, which the Company has elected to receive, where applicable; these benefits have a lesser impact to our expected cash flows during fiscal 2021.</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2020, the Company offered its employees a limited opportunity to receive a portion of their cash salary in shares of the Company's common stock. Based on employee elected participation, we expect lower cash usage from payroll compensation of over $4 million during fiscal 2021. Currently, the Company does not expect to offer this program beyond fiscal 2021. In addition, for fiscal 2021, the Company's executives received performance share units in place of a cash bonus plan. The timing of bonus payments for all other eligible employees was changed to semi-annually (in the third and first quarter of each fiscal year) from quarterly as in prior fiscal years.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cash, cash equivalents, and investment balances, and our anticipated cash flows from operations will be sufficient to meet our working capital and expenditure requirements for the next 12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Period-over-Period Changes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for the six months ended September 30, 2020 was $13.1 million, compared with $44.5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Cash used in operating activities was affected by:</w:t>
      </w:r>
    </w:p>
    <w:p>
      <w:pPr>
        <w:spacing w:after="0" w:line="1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net income or loss;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depreciation and amortization;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amortization associated with deferred sales commissions, debt discount and issuance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 associated with stock options and stock-based awards;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working capital accounts, particularly in the timing of collections from receivable and payments of obligations, such as commissions.</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September 30, 2020, net cash used in operating activities was primarily related to the net loss of $80.3 million, net cash outflow from sales commissions of $14.0 million, which were partially offset by non-cash charges such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stock-based compensation expense of $48.1 million, depreciation and amortization of $22.6 million, amortization of debt discount of $8.3 million, and operating lease expenses of $7.6 million.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was $11.5 million in the six months ended September 30, 2020, compared with $59.9 million in the six months ended September 30, 2019. The cash used in investing activities during the six months ended September 30, 2020 was related to capitalized internal software development costs of $16.2 million, purchases of $4.2 million of property and equipment, and $3.5 million release of cash held in escrow associated with an acquisition during the second quarter of fiscal 2020, partially offset by $12.3 million of proceeds from maturities and sales of investments, net of purchase.</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cash provided by financing activities was $4.6 million in the six months ended September 30, 2020, compared with $0.5 million in the six months ended September 30, 2019. Cash provided by financing activities for the six months ended September 20, 2020 was primarily related to the proceeds from issuance of common stock under the ESPP.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changes described within Part I, Item 1, Note 2, "Summary of Significant Accounting Policies", due to the adoption of ASU 2016-03, there have been no significant changes during the three months ended September 30, 2020 to our critical accounting policies and estimates previously disclosed in our Form 10-K for the fiscal year ended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See Item 1 of Part I, "Notes to Unaudited Condensed Consolidated Financial Statements - Note 2 - Summary of Significant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See Item 1 of Part I, "Notes to Unaudited Condensed Consolidated Financial Statements - Note 2 - Summary of Significant Accounting Policies."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 Risk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had cash, cash equivalents, restricted cash, and investments totaling $175.0 million as of September 30, 2020. Cash equivalents and investments were invested primarily in money market funds, U.S.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issued $362.5 million aggregate principal amount of convertible senior notes of which the estimated fair value as of September 30, 2020 was $336.7 million. The fair value of the convertible senior notes is subject to interest rate risk, market risk and other factors due to the conversion feature.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Gains or losses from the revaluation of certain cash balances, accounts receivable balances, and intercompany balances that are denominated in these currencies impact our net income (loss). A hypothetical decrease in all foreign currencies against the US dollar of 10% would not result in a material foreign currency loss on foreign-denominated balances at September 30, 2020. As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our foreign operations expand, our results may be more impacted by fluctuations in the exchange rates of the currencies in which we do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but we may in the future, enter into financial instruments to hedge our foreign currency exchange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September 30,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fiscal year 2021,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Note 8, “Legal Proceedings” of Notes to Unaudited Condensed Consolidated Financial Statements under ITEM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PART I is incorporated by reference in response to this 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March 31, 2020 and on our quarterly report on Form 10-Q for the three-month period ended June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360" w:type="dxa"/>
            <w:vAlign w:val="bottom"/>
            <w:gridSpan w:val="8"/>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36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60" w:type="dxa"/>
            <w:vAlign w:val="bottom"/>
            <w:tcBorders>
              <w:top w:val="single" w:sz="8" w:color="auto"/>
            </w:tcBorders>
            <w:gridSpan w:val="11"/>
          </w:tcPr>
          <w:p>
            <w:pPr>
              <w:spacing w:after="0" w:line="169" w:lineRule="exact"/>
              <w:rPr>
                <w:sz w:val="20"/>
                <w:szCs w:val="20"/>
                <w:color w:val="auto"/>
              </w:rPr>
            </w:pPr>
            <w:r>
              <w:rPr>
                <w:rFonts w:ascii="Arial" w:cs="Arial" w:eastAsia="Arial" w:hAnsi="Arial"/>
                <w:sz w:val="18"/>
                <w:szCs w:val="18"/>
                <w:color w:val="auto"/>
                <w:w w:val="94"/>
              </w:rPr>
              <w:t>Restated Certificate of Incorporation of Registrant, dated August 22, 2012 (incorporated by reference to Exhibit 3.1 to the Annual</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Report on Form 10-K filed May 27, 2013).</w:t>
            </w:r>
          </w:p>
        </w:tc>
        <w:tc>
          <w:tcPr>
            <w:tcW w:w="0" w:type="dxa"/>
            <w:vAlign w:val="bottom"/>
          </w:tcPr>
          <w:p>
            <w:pPr>
              <w:spacing w:after="0"/>
              <w:rPr>
                <w:sz w:val="1"/>
                <w:szCs w:val="1"/>
                <w:color w:val="auto"/>
              </w:rPr>
            </w:pPr>
          </w:p>
        </w:tc>
      </w:tr>
      <w:tr>
        <w:trPr>
          <w:trHeight w:val="176"/>
        </w:trPr>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11"/>
          </w:tcPr>
          <w:p>
            <w:pPr>
              <w:spacing w:after="0" w:line="176" w:lineRule="exact"/>
              <w:rPr>
                <w:sz w:val="20"/>
                <w:szCs w:val="20"/>
                <w:color w:val="auto"/>
              </w:rPr>
            </w:pPr>
            <w:r>
              <w:rPr>
                <w:rFonts w:ascii="Arial" w:cs="Arial" w:eastAsia="Arial" w:hAnsi="Arial"/>
                <w:sz w:val="18"/>
                <w:szCs w:val="18"/>
                <w:color w:val="auto"/>
                <w:w w:val="93"/>
              </w:rPr>
              <w:t>Amended and Restated By-Laws of 8x8, Inc. (incorporated by reference to Exhibit 3.2 to the Current Report on Form 8-K filed July</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28, 2015).</w:t>
            </w:r>
          </w:p>
        </w:tc>
        <w:tc>
          <w:tcPr>
            <w:tcW w:w="29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11"/>
          </w:tcPr>
          <w:p>
            <w:pPr>
              <w:spacing w:after="0" w:line="176" w:lineRule="exact"/>
              <w:rPr>
                <w:sz w:val="20"/>
                <w:szCs w:val="20"/>
                <w:color w:val="auto"/>
              </w:rPr>
            </w:pPr>
            <w:r>
              <w:rPr>
                <w:rFonts w:ascii="Arial" w:cs="Arial" w:eastAsia="Arial" w:hAnsi="Arial"/>
                <w:sz w:val="18"/>
                <w:szCs w:val="18"/>
                <w:color w:val="auto"/>
                <w:w w:val="92"/>
              </w:rPr>
              <w:t>Indenture, dated as of February 19, 2019, between 8x8, Inc. and Wilmington Trust, National Association, as trustee (including form</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of Note) (incorporated by reference to Exhibit 4.1 to the Current Report on Form 8-K filed February 19, 2019).</w:t>
            </w:r>
          </w:p>
        </w:tc>
        <w:tc>
          <w:tcPr>
            <w:tcW w:w="0" w:type="dxa"/>
            <w:vAlign w:val="bottom"/>
          </w:tcPr>
          <w:p>
            <w:pPr>
              <w:spacing w:after="0"/>
              <w:rPr>
                <w:sz w:val="1"/>
                <w:szCs w:val="1"/>
                <w:color w:val="auto"/>
              </w:rPr>
            </w:pPr>
          </w:p>
        </w:tc>
      </w:tr>
      <w:tr>
        <w:trPr>
          <w:trHeight w:val="190"/>
        </w:trPr>
        <w:tc>
          <w:tcPr>
            <w:tcW w:w="146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60" w:type="dxa"/>
            <w:vAlign w:val="bottom"/>
            <w:gridSpan w:val="11"/>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u w:val="single" w:color="auto"/>
                  <w:color w:val="0000FF"/>
                </w:rPr>
                <w:t>8x8, Inc. Amended and Restated 2012 Equity Incentive Plan, effective July</w:t>
              </w:r>
              <w:r>
                <w:rPr>
                  <w:rFonts w:ascii="Arial" w:cs="Arial" w:eastAsia="Arial" w:hAnsi="Arial"/>
                  <w:sz w:val="18"/>
                  <w:szCs w:val="18"/>
                  <w:color w:val="0000FF"/>
                </w:rPr>
                <w:t xml:space="preserve"> 27, </w:t>
              </w:r>
              <w:r>
                <w:rPr>
                  <w:rFonts w:ascii="Arial" w:cs="Arial" w:eastAsia="Arial" w:hAnsi="Arial"/>
                  <w:sz w:val="18"/>
                  <w:szCs w:val="18"/>
                  <w:u w:val="single" w:color="auto"/>
                  <w:color w:val="0000FF"/>
                </w:rPr>
                <w:t>2020.</w:t>
              </w:r>
            </w:hyperlink>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gridSpan w:val="11"/>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8x8, Inc. Amended and Restated 2017 New Employee Inducement Incentive Plan, effective July 27, 2020.*+</w:t>
              </w:r>
            </w:hyperlink>
          </w:p>
        </w:tc>
        <w:tc>
          <w:tcPr>
            <w:tcW w:w="0" w:type="dxa"/>
            <w:vAlign w:val="bottom"/>
          </w:tcPr>
          <w:p>
            <w:pPr>
              <w:spacing w:after="0"/>
              <w:rPr>
                <w:sz w:val="1"/>
                <w:szCs w:val="1"/>
                <w:color w:val="auto"/>
              </w:rPr>
            </w:pPr>
          </w:p>
        </w:tc>
      </w:tr>
      <w:tr>
        <w:trPr>
          <w:trHeight w:val="229"/>
        </w:trPr>
        <w:tc>
          <w:tcPr>
            <w:tcW w:w="1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gridSpan w:val="11"/>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8x8, Inc. Amended and Restated 2013 New Employee Inducement Incentive Plan, effective July 27, 2020.*+</w:t>
              </w:r>
            </w:hyperlink>
          </w:p>
        </w:tc>
        <w:tc>
          <w:tcPr>
            <w:tcW w:w="0" w:type="dxa"/>
            <w:vAlign w:val="bottom"/>
          </w:tcPr>
          <w:p>
            <w:pPr>
              <w:spacing w:after="0"/>
              <w:rPr>
                <w:sz w:val="1"/>
                <w:szCs w:val="1"/>
                <w:color w:val="auto"/>
              </w:rPr>
            </w:pPr>
          </w:p>
        </w:tc>
      </w:tr>
      <w:tr>
        <w:trPr>
          <w:trHeight w:val="230"/>
        </w:trPr>
        <w:tc>
          <w:tcPr>
            <w:tcW w:w="14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gridSpan w:val="11"/>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8x8, Inc. Amended and Restated 1996 Employee Stock Purchase Plan, effective August 10, 2020.*+</w:t>
              </w:r>
            </w:hyperlink>
          </w:p>
        </w:tc>
        <w:tc>
          <w:tcPr>
            <w:tcW w:w="0" w:type="dxa"/>
            <w:vAlign w:val="bottom"/>
          </w:tcPr>
          <w:p>
            <w:pPr>
              <w:spacing w:after="0"/>
              <w:rPr>
                <w:sz w:val="1"/>
                <w:szCs w:val="1"/>
                <w:color w:val="auto"/>
              </w:rPr>
            </w:pPr>
          </w:p>
        </w:tc>
      </w:tr>
      <w:tr>
        <w:trPr>
          <w:trHeight w:val="190"/>
        </w:trPr>
        <w:tc>
          <w:tcPr>
            <w:tcW w:w="1460" w:type="dxa"/>
            <w:vAlign w:val="bottom"/>
          </w:tcPr>
          <w:p>
            <w:pPr>
              <w:jc w:val="center"/>
              <w:spacing w:after="0" w:line="190"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60" w:type="dxa"/>
            <w:vAlign w:val="bottom"/>
            <w:gridSpan w:val="11"/>
          </w:tcPr>
          <w:p>
            <w:pPr>
              <w:spacing w:after="0" w:line="190" w:lineRule="exact"/>
              <w:rPr>
                <w:rFonts w:ascii="Arial" w:cs="Arial" w:eastAsia="Arial" w:hAnsi="Arial"/>
                <w:sz w:val="18"/>
                <w:szCs w:val="18"/>
                <w:color w:val="0000FF"/>
                <w:w w:val="96"/>
              </w:rPr>
            </w:pPr>
            <w:hyperlink w:anchor="page104">
              <w:r>
                <w:rPr>
                  <w:rFonts w:ascii="Arial" w:cs="Arial" w:eastAsia="Arial" w:hAnsi="Arial"/>
                  <w:sz w:val="18"/>
                  <w:szCs w:val="18"/>
                  <w:color w:val="0000FF"/>
                  <w:w w:val="96"/>
                </w:rPr>
                <w:t>Form of Notice of Grant of Restricted Stock Unit Award and Agreement under the Amended &amp; Restated 2012 Equity Incentive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4">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gridSpan w:val="11"/>
          </w:tcPr>
          <w:p>
            <w:pPr>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Certification of Chief Executive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124">
              <w:r>
                <w:rPr>
                  <w:rFonts w:ascii="Arial" w:cs="Arial" w:eastAsia="Arial" w:hAnsi="Arial"/>
                  <w:sz w:val="18"/>
                  <w:szCs w:val="18"/>
                  <w:color w:val="0000FF"/>
                  <w:w w:val="90"/>
                </w:rPr>
                <w:t>pursuant to Section 302 of the Sarbanes-Oxley Act of 2002.</w:t>
              </w:r>
            </w:hyperlink>
          </w:p>
        </w:tc>
        <w:tc>
          <w:tcPr>
            <w:tcW w:w="53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gridSpan w:val="11"/>
          </w:tcPr>
          <w:p>
            <w:pPr>
              <w:spacing w:after="0"/>
              <w:rPr>
                <w:rFonts w:ascii="Arial" w:cs="Arial" w:eastAsia="Arial" w:hAnsi="Arial"/>
                <w:sz w:val="18"/>
                <w:szCs w:val="18"/>
                <w:color w:val="0000FF"/>
                <w:w w:val="92"/>
              </w:rPr>
            </w:pPr>
            <w:hyperlink w:anchor="page125">
              <w:r>
                <w:rPr>
                  <w:rFonts w:ascii="Arial" w:cs="Arial" w:eastAsia="Arial" w:hAnsi="Arial"/>
                  <w:sz w:val="18"/>
                  <w:szCs w:val="18"/>
                  <w:color w:val="0000FF"/>
                  <w:w w:val="92"/>
                </w:rPr>
                <w:t>Certification of Chief Financial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125">
              <w:r>
                <w:rPr>
                  <w:rFonts w:ascii="Arial" w:cs="Arial" w:eastAsia="Arial" w:hAnsi="Arial"/>
                  <w:sz w:val="18"/>
                  <w:szCs w:val="18"/>
                  <w:color w:val="0000FF"/>
                  <w:w w:val="90"/>
                </w:rPr>
                <w:t>pursuant to Section 302 of the Sarbanes-Oxley Act of 2002.</w:t>
              </w:r>
            </w:hyperlink>
          </w:p>
        </w:tc>
        <w:tc>
          <w:tcPr>
            <w:tcW w:w="53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gridSpan w:val="11"/>
          </w:tcPr>
          <w:p>
            <w:pPr>
              <w:spacing w:after="0"/>
              <w:rPr>
                <w:rFonts w:ascii="Arial" w:cs="Arial" w:eastAsia="Arial" w:hAnsi="Arial"/>
                <w:sz w:val="18"/>
                <w:szCs w:val="18"/>
                <w:color w:val="0000FF"/>
                <w:w w:val="94"/>
              </w:rPr>
            </w:pPr>
            <w:hyperlink w:anchor="page126">
              <w:r>
                <w:rPr>
                  <w:rFonts w:ascii="Arial" w:cs="Arial" w:eastAsia="Arial" w:hAnsi="Arial"/>
                  <w:sz w:val="18"/>
                  <w:szCs w:val="18"/>
                  <w:color w:val="0000FF"/>
                  <w:w w:val="94"/>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26">
              <w:r>
                <w:rPr>
                  <w:rFonts w:ascii="Arial" w:cs="Arial" w:eastAsia="Arial" w:hAnsi="Arial"/>
                  <w:sz w:val="18"/>
                  <w:szCs w:val="18"/>
                  <w:color w:val="0000FF"/>
                </w:rPr>
                <w:t>Oxley Act of 2002.</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gridSpan w:val="11"/>
          </w:tcPr>
          <w:p>
            <w:pPr>
              <w:spacing w:after="0"/>
              <w:rPr>
                <w:rFonts w:ascii="Arial" w:cs="Arial" w:eastAsia="Arial" w:hAnsi="Arial"/>
                <w:sz w:val="18"/>
                <w:szCs w:val="18"/>
                <w:color w:val="0000FF"/>
                <w:w w:val="94"/>
              </w:rPr>
            </w:pPr>
            <w:hyperlink w:anchor="page127">
              <w:r>
                <w:rPr>
                  <w:rFonts w:ascii="Arial" w:cs="Arial" w:eastAsia="Arial" w:hAnsi="Arial"/>
                  <w:sz w:val="18"/>
                  <w:szCs w:val="18"/>
                  <w:color w:val="0000FF"/>
                  <w:w w:val="94"/>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Oxley Act of 2002.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600" w:right="20" w:hanging="998"/>
        <w:spacing w:after="0" w:line="212" w:lineRule="auto"/>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materials from the 8x8, Inc. Quarterly Report on Form 10-Q for the quarter ended June 30, 2020, formatted in iXBRL (Inline eXtensible Business Reporting Language):</w:t>
      </w:r>
    </w:p>
    <w:p>
      <w:pPr>
        <w:spacing w:after="0" w:line="1" w:lineRule="exact"/>
        <w:rPr>
          <w:rFonts w:ascii="Arial" w:cs="Arial" w:eastAsia="Arial" w:hAnsi="Arial"/>
          <w:sz w:val="18"/>
          <w:szCs w:val="18"/>
          <w:color w:val="auto"/>
        </w:rPr>
      </w:pPr>
    </w:p>
    <w:p>
      <w:pPr>
        <w:jc w:val="both"/>
        <w:ind w:left="1600" w:right="20"/>
        <w:spacing w:after="0" w:line="239" w:lineRule="auto"/>
        <w:rPr>
          <w:rFonts w:ascii="Arial" w:cs="Arial" w:eastAsia="Arial" w:hAnsi="Arial"/>
          <w:sz w:val="18"/>
          <w:szCs w:val="18"/>
          <w:color w:val="auto"/>
        </w:rPr>
      </w:pPr>
      <w:r>
        <w:rPr>
          <w:rFonts w:ascii="Arial" w:cs="Arial" w:eastAsia="Arial" w:hAnsi="Arial"/>
          <w:sz w:val="16"/>
          <w:szCs w:val="16"/>
          <w:color w:val="auto"/>
        </w:rPr>
        <w:t>(i) Condensed Consolidated Balance Sheets as of June 30, 2020 and March 31, 2020; (ii) Condensed Consolidated Statements of Operations for the three months ended June 30, 2020 and 2019; (iii) Condensed Consolidated Statements of Comprehensive Loss for the three months ended June 30, 2020 and 2019; (iv) Condensed Consolidated Statements of Stockholders' Equity for the three months ended June 30, 2020 and 2019; (v) Condensed Consolidated Statements of Cash Flows for the three months ended June 30, 2020 and 2019; and (vi) notes to unaudited condensed consolidated financial statements.</w:t>
      </w:r>
    </w:p>
    <w:p>
      <w:pPr>
        <w:ind w:left="20" w:right="3540" w:firstLine="582"/>
        <w:spacing w:after="0" w:line="445" w:lineRule="auto"/>
        <w:tabs>
          <w:tab w:leader="none" w:pos="1586"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3034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360" w:hanging="334"/>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8X8, INC.</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8658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Samuel Wilson</w:t>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Chief Financial Officer</w:t>
      </w:r>
    </w:p>
    <w:p>
      <w:pPr>
        <w:ind w:left="5140"/>
        <w:spacing w:after="0"/>
        <w:rPr>
          <w:sz w:val="20"/>
          <w:szCs w:val="20"/>
          <w:color w:val="auto"/>
        </w:rPr>
      </w:pPr>
      <w:r>
        <w:rPr>
          <w:rFonts w:ascii="Arial" w:cs="Arial" w:eastAsia="Arial" w:hAnsi="Arial"/>
          <w:sz w:val="18"/>
          <w:szCs w:val="18"/>
          <w:i w:val="1"/>
          <w:iCs w:val="1"/>
          <w:color w:val="auto"/>
        </w:rPr>
        <w:t>(Principal Financial, Accounting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7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8x8, Inc.</w:t>
      </w:r>
    </w:p>
    <w:p>
      <w:pPr>
        <w:jc w:val="center"/>
        <w:spacing w:after="0"/>
        <w:rPr>
          <w:sz w:val="20"/>
          <w:szCs w:val="20"/>
          <w:color w:val="auto"/>
        </w:rPr>
      </w:pPr>
      <w:r>
        <w:rPr>
          <w:rFonts w:ascii="Arial" w:cs="Arial" w:eastAsia="Arial" w:hAnsi="Arial"/>
          <w:sz w:val="22"/>
          <w:szCs w:val="22"/>
          <w:b w:val="1"/>
          <w:bCs w:val="1"/>
          <w:color w:val="auto"/>
        </w:rPr>
        <w:t>Amended and Restated 2012 Equity Incentive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July 27, 2020)</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Purpose</w:t>
      </w:r>
    </w:p>
    <w:p>
      <w:pPr>
        <w:spacing w:after="0" w:line="199" w:lineRule="exact"/>
        <w:rPr>
          <w:sz w:val="20"/>
          <w:szCs w:val="20"/>
          <w:color w:val="auto"/>
        </w:rPr>
      </w:pPr>
    </w:p>
    <w:p>
      <w:pPr>
        <w:jc w:val="both"/>
        <w:ind w:right="300" w:firstLine="648"/>
        <w:spacing w:after="0" w:line="257" w:lineRule="auto"/>
        <w:rPr>
          <w:sz w:val="20"/>
          <w:szCs w:val="20"/>
          <w:color w:val="auto"/>
        </w:rPr>
      </w:pPr>
      <w:r>
        <w:rPr>
          <w:rFonts w:ascii="Arial" w:cs="Arial" w:eastAsia="Arial" w:hAnsi="Arial"/>
          <w:sz w:val="19"/>
          <w:szCs w:val="19"/>
          <w:color w:val="auto"/>
        </w:rPr>
        <w:t>This Plan is intended to encourage ownership of Stock by employees, consultants and directors of the Company and its Affiliates and to provide additional incentive for them to promote the success of the Company’s business through the grant of Awards of or pertaining to shares of the Company’s Stock. The Plan is intended to be an incentive stock option plan within the meaning of Section 422 of the Code, but not all Awards are required to be Incentive Options.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Definitions</w:t>
      </w:r>
    </w:p>
    <w:p>
      <w:pPr>
        <w:spacing w:after="0" w:line="199" w:lineRule="exact"/>
        <w:rPr>
          <w:sz w:val="20"/>
          <w:szCs w:val="20"/>
          <w:color w:val="auto"/>
        </w:rPr>
      </w:pPr>
    </w:p>
    <w:p>
      <w:pPr>
        <w:ind w:right="580" w:firstLine="648"/>
        <w:spacing w:after="0" w:line="232" w:lineRule="auto"/>
        <w:rPr>
          <w:sz w:val="20"/>
          <w:szCs w:val="20"/>
          <w:color w:val="auto"/>
        </w:rPr>
      </w:pPr>
      <w:r>
        <w:rPr>
          <w:rFonts w:ascii="Arial" w:cs="Arial" w:eastAsia="Arial" w:hAnsi="Arial"/>
          <w:sz w:val="22"/>
          <w:szCs w:val="22"/>
          <w:color w:val="auto"/>
        </w:rPr>
        <w:t>As used in the Plan, the following terms shall have the respective meanings set out below, unless the context clearly requires otherwise:</w:t>
      </w:r>
    </w:p>
    <w:p>
      <w:pPr>
        <w:spacing w:after="0" w:line="159" w:lineRule="exact"/>
        <w:rPr>
          <w:sz w:val="20"/>
          <w:szCs w:val="20"/>
          <w:color w:val="auto"/>
        </w:rPr>
      </w:pPr>
    </w:p>
    <w:p>
      <w:pPr>
        <w:ind w:right="200" w:firstLine="864"/>
        <w:spacing w:after="0" w:line="249" w:lineRule="auto"/>
        <w:rPr>
          <w:sz w:val="20"/>
          <w:szCs w:val="20"/>
          <w:color w:val="auto"/>
        </w:rPr>
      </w:pPr>
      <w:r>
        <w:rPr>
          <w:rFonts w:ascii="Arial" w:cs="Arial" w:eastAsia="Arial" w:hAnsi="Arial"/>
          <w:sz w:val="19"/>
          <w:szCs w:val="19"/>
          <w:u w:val="single" w:color="auto"/>
          <w:color w:val="auto"/>
        </w:rPr>
        <w:t>Accelerate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Accelerated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Acceleration</w:t>
      </w:r>
      <w:r>
        <w:rPr>
          <w:rFonts w:ascii="Arial" w:cs="Arial" w:eastAsia="Arial" w:hAnsi="Arial"/>
          <w:sz w:val="19"/>
          <w:szCs w:val="19"/>
          <w:color w:val="auto"/>
        </w:rPr>
        <w:t>, means: (a) when used with respect to a Stock Right, that as of the time of reference the Stock Right will become exercisable with respect to some or all of the shares of Stock for which it was not then otherwise exercisable by its terms; (b) when used with respect to Restricted Stock or Restricted Stock Units, that the Risk of Forfeiture otherwise applicable to the Stock or Units shall expire with respect to some or all of the shares of Restricted Stock or Units then still otherwise subject to the Risk of Forfeiture; and (c) when used with respect to Performance Units, that the applicable Performance Goals or other business objectives shall be deemed to have been met as to some or all of the Units.</w:t>
      </w:r>
    </w:p>
    <w:p>
      <w:pPr>
        <w:spacing w:after="0" w:line="152" w:lineRule="exact"/>
        <w:rPr>
          <w:sz w:val="20"/>
          <w:szCs w:val="20"/>
          <w:color w:val="auto"/>
        </w:rPr>
      </w:pPr>
    </w:p>
    <w:p>
      <w:pPr>
        <w:ind w:right="600" w:firstLine="864"/>
        <w:spacing w:after="0" w:line="232"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any corporation, partnership, limited liability company, business trust, or other entity controlling, controlled by or under common control with the Company.</w:t>
      </w:r>
    </w:p>
    <w:p>
      <w:pPr>
        <w:spacing w:after="0" w:line="159" w:lineRule="exact"/>
        <w:rPr>
          <w:sz w:val="20"/>
          <w:szCs w:val="20"/>
          <w:color w:val="auto"/>
        </w:rPr>
      </w:pPr>
    </w:p>
    <w:p>
      <w:pPr>
        <w:ind w:right="780" w:firstLine="864"/>
        <w:spacing w:after="0" w:line="232" w:lineRule="auto"/>
        <w:rPr>
          <w:sz w:val="20"/>
          <w:szCs w:val="20"/>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xml:space="preserve"> means any grant or sale pursuant to the Plan of Options, Stock Appreciation Rights, Performance Units, Restricted Stock, Restricted Stock Units, or Stock Grants.</w:t>
      </w:r>
    </w:p>
    <w:p>
      <w:pPr>
        <w:spacing w:after="0" w:line="159" w:lineRule="exact"/>
        <w:rPr>
          <w:sz w:val="20"/>
          <w:szCs w:val="20"/>
          <w:color w:val="auto"/>
        </w:rPr>
      </w:pPr>
    </w:p>
    <w:p>
      <w:pPr>
        <w:ind w:right="40" w:firstLine="864"/>
        <w:spacing w:after="0" w:line="232" w:lineRule="auto"/>
        <w:rPr>
          <w:sz w:val="20"/>
          <w:szCs w:val="20"/>
          <w:color w:val="auto"/>
        </w:rPr>
      </w:pPr>
      <w:r>
        <w:rPr>
          <w:rFonts w:ascii="Arial" w:cs="Arial" w:eastAsia="Arial" w:hAnsi="Arial"/>
          <w:sz w:val="22"/>
          <w:szCs w:val="22"/>
          <w:u w:val="single" w:color="auto"/>
          <w:color w:val="auto"/>
        </w:rPr>
        <w:t>Award Agreement</w:t>
      </w:r>
      <w:r>
        <w:rPr>
          <w:rFonts w:ascii="Arial" w:cs="Arial" w:eastAsia="Arial" w:hAnsi="Arial"/>
          <w:sz w:val="22"/>
          <w:szCs w:val="22"/>
          <w:color w:val="auto"/>
        </w:rPr>
        <w:t xml:space="preserve"> means an agreement between the Company and the recipient of an Award, or other notice of grant of an Award, setting forth the terms and conditions of the Award.</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Board</w:t>
      </w:r>
      <w:r>
        <w:rPr>
          <w:rFonts w:ascii="Arial" w:cs="Arial" w:eastAsia="Arial" w:hAnsi="Arial"/>
          <w:sz w:val="22"/>
          <w:szCs w:val="22"/>
          <w:color w:val="auto"/>
        </w:rPr>
        <w:t xml:space="preserve"> means the Company’s Board of Directors.</w:t>
      </w:r>
    </w:p>
    <w:p>
      <w:pPr>
        <w:spacing w:after="0" w:line="179" w:lineRule="exact"/>
        <w:rPr>
          <w:sz w:val="20"/>
          <w:szCs w:val="20"/>
          <w:color w:val="auto"/>
        </w:rPr>
      </w:pPr>
    </w:p>
    <w:p>
      <w:pPr>
        <w:ind w:right="300" w:firstLine="864"/>
        <w:spacing w:after="0" w:line="232" w:lineRule="auto"/>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xml:space="preserve"> means the Internal Revenue Code of 1986, as amended from time to time, or any successor statute thereto, and any regulations issued from time to time thereunder.</w:t>
      </w:r>
    </w:p>
    <w:p>
      <w:pPr>
        <w:spacing w:after="0" w:line="159" w:lineRule="exact"/>
        <w:rPr>
          <w:sz w:val="20"/>
          <w:szCs w:val="20"/>
          <w:color w:val="auto"/>
        </w:rPr>
      </w:pPr>
    </w:p>
    <w:p>
      <w:pPr>
        <w:jc w:val="both"/>
        <w:ind w:right="80" w:firstLine="864"/>
        <w:spacing w:after="0" w:line="218" w:lineRule="auto"/>
        <w:rPr>
          <w:sz w:val="20"/>
          <w:szCs w:val="20"/>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xml:space="preserve"> means the Compensation Committee of the Board, which in general is responsible for the administration of the Plan, as provided in Section 5 of this Plan. For any period during which no such committee is in existence “Committee” shall mean the Board and all authority and responsibility assigned to the Committee under the Plan shall be exercised, if at all, by the Board.</w:t>
      </w:r>
    </w:p>
    <w:p>
      <w:pPr>
        <w:sectPr>
          <w:pgSz w:w="11900" w:h="16838" w:orient="portrait"/>
          <w:cols w:equalWidth="0" w:num="1">
            <w:col w:w="11240"/>
          </w:cols>
          <w:pgMar w:left="320" w:top="1405" w:right="339" w:bottom="1440" w:gutter="0" w:footer="0" w:header="0"/>
        </w:sectPr>
      </w:pPr>
    </w:p>
    <w:bookmarkStart w:id="32" w:name="page33"/>
    <w:bookmarkEnd w:id="32"/>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means 8x8, Inc., a corporation organized under the laws of the state of Delaware.</w:t>
      </w:r>
    </w:p>
    <w:p>
      <w:pPr>
        <w:spacing w:after="0" w:line="179" w:lineRule="exact"/>
        <w:rPr>
          <w:sz w:val="20"/>
          <w:szCs w:val="20"/>
          <w:color w:val="auto"/>
        </w:rPr>
      </w:pPr>
    </w:p>
    <w:p>
      <w:pPr>
        <w:ind w:firstLine="864"/>
        <w:spacing w:after="0" w:line="249" w:lineRule="auto"/>
        <w:rPr>
          <w:sz w:val="20"/>
          <w:szCs w:val="20"/>
          <w:color w:val="auto"/>
        </w:rPr>
      </w:pPr>
      <w:r>
        <w:rPr>
          <w:rFonts w:ascii="Arial" w:cs="Arial" w:eastAsia="Arial" w:hAnsi="Arial"/>
          <w:sz w:val="19"/>
          <w:szCs w:val="19"/>
          <w:u w:val="single" w:color="auto"/>
          <w:color w:val="auto"/>
        </w:rPr>
        <w:t>Corporate Transaction</w:t>
      </w:r>
      <w:r>
        <w:rPr>
          <w:rFonts w:ascii="Arial" w:cs="Arial" w:eastAsia="Arial" w:hAnsi="Arial"/>
          <w:sz w:val="19"/>
          <w:szCs w:val="19"/>
          <w:color w:val="auto"/>
        </w:rPr>
        <w:t xml:space="preserve"> means any (1) merger or consolidation of the Company with or into another entity as a result of which the Stock of the Company is converted into or exchanged for the right to receive cash, securities or other property or is cancelled, (2) sale or exchange of all of the Stock of the Company for cash, securities or other property, (3) sale, transfer, or other disposition of all or substantially all of the Company’s assets to one or more other persons in a single transaction or series of related transactions or (4) liquidation or dissolution of the Company; except, in the case of clauses (1) and (2), for a transaction the principal purpose of which is to change the state in which the Company is incorporated.</w:t>
      </w:r>
    </w:p>
    <w:p>
      <w:pPr>
        <w:spacing w:after="0" w:line="152" w:lineRule="exact"/>
        <w:rPr>
          <w:sz w:val="20"/>
          <w:szCs w:val="20"/>
          <w:color w:val="auto"/>
        </w:rPr>
      </w:pPr>
    </w:p>
    <w:p>
      <w:pPr>
        <w:ind w:right="220" w:firstLine="864"/>
        <w:spacing w:after="0" w:line="232" w:lineRule="auto"/>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earlier of the date the Plan is approved by the Board or the date the Plan is approved by the stockholders of the Company.</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Grant Date</w:t>
      </w:r>
      <w:r>
        <w:rPr>
          <w:rFonts w:ascii="Arial" w:cs="Arial" w:eastAsia="Arial" w:hAnsi="Arial"/>
          <w:sz w:val="22"/>
          <w:szCs w:val="22"/>
          <w:color w:val="auto"/>
        </w:rPr>
        <w:t xml:space="preserve"> means the date as of which an Option is granted, as determined under Section 7.1(a).</w:t>
      </w:r>
    </w:p>
    <w:p>
      <w:pPr>
        <w:spacing w:after="0" w:line="179" w:lineRule="exact"/>
        <w:rPr>
          <w:sz w:val="20"/>
          <w:szCs w:val="20"/>
          <w:color w:val="auto"/>
        </w:rPr>
      </w:pPr>
    </w:p>
    <w:p>
      <w:pPr>
        <w:ind w:firstLine="864"/>
        <w:spacing w:after="0" w:line="232" w:lineRule="auto"/>
        <w:rPr>
          <w:sz w:val="20"/>
          <w:szCs w:val="20"/>
          <w:color w:val="auto"/>
        </w:rPr>
      </w:pPr>
      <w:r>
        <w:rPr>
          <w:rFonts w:ascii="Arial" w:cs="Arial" w:eastAsia="Arial" w:hAnsi="Arial"/>
          <w:sz w:val="22"/>
          <w:szCs w:val="22"/>
          <w:u w:val="single" w:color="auto"/>
          <w:color w:val="auto"/>
        </w:rPr>
        <w:t>Incentive Option</w:t>
      </w:r>
      <w:r>
        <w:rPr>
          <w:rFonts w:ascii="Arial" w:cs="Arial" w:eastAsia="Arial" w:hAnsi="Arial"/>
          <w:sz w:val="22"/>
          <w:szCs w:val="22"/>
          <w:color w:val="auto"/>
        </w:rPr>
        <w:t xml:space="preserve"> means an Option which by its terms is to be treated as an “incentive stock option” within the meaning of Section 422 of the Code.</w:t>
      </w:r>
    </w:p>
    <w:p>
      <w:pPr>
        <w:spacing w:after="0" w:line="159" w:lineRule="exact"/>
        <w:rPr>
          <w:sz w:val="20"/>
          <w:szCs w:val="20"/>
          <w:color w:val="auto"/>
        </w:rPr>
      </w:pPr>
    </w:p>
    <w:p>
      <w:pPr>
        <w:ind w:right="40" w:firstLine="864"/>
        <w:spacing w:after="0" w:line="247" w:lineRule="auto"/>
        <w:rPr>
          <w:sz w:val="20"/>
          <w:szCs w:val="20"/>
          <w:color w:val="auto"/>
        </w:rPr>
      </w:pPr>
      <w:r>
        <w:rPr>
          <w:rFonts w:ascii="Arial" w:cs="Arial" w:eastAsia="Arial" w:hAnsi="Arial"/>
          <w:sz w:val="19"/>
          <w:szCs w:val="19"/>
          <w:u w:val="single" w:color="auto"/>
          <w:color w:val="auto"/>
        </w:rPr>
        <w:t>Market Value</w:t>
      </w:r>
      <w:r>
        <w:rPr>
          <w:rFonts w:ascii="Arial" w:cs="Arial" w:eastAsia="Arial" w:hAnsi="Arial"/>
          <w:sz w:val="19"/>
          <w:szCs w:val="19"/>
          <w:color w:val="auto"/>
        </w:rPr>
        <w:t xml:space="preserve"> means the value of a share of Stock on a particular date determined by such methods or procedures as may be established by the Committee. Unless otherwise determined by the Committee, the Market Value of Stock as of any date is: (a) the closing price for the Stock as reported on the New York Stock Exchange (or on any other national securities exchange on which the Stock is then listed) for that date or, if no closing price is reported for that date, the closing price on the next preceding date for which a closing price was reported; or (b)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Nonstatutory Option</w:t>
      </w:r>
      <w:r>
        <w:rPr>
          <w:rFonts w:ascii="Arial" w:cs="Arial" w:eastAsia="Arial" w:hAnsi="Arial"/>
          <w:sz w:val="22"/>
          <w:szCs w:val="22"/>
          <w:color w:val="auto"/>
        </w:rPr>
        <w:t xml:space="preserve"> means any Option that is not an Incentive Option.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Option</w:t>
      </w:r>
      <w:r>
        <w:rPr>
          <w:rFonts w:ascii="Arial" w:cs="Arial" w:eastAsia="Arial" w:hAnsi="Arial"/>
          <w:sz w:val="22"/>
          <w:szCs w:val="22"/>
          <w:color w:val="auto"/>
        </w:rPr>
        <w:t xml:space="preserve"> means an option to purchase shares of Stock.</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Optionee</w:t>
      </w:r>
      <w:r>
        <w:rPr>
          <w:rFonts w:ascii="Arial" w:cs="Arial" w:eastAsia="Arial" w:hAnsi="Arial"/>
          <w:sz w:val="22"/>
          <w:szCs w:val="22"/>
          <w:color w:val="auto"/>
        </w:rPr>
        <w:t xml:space="preserve"> means an eligible individual to whom an Option shall have been granted under the Plan.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means any holder of an outstanding Award under the Plan.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Performance Criteria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Performance Goals</w:t>
      </w:r>
      <w:r>
        <w:rPr>
          <w:rFonts w:ascii="Arial" w:cs="Arial" w:eastAsia="Arial" w:hAnsi="Arial"/>
          <w:sz w:val="22"/>
          <w:szCs w:val="22"/>
          <w:color w:val="auto"/>
        </w:rPr>
        <w:t xml:space="preserve"> have the meanings given such terms in Section 7.7(f).</w:t>
      </w:r>
    </w:p>
    <w:p>
      <w:pPr>
        <w:spacing w:after="0" w:line="179" w:lineRule="exact"/>
        <w:rPr>
          <w:sz w:val="20"/>
          <w:szCs w:val="20"/>
          <w:color w:val="auto"/>
        </w:rPr>
      </w:pPr>
    </w:p>
    <w:p>
      <w:pPr>
        <w:ind w:right="380" w:firstLine="864"/>
        <w:spacing w:after="0" w:line="268" w:lineRule="auto"/>
        <w:rPr>
          <w:sz w:val="20"/>
          <w:szCs w:val="20"/>
          <w:color w:val="auto"/>
        </w:rPr>
      </w:pP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means the one or more periods of time, which may be of varying and overlapping durations, selected by the Committee, over which the attainment of one or more Performance Goals or other business objectives will be measured for purposes of determining a Participant’s right to, and the payment of, a Performance Unit.</w:t>
      </w:r>
    </w:p>
    <w:p>
      <w:pPr>
        <w:spacing w:after="0" w:line="132" w:lineRule="exact"/>
        <w:rPr>
          <w:sz w:val="20"/>
          <w:szCs w:val="20"/>
          <w:color w:val="auto"/>
        </w:rPr>
      </w:pPr>
    </w:p>
    <w:p>
      <w:pPr>
        <w:ind w:right="120" w:firstLine="864"/>
        <w:spacing w:after="0" w:line="298" w:lineRule="auto"/>
        <w:rPr>
          <w:sz w:val="20"/>
          <w:szCs w:val="20"/>
          <w:color w:val="auto"/>
        </w:rPr>
      </w:pPr>
      <w:r>
        <w:rPr>
          <w:rFonts w:ascii="Arial" w:cs="Arial" w:eastAsia="Arial" w:hAnsi="Arial"/>
          <w:sz w:val="19"/>
          <w:szCs w:val="19"/>
          <w:u w:val="single" w:color="auto"/>
          <w:color w:val="auto"/>
        </w:rPr>
        <w:t>Performance Unit</w:t>
      </w:r>
      <w:r>
        <w:rPr>
          <w:rFonts w:ascii="Arial" w:cs="Arial" w:eastAsia="Arial" w:hAnsi="Arial"/>
          <w:sz w:val="19"/>
          <w:szCs w:val="19"/>
          <w:color w:val="auto"/>
        </w:rPr>
        <w:t xml:space="preserve"> means a right granted to a Participant under Section 7.5, to receive cash, Stock or other Awards, the payment of which is contingent on achieving Performance Goals or other business objectives established by the Committee.</w:t>
      </w:r>
    </w:p>
    <w:p>
      <w:pPr>
        <w:spacing w:after="0" w:line="105" w:lineRule="exact"/>
        <w:rPr>
          <w:sz w:val="20"/>
          <w:szCs w:val="20"/>
          <w:color w:val="auto"/>
        </w:rPr>
      </w:pPr>
    </w:p>
    <w:p>
      <w:pPr>
        <w:ind w:right="760" w:firstLine="864"/>
        <w:spacing w:after="0" w:line="232" w:lineRule="auto"/>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xml:space="preserve"> means this 2012 Equity Incentive Plan of the Company, as amended from time to time, and including any attachments or addenda hereto.</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40" w:right="399" w:bottom="1440" w:gutter="0" w:footer="0" w:header="0"/>
        </w:sectPr>
      </w:pPr>
    </w:p>
    <w:bookmarkStart w:id="33" w:name="page34"/>
    <w:bookmarkEnd w:id="33"/>
    <w:p>
      <w:pPr>
        <w:spacing w:after="0" w:line="177" w:lineRule="exact"/>
        <w:rPr>
          <w:sz w:val="20"/>
          <w:szCs w:val="20"/>
          <w:color w:val="auto"/>
        </w:rPr>
      </w:pPr>
    </w:p>
    <w:p>
      <w:pPr>
        <w:ind w:right="500" w:firstLine="864"/>
        <w:spacing w:after="0" w:line="223" w:lineRule="auto"/>
        <w:rPr>
          <w:sz w:val="20"/>
          <w:szCs w:val="20"/>
          <w:color w:val="auto"/>
        </w:rPr>
      </w:pPr>
      <w:r>
        <w:rPr>
          <w:rFonts w:ascii="Arial" w:cs="Arial" w:eastAsia="Arial" w:hAnsi="Arial"/>
          <w:sz w:val="22"/>
          <w:szCs w:val="22"/>
          <w:u w:val="single" w:color="auto"/>
          <w:color w:val="auto"/>
        </w:rPr>
        <w:t>Qualified Performance-Based Awards</w:t>
      </w:r>
      <w:r>
        <w:rPr>
          <w:rFonts w:ascii="Arial" w:cs="Arial" w:eastAsia="Arial" w:hAnsi="Arial"/>
          <w:sz w:val="22"/>
          <w:szCs w:val="22"/>
          <w:color w:val="auto"/>
        </w:rPr>
        <w:t xml:space="preserve"> means Awards to persons who are or become covered employees within the meaning of Section 162(m) of the Code and which are intended to or at grant would qualify as “performance-based compensation” under Section 162(m) of the Code.</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 xml:space="preserve"> means a grant or sale of shares of Stock to a Participant subject to a Risk of Forfeiture.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9"/>
          <w:szCs w:val="19"/>
          <w:u w:val="single" w:color="auto"/>
          <w:color w:val="auto"/>
        </w:rPr>
        <w:t>Restricted Stock Unit</w:t>
      </w:r>
      <w:r>
        <w:rPr>
          <w:rFonts w:ascii="Arial" w:cs="Arial" w:eastAsia="Arial" w:hAnsi="Arial"/>
          <w:sz w:val="19"/>
          <w:szCs w:val="19"/>
          <w:color w:val="auto"/>
        </w:rPr>
        <w:t xml:space="preserve"> means a right to receive Stock at the close of a Restriction Period, subject to a Risk of Forfeiture.</w:t>
      </w:r>
    </w:p>
    <w:p>
      <w:pPr>
        <w:spacing w:after="0" w:line="214" w:lineRule="exact"/>
        <w:rPr>
          <w:sz w:val="20"/>
          <w:szCs w:val="20"/>
          <w:color w:val="auto"/>
        </w:rPr>
      </w:pPr>
    </w:p>
    <w:p>
      <w:pPr>
        <w:ind w:right="220" w:firstLine="864"/>
        <w:spacing w:after="0" w:line="223" w:lineRule="auto"/>
        <w:rPr>
          <w:sz w:val="20"/>
          <w:szCs w:val="20"/>
          <w:color w:val="auto"/>
        </w:rPr>
      </w:pPr>
      <w:r>
        <w:rPr>
          <w:rFonts w:ascii="Arial" w:cs="Arial" w:eastAsia="Arial" w:hAnsi="Arial"/>
          <w:sz w:val="22"/>
          <w:szCs w:val="22"/>
          <w:u w:val="single" w:color="auto"/>
          <w:color w:val="auto"/>
        </w:rPr>
        <w:t>Restriction Period</w:t>
      </w:r>
      <w:r>
        <w:rPr>
          <w:rFonts w:ascii="Arial" w:cs="Arial" w:eastAsia="Arial" w:hAnsi="Arial"/>
          <w:sz w:val="22"/>
          <w:szCs w:val="22"/>
          <w:color w:val="auto"/>
        </w:rPr>
        <w:t xml:space="preserve"> means the period of time, established by the Committee in connection with an Award of Restricted Stock or Restricted Stock Units, during which the shares of Restricted Stock or Restricted Stock Units are subject to a Risk of Forfeiture described in the applicable Award Agreement.</w:t>
      </w:r>
    </w:p>
    <w:p>
      <w:pPr>
        <w:spacing w:after="0" w:line="159" w:lineRule="exact"/>
        <w:rPr>
          <w:sz w:val="20"/>
          <w:szCs w:val="20"/>
          <w:color w:val="auto"/>
        </w:rPr>
      </w:pPr>
    </w:p>
    <w:p>
      <w:pPr>
        <w:jc w:val="both"/>
        <w:ind w:right="40" w:firstLine="864"/>
        <w:spacing w:after="0" w:line="223" w:lineRule="auto"/>
        <w:rPr>
          <w:sz w:val="20"/>
          <w:szCs w:val="20"/>
          <w:color w:val="auto"/>
        </w:rPr>
      </w:pPr>
      <w:r>
        <w:rPr>
          <w:rFonts w:ascii="Arial" w:cs="Arial" w:eastAsia="Arial" w:hAnsi="Arial"/>
          <w:sz w:val="22"/>
          <w:szCs w:val="22"/>
          <w:u w:val="single" w:color="auto"/>
          <w:color w:val="auto"/>
        </w:rPr>
        <w:t>Risk of Forfeiture</w:t>
      </w:r>
      <w:r>
        <w:rPr>
          <w:rFonts w:ascii="Arial" w:cs="Arial" w:eastAsia="Arial" w:hAnsi="Arial"/>
          <w:sz w:val="22"/>
          <w:szCs w:val="22"/>
          <w:color w:val="auto"/>
        </w:rPr>
        <w:t xml:space="preserve"> means a limitation on the right of the Participant to retain Restricted Stock or Restricted Stock Units, including a right of the Company to reacquire shares of Restricted Stock at less than its then Market Value, arising because of the occurrence or non-occurrence of specified events or conditions.</w:t>
      </w:r>
    </w:p>
    <w:p>
      <w:pPr>
        <w:spacing w:after="0" w:line="159" w:lineRule="exact"/>
        <w:rPr>
          <w:sz w:val="20"/>
          <w:szCs w:val="20"/>
          <w:color w:val="auto"/>
        </w:rPr>
      </w:pPr>
    </w:p>
    <w:p>
      <w:pPr>
        <w:ind w:right="920" w:firstLine="864"/>
        <w:spacing w:after="0" w:line="232" w:lineRule="auto"/>
        <w:rPr>
          <w:sz w:val="20"/>
          <w:szCs w:val="20"/>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 xml:space="preserve"> means common stock, par value $0.001 per share, of the Company, and such other securities as may be substituted for Stock pursuant to Section 8.</w:t>
      </w:r>
    </w:p>
    <w:p>
      <w:pPr>
        <w:spacing w:after="0" w:line="159" w:lineRule="exact"/>
        <w:rPr>
          <w:sz w:val="20"/>
          <w:szCs w:val="20"/>
          <w:color w:val="auto"/>
        </w:rPr>
      </w:pPr>
    </w:p>
    <w:p>
      <w:pPr>
        <w:ind w:right="760" w:firstLine="864"/>
        <w:spacing w:after="0" w:line="232" w:lineRule="auto"/>
        <w:rPr>
          <w:sz w:val="20"/>
          <w:szCs w:val="20"/>
          <w:color w:val="auto"/>
        </w:rPr>
      </w:pP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xml:space="preserve"> means a right to receive any excess in the Market Value of shares of Stock (except as otherwise provided in Section 7.2(c)) over a specified exercise price.</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Stock Grant</w:t>
      </w:r>
      <w:r>
        <w:rPr>
          <w:rFonts w:ascii="Arial" w:cs="Arial" w:eastAsia="Arial" w:hAnsi="Arial"/>
          <w:sz w:val="22"/>
          <w:szCs w:val="22"/>
          <w:color w:val="auto"/>
        </w:rPr>
        <w:t xml:space="preserve"> means the grant of shares of Stock not subject to restrictions or other forfeiture conditions.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Stock Right</w:t>
      </w:r>
      <w:r>
        <w:rPr>
          <w:rFonts w:ascii="Arial" w:cs="Arial" w:eastAsia="Arial" w:hAnsi="Arial"/>
          <w:sz w:val="22"/>
          <w:szCs w:val="22"/>
          <w:color w:val="auto"/>
        </w:rPr>
        <w:t xml:space="preserve"> means an Award in the form of an Option or a Stock Appreciation Right.</w:t>
      </w:r>
    </w:p>
    <w:p>
      <w:pPr>
        <w:spacing w:after="0" w:line="179" w:lineRule="exact"/>
        <w:rPr>
          <w:sz w:val="20"/>
          <w:szCs w:val="20"/>
          <w:color w:val="auto"/>
        </w:rPr>
      </w:pPr>
    </w:p>
    <w:p>
      <w:pPr>
        <w:ind w:right="40" w:firstLine="864"/>
        <w:spacing w:after="0" w:line="234" w:lineRule="auto"/>
        <w:rPr>
          <w:sz w:val="20"/>
          <w:szCs w:val="20"/>
          <w:color w:val="auto"/>
        </w:rPr>
      </w:pPr>
      <w:r>
        <w:rPr>
          <w:rFonts w:ascii="Arial" w:cs="Arial" w:eastAsia="Arial" w:hAnsi="Arial"/>
          <w:sz w:val="21"/>
          <w:szCs w:val="21"/>
          <w:u w:val="single" w:color="auto"/>
          <w:color w:val="auto"/>
        </w:rPr>
        <w:t>Stockholders’ Agreement</w:t>
      </w:r>
      <w:r>
        <w:rPr>
          <w:rFonts w:ascii="Arial" w:cs="Arial" w:eastAsia="Arial" w:hAnsi="Arial"/>
          <w:sz w:val="21"/>
          <w:szCs w:val="21"/>
          <w:color w:val="auto"/>
        </w:rPr>
        <w:t xml:space="preserve"> means any agreement by and among the holders of at least a majority of the outstanding voting securities of the Company and setting forth, among other provisions, restrictions upon the transfer of shares of Stock or on the exercise of rights appurtenant thereto (including, but not limited to, voting rights).</w:t>
      </w:r>
    </w:p>
    <w:p>
      <w:pPr>
        <w:spacing w:after="0" w:line="158" w:lineRule="exact"/>
        <w:rPr>
          <w:sz w:val="20"/>
          <w:szCs w:val="20"/>
          <w:color w:val="auto"/>
        </w:rPr>
      </w:pPr>
    </w:p>
    <w:p>
      <w:pPr>
        <w:ind w:firstLine="864"/>
        <w:spacing w:after="0" w:line="216" w:lineRule="auto"/>
        <w:rPr>
          <w:sz w:val="20"/>
          <w:szCs w:val="20"/>
          <w:color w:val="auto"/>
        </w:rPr>
      </w:pPr>
      <w:r>
        <w:rPr>
          <w:rFonts w:ascii="Arial" w:cs="Arial" w:eastAsia="Arial" w:hAnsi="Arial"/>
          <w:sz w:val="22"/>
          <w:szCs w:val="22"/>
          <w:u w:val="single" w:color="auto"/>
          <w:color w:val="auto"/>
        </w:rPr>
        <w:t>Ten Percent Owner</w:t>
      </w:r>
      <w:r>
        <w:rPr>
          <w:rFonts w:ascii="Arial" w:cs="Arial" w:eastAsia="Arial" w:hAnsi="Arial"/>
          <w:sz w:val="22"/>
          <w:szCs w:val="22"/>
          <w:color w:val="auto"/>
        </w:rPr>
        <w:t xml:space="preserve"> means a person who owns, or is deemed within the meaning of Section 422(b)(6)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Term of the Plan</w:t>
      </w:r>
    </w:p>
    <w:p>
      <w:pPr>
        <w:spacing w:after="0" w:line="199"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Unless the Plan shall have been earlier terminated by the Board, Awards may be granted under this Plan at any time in the period commencing on the date of approval of the Plan by the Board and ending immediately prior to the tenth anniversary of the Effective Date. Awards granted pursuant to the Plan within that period shall not expire solely by reason of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77"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termination of the Plan. Any Awards granted prior to stockholder approval of the Plan are hereby expressly conditioned upon such approval.</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Stock Subject to the Plan</w:t>
      </w:r>
    </w:p>
    <w:p>
      <w:pPr>
        <w:spacing w:after="0" w:line="199" w:lineRule="exact"/>
        <w:rPr>
          <w:sz w:val="20"/>
          <w:szCs w:val="20"/>
          <w:color w:val="auto"/>
        </w:rPr>
      </w:pPr>
    </w:p>
    <w:p>
      <w:pPr>
        <w:ind w:right="20" w:firstLine="648"/>
        <w:spacing w:after="0" w:line="239" w:lineRule="auto"/>
        <w:rPr>
          <w:sz w:val="20"/>
          <w:szCs w:val="20"/>
          <w:color w:val="auto"/>
        </w:rPr>
      </w:pPr>
      <w:r>
        <w:rPr>
          <w:rFonts w:ascii="Arial" w:cs="Arial" w:eastAsia="Arial" w:hAnsi="Arial"/>
          <w:sz w:val="19"/>
          <w:szCs w:val="19"/>
          <w:color w:val="auto"/>
        </w:rPr>
        <w:t>At no time shall the number of shares of Stock issued pursuant to or subject to outstanding Awards granted under the Plan, nor the number of shares of Stock issued pursuant to or subject to outstanding Incentive Options, exceed 43,700,000 shares of Stock. Any shares of Stock granted in connection with Options and Stock Appreciation Rights shall be counted against the foregoing Plan limitation and Incentive Option limitation as one (1) share of Stock for every one (1) Option or Stock Appreciation Right awarded. Any shares of Stock granted in connection with Restricted Stock, Restricted Stock Units, Performance Units, and Stock Grants shall be counted against the foregoing Plan limitation as: (A) one (1) share of Stock for every one (1) share granted in connection with such Awards made before July 25, 2014; (B) one and one-half (1.5) shares of Stock for every one (1) share granted in connection with such Awards made on or after July 25, 2014 and before July 22, 2016;</w:t>
      </w:r>
    </w:p>
    <w:p>
      <w:pPr>
        <w:spacing w:after="0" w:line="5" w:lineRule="exact"/>
        <w:rPr>
          <w:sz w:val="20"/>
          <w:szCs w:val="20"/>
          <w:color w:val="auto"/>
        </w:rPr>
      </w:pPr>
    </w:p>
    <w:p>
      <w:pPr>
        <w:ind w:right="60" w:firstLine="8"/>
        <w:spacing w:after="0" w:line="211" w:lineRule="auto"/>
        <w:tabs>
          <w:tab w:leader="none" w:pos="342" w:val="left"/>
        </w:tabs>
        <w:numPr>
          <w:ilvl w:val="0"/>
          <w:numId w:val="9"/>
        </w:numPr>
        <w:rPr>
          <w:rFonts w:ascii="Arial" w:cs="Arial" w:eastAsia="Arial" w:hAnsi="Arial"/>
          <w:sz w:val="22"/>
          <w:szCs w:val="22"/>
          <w:color w:val="auto"/>
        </w:rPr>
      </w:pPr>
      <w:r>
        <w:rPr>
          <w:rFonts w:ascii="Arial" w:cs="Arial" w:eastAsia="Arial" w:hAnsi="Arial"/>
          <w:sz w:val="22"/>
          <w:szCs w:val="22"/>
          <w:color w:val="auto"/>
        </w:rPr>
        <w:t>one and seven-tenths (1.7) shares of Stock for every one (1) share granted in connection with such Awards made on or after July 22, 2016 and before August 1, 2019; and (D) one (1) share of Stock for every one (1) share granted in connection with such Awards made on or after August 1, 2019. The limitations of this Section 4 shall be subject to the provisions of Section 8 of the Plan. Settlement of any Award shall not count against the foregoing Plan limitation and, to the extent allowable under Section 422 of the Code, the foregoing Incentive Option limitation, except to the extent settled in the form of Stock, subject to the following:</w:t>
      </w:r>
    </w:p>
    <w:p>
      <w:pPr>
        <w:spacing w:after="0" w:line="159" w:lineRule="exact"/>
        <w:rPr>
          <w:rFonts w:ascii="Arial" w:cs="Arial" w:eastAsia="Arial" w:hAnsi="Arial"/>
          <w:sz w:val="22"/>
          <w:szCs w:val="22"/>
          <w:color w:val="auto"/>
        </w:rPr>
      </w:pPr>
    </w:p>
    <w:p>
      <w:pPr>
        <w:ind w:right="240" w:firstLine="1304"/>
        <w:spacing w:after="0" w:line="268" w:lineRule="auto"/>
        <w:tabs>
          <w:tab w:leader="none" w:pos="1806" w:val="left"/>
        </w:tabs>
        <w:numPr>
          <w:ilvl w:val="1"/>
          <w:numId w:val="9"/>
        </w:numPr>
        <w:rPr>
          <w:rFonts w:ascii="Arial" w:cs="Arial" w:eastAsia="Arial" w:hAnsi="Arial"/>
          <w:sz w:val="19"/>
          <w:szCs w:val="19"/>
          <w:color w:val="auto"/>
        </w:rPr>
      </w:pPr>
      <w:r>
        <w:rPr>
          <w:rFonts w:ascii="Arial" w:cs="Arial" w:eastAsia="Arial" w:hAnsi="Arial"/>
          <w:sz w:val="19"/>
          <w:szCs w:val="19"/>
          <w:color w:val="auto"/>
        </w:rPr>
        <w:t>if any Option or Stock-settled Stock Appreciation Right expires, terminates, is cancelled for any reason without having been exercised in full, or is settled in cash without the delivery of shares to the holder, then the shares of Stock not purchased or otherwise acquired by the recipient shall again be available for Awards to be granted under the Plan;</w:t>
      </w:r>
    </w:p>
    <w:p>
      <w:pPr>
        <w:spacing w:after="0" w:line="132" w:lineRule="exact"/>
        <w:rPr>
          <w:rFonts w:ascii="Arial" w:cs="Arial" w:eastAsia="Arial" w:hAnsi="Arial"/>
          <w:sz w:val="19"/>
          <w:szCs w:val="19"/>
          <w:color w:val="auto"/>
        </w:rPr>
      </w:pPr>
    </w:p>
    <w:p>
      <w:pPr>
        <w:ind w:firstLine="1304"/>
        <w:spacing w:after="0" w:line="221" w:lineRule="auto"/>
        <w:tabs>
          <w:tab w:leader="none" w:pos="1818" w:val="left"/>
        </w:tabs>
        <w:numPr>
          <w:ilvl w:val="1"/>
          <w:numId w:val="9"/>
        </w:numPr>
        <w:rPr>
          <w:rFonts w:ascii="Arial" w:cs="Arial" w:eastAsia="Arial" w:hAnsi="Arial"/>
          <w:sz w:val="21"/>
          <w:szCs w:val="21"/>
          <w:color w:val="auto"/>
        </w:rPr>
      </w:pPr>
      <w:r>
        <w:rPr>
          <w:rFonts w:ascii="Arial" w:cs="Arial" w:eastAsia="Arial" w:hAnsi="Arial"/>
          <w:sz w:val="21"/>
          <w:szCs w:val="21"/>
          <w:color w:val="auto"/>
        </w:rPr>
        <w:t>if any Restricted Stock, Restricted Stock Unit, or Performance Unit Award is forfeited by the recipient, reacquired at less than its then Market Value as a means of effecting a forfeiture, or settled in cash without the delivery of shares to the holder, then the underlying shares of Stock will again become available for Awards under the Plan and will be counted towards the Plan limitation as: (i) one (1) share of Stock for every one (1) share so forfeited, reacquired or settled before July 25, 2014; (ii) one and one-half (1.5) shares of Stock for every one (1) share so forfeited, reacquired or settled on or after July 25, 2014 and before July 22, 2016; (iii) one and seven-tenths (1.7) shares of Stock for every one (1) share so forfeited, reacquired or settled on or after July 22, 2016 and before August 1, 2019; and (iv) the same number of shares of Stock originally charged against the Plan limitation upon grant of the Award for the shares so forfeited, reacquired or settled on or after August 1, 2019, in connection with such Awards;</w:t>
      </w:r>
    </w:p>
    <w:p>
      <w:pPr>
        <w:spacing w:after="0" w:line="158" w:lineRule="exact"/>
        <w:rPr>
          <w:rFonts w:ascii="Arial" w:cs="Arial" w:eastAsia="Arial" w:hAnsi="Arial"/>
          <w:sz w:val="21"/>
          <w:szCs w:val="21"/>
          <w:color w:val="auto"/>
        </w:rPr>
      </w:pPr>
    </w:p>
    <w:p>
      <w:pPr>
        <w:ind w:right="60" w:firstLine="1304"/>
        <w:spacing w:after="0" w:line="223" w:lineRule="auto"/>
        <w:tabs>
          <w:tab w:leader="none" w:pos="1806"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full number of Stock Appreciation Rights granted that are to be settled by the issuance of Stock shall be counted against the number of shares of Stock available for award under the Plan, regardless of the number of shares actually issued upon settlement of such Stock Appreciation Right;</w:t>
      </w:r>
    </w:p>
    <w:p>
      <w:pPr>
        <w:spacing w:after="0" w:line="158" w:lineRule="exact"/>
        <w:rPr>
          <w:rFonts w:ascii="Arial" w:cs="Arial" w:eastAsia="Arial" w:hAnsi="Arial"/>
          <w:sz w:val="22"/>
          <w:szCs w:val="22"/>
          <w:color w:val="auto"/>
        </w:rPr>
      </w:pPr>
    </w:p>
    <w:p>
      <w:pPr>
        <w:ind w:right="200" w:firstLine="1304"/>
        <w:spacing w:after="0" w:line="247" w:lineRule="auto"/>
        <w:tabs>
          <w:tab w:leader="none" w:pos="1818" w:val="left"/>
        </w:tabs>
        <w:numPr>
          <w:ilvl w:val="1"/>
          <w:numId w:val="9"/>
        </w:numPr>
        <w:rPr>
          <w:rFonts w:ascii="Arial" w:cs="Arial" w:eastAsia="Arial" w:hAnsi="Arial"/>
          <w:sz w:val="21"/>
          <w:szCs w:val="21"/>
          <w:color w:val="auto"/>
        </w:rPr>
      </w:pPr>
      <w:r>
        <w:rPr>
          <w:rFonts w:ascii="Arial" w:cs="Arial" w:eastAsia="Arial" w:hAnsi="Arial"/>
          <w:sz w:val="21"/>
          <w:szCs w:val="21"/>
          <w:color w:val="auto"/>
        </w:rPr>
        <w:t>any shares of Stock withheld in satisfaction of tax withholding obligations of the Company or an Affiliate resulting from the exercise of an Option shall not again be made available for issuance under the Plan; and</w:t>
      </w:r>
    </w:p>
    <w:p>
      <w:pPr>
        <w:spacing w:after="0" w:line="150" w:lineRule="exact"/>
        <w:rPr>
          <w:rFonts w:ascii="Arial" w:cs="Arial" w:eastAsia="Arial" w:hAnsi="Arial"/>
          <w:sz w:val="21"/>
          <w:szCs w:val="21"/>
          <w:color w:val="auto"/>
        </w:rPr>
      </w:pPr>
    </w:p>
    <w:p>
      <w:pPr>
        <w:ind w:left="1820" w:hanging="516"/>
        <w:spacing w:after="0"/>
        <w:tabs>
          <w:tab w:leader="none" w:pos="1820" w:val="left"/>
        </w:tabs>
        <w:numPr>
          <w:ilvl w:val="1"/>
          <w:numId w:val="9"/>
        </w:numPr>
        <w:rPr>
          <w:rFonts w:ascii="Arial" w:cs="Arial" w:eastAsia="Arial" w:hAnsi="Arial"/>
          <w:sz w:val="19"/>
          <w:szCs w:val="19"/>
          <w:color w:val="auto"/>
        </w:rPr>
      </w:pPr>
      <w:r>
        <w:rPr>
          <w:rFonts w:ascii="Arial" w:cs="Arial" w:eastAsia="Arial" w:hAnsi="Arial"/>
          <w:sz w:val="19"/>
          <w:szCs w:val="19"/>
          <w:color w:val="auto"/>
        </w:rPr>
        <w:t>any shares tendered as payment for an option exercise shall not again be made available for issuance under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1440" w:right="419" w:bottom="1440" w:gutter="0" w:footer="0" w:header="0"/>
        </w:sectPr>
      </w:pPr>
    </w:p>
    <w:bookmarkStart w:id="35" w:name="page36"/>
    <w:bookmarkEnd w:id="35"/>
    <w:p>
      <w:pPr>
        <w:spacing w:after="0" w:line="177" w:lineRule="exact"/>
        <w:rPr>
          <w:sz w:val="20"/>
          <w:szCs w:val="20"/>
          <w:color w:val="auto"/>
        </w:rPr>
      </w:pPr>
    </w:p>
    <w:p>
      <w:pPr>
        <w:ind w:right="60"/>
        <w:spacing w:after="0" w:line="218" w:lineRule="auto"/>
        <w:rPr>
          <w:sz w:val="20"/>
          <w:szCs w:val="20"/>
          <w:color w:val="auto"/>
        </w:rPr>
      </w:pPr>
      <w:r>
        <w:rPr>
          <w:rFonts w:ascii="Arial" w:cs="Arial" w:eastAsia="Arial" w:hAnsi="Arial"/>
          <w:sz w:val="22"/>
          <w:szCs w:val="22"/>
          <w:color w:val="auto"/>
        </w:rPr>
        <w:t>None of the foregoing provisions of this Section 4, including the adjustment provisions of Section 8, shall apply in determining the maximum number of shares of Stock issued pursuant to or subject to outstanding Incentive Options unless consistent with the provisions of Section 422 of the Code, however. Shares of Stock issued pursuant to the Plan may be either authorized but unissued shares or shares held by the Company in its treasury.</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Administration</w:t>
      </w:r>
    </w:p>
    <w:p>
      <w:pPr>
        <w:spacing w:after="0" w:line="199" w:lineRule="exact"/>
        <w:rPr>
          <w:sz w:val="20"/>
          <w:szCs w:val="20"/>
          <w:color w:val="auto"/>
        </w:rPr>
      </w:pPr>
    </w:p>
    <w:p>
      <w:pPr>
        <w:ind w:right="20" w:firstLine="648"/>
        <w:spacing w:after="0"/>
        <w:rPr>
          <w:sz w:val="20"/>
          <w:szCs w:val="20"/>
          <w:color w:val="auto"/>
        </w:rPr>
      </w:pPr>
      <w:r>
        <w:rPr>
          <w:rFonts w:ascii="Arial" w:cs="Arial" w:eastAsia="Arial" w:hAnsi="Arial"/>
          <w:sz w:val="19"/>
          <w:szCs w:val="19"/>
          <w:color w:val="auto"/>
        </w:rPr>
        <w:t xml:space="preserve">The Plan shall be administered by the Committee;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at any time and on any one or more occasions the Board may itself exercise any of the powers and responsibilities assigned the Committee under the Plan and when so acting shall have the benefit of all of the provisions of the Plan pertaining to the Committee’s exercise of its authorities hereunder; and </w:t>
      </w:r>
      <w:r>
        <w:rPr>
          <w:rFonts w:ascii="Arial" w:cs="Arial" w:eastAsia="Arial" w:hAnsi="Arial"/>
          <w:sz w:val="19"/>
          <w:szCs w:val="19"/>
          <w:i w:val="1"/>
          <w:iCs w:val="1"/>
          <w:color w:val="auto"/>
        </w:rPr>
        <w:t xml:space="preserve">provided further, however, </w:t>
      </w:r>
      <w:r>
        <w:rPr>
          <w:rFonts w:ascii="Arial" w:cs="Arial" w:eastAsia="Arial" w:hAnsi="Arial"/>
          <w:sz w:val="19"/>
          <w:szCs w:val="19"/>
          <w:color w:val="auto"/>
        </w:rPr>
        <w:t>that the Committee may delegate to an executive officer or officers the authority to grant Awards</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to employees who are not officers, and to consultants, in accordance with such guidelines as the Committee shall set forth at any time or from time to time. Subject to the provisions of the Plan, the Committee shall have complete authority, in its discretion, to make or to select the manner of making all determinations with respect to each Award to be granted by the Company under the Plan including the employee, consultant or director to receive the Award and the form of Award. In making such determinations, the Committee may take into account the nature of the services rendered by the respective employees, consultants, and directors, their present and potential contributions to the success of the Company and its Affiliates, and such other factors as the Committee in its discretion shall deem relevant. Subject to the provisions of the Plan, the Committee shall also have complete authority to: (a) 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Participant's termination of employment or other association with the Company on any of the foregoing, and (vi) 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Participant's termination of employment or other association with the Company;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and (g) to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w:t>
      </w: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Authorization of Grants</w:t>
      </w:r>
    </w:p>
    <w:p>
      <w:pPr>
        <w:spacing w:after="0" w:line="199" w:lineRule="exact"/>
        <w:rPr>
          <w:sz w:val="20"/>
          <w:szCs w:val="20"/>
          <w:color w:val="auto"/>
        </w:rPr>
      </w:pPr>
    </w:p>
    <w:p>
      <w:pPr>
        <w:ind w:firstLine="864"/>
        <w:spacing w:after="0" w:line="218" w:lineRule="auto"/>
        <w:rPr>
          <w:sz w:val="20"/>
          <w:szCs w:val="20"/>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The Committee may grant from time to time and at any time prior to the termination of the Plan one or more Awards, either alone or in combination with any other Awards, to any employee of or consultant to one or more of the Company and its Affiliates or to any non-employee member of the Board or of any board of directors (or similar governing authority) of any Affiliate. However, only employees of the Company, and of any parent 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7"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subsidiary corporations of the Company, as defined in Sections 424(e) and (f), respectively, of the Code, shall be eligible for the grant of an Incentive Option.</w:t>
      </w:r>
    </w:p>
    <w:p>
      <w:pPr>
        <w:spacing w:after="0" w:line="159" w:lineRule="exact"/>
        <w:rPr>
          <w:sz w:val="20"/>
          <w:szCs w:val="20"/>
          <w:color w:val="auto"/>
        </w:rPr>
      </w:pPr>
    </w:p>
    <w:p>
      <w:pPr>
        <w:ind w:right="40" w:firstLine="864"/>
        <w:spacing w:after="0" w:line="214" w:lineRule="auto"/>
        <w:rPr>
          <w:sz w:val="20"/>
          <w:szCs w:val="20"/>
          <w:color w:val="auto"/>
        </w:rPr>
      </w:pPr>
      <w:r>
        <w:rPr>
          <w:rFonts w:ascii="Arial" w:cs="Arial" w:eastAsia="Arial" w:hAnsi="Arial"/>
          <w:sz w:val="22"/>
          <w:szCs w:val="22"/>
          <w:u w:val="single" w:color="auto"/>
          <w:color w:val="auto"/>
        </w:rPr>
        <w:t>General Terms of Awards</w:t>
      </w:r>
      <w:r>
        <w:rPr>
          <w:rFonts w:ascii="Arial" w:cs="Arial" w:eastAsia="Arial" w:hAnsi="Arial"/>
          <w:sz w:val="22"/>
          <w:szCs w:val="22"/>
          <w:color w:val="auto"/>
        </w:rPr>
        <w:t>. Each grant of an Award shall be subject to all applicable terms and conditions of the Plan (including, but not limited to, any specific terms and conditions applicable to that type of Award set out in the following Section), and such other terms and conditions, not inconsistent with the terms of the Plan, as the Committee may prescribe. No prospective Participant shall have any rights with respect to an Award, unless and until such Participant shall have complied with the applicable terms and conditions of such Award (including if applicable delivering a fully executed copy of any agreement evidencing an Award to the Company).</w:t>
      </w:r>
    </w:p>
    <w:p>
      <w:pPr>
        <w:spacing w:after="0" w:line="159" w:lineRule="exact"/>
        <w:rPr>
          <w:sz w:val="20"/>
          <w:szCs w:val="20"/>
          <w:color w:val="auto"/>
        </w:rPr>
      </w:pPr>
    </w:p>
    <w:p>
      <w:pPr>
        <w:ind w:right="80" w:firstLine="648"/>
        <w:spacing w:after="0" w:line="221"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Minimum Vesting Periods</w:t>
      </w:r>
      <w:r>
        <w:rPr>
          <w:rFonts w:ascii="Arial" w:cs="Arial" w:eastAsia="Arial" w:hAnsi="Arial"/>
          <w:sz w:val="21"/>
          <w:szCs w:val="21"/>
          <w:color w:val="auto"/>
        </w:rPr>
        <w:t>. Notwithstanding any other provision of this Plan to the contrary, no Award shall vest, in whole or in part, before the first anniversary of the date of Grant or, in the case of vesting based upon the attainment of performance goals or other performance-based objectives, the first anniversary of the commencement of the period over which performance is evaluated; provided, however, that, notwithstanding the foregoing, (a) the Committee may provide that such vesting restrictions may lapse or be waived upon the Participant’s death, disability, or the consummation of a Corporate Transaction, and (b) Awards that result in the issuance of an aggregate of up to 5% of the shares available for grant pursuant to Section 4 (measured as of August 1, 2019) may be granted to any one or more Participants without respect to such minimum vesting provisions.</w:t>
      </w:r>
    </w:p>
    <w:p>
      <w:pPr>
        <w:spacing w:after="0" w:line="16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Effect of Termination of Employment, Disability or Death</w:t>
      </w:r>
      <w:r>
        <w:rPr>
          <w:rFonts w:ascii="Arial" w:cs="Arial" w:eastAsia="Arial" w:hAnsi="Arial"/>
          <w:sz w:val="19"/>
          <w:szCs w:val="19"/>
          <w:color w:val="auto"/>
        </w:rPr>
        <w:t>.</w:t>
      </w:r>
    </w:p>
    <w:p>
      <w:pPr>
        <w:spacing w:after="0" w:line="179" w:lineRule="exact"/>
        <w:rPr>
          <w:sz w:val="20"/>
          <w:szCs w:val="20"/>
          <w:color w:val="auto"/>
        </w:rPr>
      </w:pPr>
    </w:p>
    <w:p>
      <w:pPr>
        <w:ind w:right="100" w:firstLine="872"/>
        <w:spacing w:after="0" w:line="242" w:lineRule="auto"/>
        <w:tabs>
          <w:tab w:leader="none" w:pos="132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Unless the Committee shall provide otherwise with respect to any Award, if the Participant’s employment or other association with the Company and its Affiliates ends for any reason other than by total disability or death, including because of an Affiliate ceasing to be an Affiliate, (a) any outstanding Stock Right of the Participant shall cease to be exercisable in any respect not later than 90 days following that event and, for the period it remains exercisable following that event, shall be exercisable only to the extent exercisable at the date of that event, and (b)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director. Military or sick leave or other bona fide leave approved by the Company shall not be deemed a termination of employment or other association,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does not exceed the longer of six (6) months or the period during which the absent Participant’s reemployment rights, if any, are either guaranteed by statute or by contract or permitted by Company policy. To the extent consistent with applicable law, the Committee may provide that Awards continue to vest for some or all of the period of any such leave, or that their vesting shall be tolled during any such leave and only recommence upon the Participant’s return from leave, if ever.</w:t>
      </w:r>
    </w:p>
    <w:p>
      <w:pPr>
        <w:spacing w:after="0" w:line="376" w:lineRule="exact"/>
        <w:rPr>
          <w:rFonts w:ascii="Arial" w:cs="Arial" w:eastAsia="Arial" w:hAnsi="Arial"/>
          <w:sz w:val="19"/>
          <w:szCs w:val="19"/>
          <w:color w:val="auto"/>
        </w:rPr>
      </w:pPr>
    </w:p>
    <w:p>
      <w:pPr>
        <w:ind w:firstLine="872"/>
        <w:spacing w:after="0" w:line="216" w:lineRule="auto"/>
        <w:tabs>
          <w:tab w:leader="none" w:pos="1332"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Disability of Participant</w:t>
      </w:r>
      <w:r>
        <w:rPr>
          <w:rFonts w:ascii="Arial" w:cs="Arial" w:eastAsia="Arial" w:hAnsi="Arial"/>
          <w:sz w:val="22"/>
          <w:szCs w:val="22"/>
          <w:color w:val="auto"/>
        </w:rPr>
        <w:t>. If a Participant’s employment or other association with the Company and its Affiliates ends due to disability (as defined in Section 22(e)(3) of the Code), any outstanding Stock Right may be exercised at any time within six months following the date of termination of service, but only to the extent of the accrued right to exercise at the time of termination of service, subject to the condition that no Stock Right shall be exercised after its expiration in accordance with its terms.</w:t>
      </w:r>
    </w:p>
    <w:p>
      <w:pPr>
        <w:spacing w:after="0" w:line="157" w:lineRule="exact"/>
        <w:rPr>
          <w:rFonts w:ascii="Arial" w:cs="Arial" w:eastAsia="Arial" w:hAnsi="Arial"/>
          <w:sz w:val="22"/>
          <w:szCs w:val="22"/>
          <w:color w:val="auto"/>
        </w:rPr>
      </w:pPr>
    </w:p>
    <w:p>
      <w:pPr>
        <w:ind w:right="220" w:firstLine="872"/>
        <w:spacing w:after="0" w:line="223" w:lineRule="auto"/>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In the event of the death during the period during which the Stock Right may be exercised, of a Participant who is at the time of his or her death an employee, director or consultant and whose services had not ceased or been terminated (as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77" w:lineRule="exact"/>
        <w:rPr>
          <w:sz w:val="20"/>
          <w:szCs w:val="20"/>
          <w:color w:val="auto"/>
        </w:rPr>
      </w:pPr>
    </w:p>
    <w:p>
      <w:pPr>
        <w:ind w:right="20"/>
        <w:spacing w:after="0" w:line="226" w:lineRule="auto"/>
        <w:rPr>
          <w:sz w:val="20"/>
          <w:szCs w:val="20"/>
          <w:color w:val="auto"/>
        </w:rPr>
      </w:pPr>
      <w:r>
        <w:rPr>
          <w:rFonts w:ascii="Arial" w:cs="Arial" w:eastAsia="Arial" w:hAnsi="Arial"/>
          <w:sz w:val="21"/>
          <w:szCs w:val="21"/>
          <w:color w:val="auto"/>
        </w:rPr>
        <w:t>determined with regard to the second sentence of Section 6.4 (a))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 result of the Participant’s death, but only to the extent of the accrued right to exercise at the time of death, subject to the condition that no Stock Right shall be exercised after its expiration in accordance with its terms.</w:t>
      </w:r>
    </w:p>
    <w:p>
      <w:pPr>
        <w:spacing w:after="0" w:line="159" w:lineRule="exact"/>
        <w:rPr>
          <w:sz w:val="20"/>
          <w:szCs w:val="20"/>
          <w:color w:val="auto"/>
        </w:rPr>
      </w:pPr>
    </w:p>
    <w:p>
      <w:pPr>
        <w:ind w:right="40" w:firstLine="648"/>
        <w:spacing w:after="0" w:line="241"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Non-Transferability of Awards</w:t>
      </w:r>
      <w:r>
        <w:rPr>
          <w:rFonts w:ascii="Arial" w:cs="Arial" w:eastAsia="Arial" w:hAnsi="Arial"/>
          <w:sz w:val="19"/>
          <w:szCs w:val="19"/>
          <w:color w:val="auto"/>
        </w:rPr>
        <w:t xml:space="preserve">. Except as otherwise provided in this Section 6.4, Awards shall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 Nonstatutory Option, or shares of Restricted Stock, provide that such Award may be transferred by the recipient to a family member;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transfer is without payment of any consideration whatsoever and that no transfer shall be valid unless first approved by the Committee, acting in its sole discretion. For this purpose, “family member” means any child, stepchild, grandchild, parent, grandparent, stepparent, spouse, former spouse, sibling, niece, nephew, mother-in-law, father-in-law, son-in-law, daughter-in-law, brother-in-law, or sister-in-law, including adoptive relationships, any person sharing the employee’s household (other than a tenant or employee),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6.4 hereof or in the Award Agreement shall continue to be applied with respect to the original Participant, following which the Awards shall be exercisable by the transferee only to the extent, and for the periods specified in the Award Agreement or Section 6.4, as applicable.</w:t>
      </w:r>
    </w:p>
    <w:p>
      <w:pPr>
        <w:spacing w:after="0" w:line="384"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Code Limits on Grants of Qualified Performance-Based Awards</w:t>
      </w:r>
      <w:r>
        <w:rPr>
          <w:rFonts w:ascii="Arial" w:cs="Arial" w:eastAsia="Arial" w:hAnsi="Arial"/>
          <w:sz w:val="19"/>
          <w:szCs w:val="19"/>
          <w:color w:val="auto"/>
        </w:rPr>
        <w:t>. In no event shall the number of shares of Stock covered or referenced by either Options or Stock Appreciation Rights, or other Awards which are granted as Qualified Performance-Based Awards, to any one person in any one calendar year exceed 750,000 shares of Stock. These limitations shall not apply prior to the date required to apply under the regulations of the U.S. Department of Treasury promulgated under Section 162(m) of the Code, however. Solely for purposes of applying the limitations of this Section 6.6, if in effect, any shares of Stock subject to Options or Stock Appreciation Rights which are canceled (or deemed canceled, as a result of repricing described in applicable regulations of the U.S. Department of Treasury promulgated under Section 162(m) of the Code) shall nevertheless continue to be counted even after such cancellation (or deemed cancellation).</w:t>
      </w:r>
    </w:p>
    <w:p>
      <w:pPr>
        <w:spacing w:after="0" w:line="152"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Limitation on Grants of Awards to Non-Executive Directors</w:t>
      </w:r>
      <w:r>
        <w:rPr>
          <w:rFonts w:ascii="Arial" w:cs="Arial" w:eastAsia="Arial" w:hAnsi="Arial"/>
          <w:sz w:val="22"/>
          <w:szCs w:val="22"/>
          <w:color w:val="auto"/>
        </w:rPr>
        <w:t>. Notwithstanding any provision to the contrary in the Plan, the maximum aggregate grant date fair value of Awards granted to a Non-Employee Director during any calendar year shall be $650,000.</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Specific Terms of Awards</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23" w:lineRule="auto"/>
        <w:tabs>
          <w:tab w:leader="none" w:pos="175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Date of Grant</w:t>
      </w:r>
      <w:r>
        <w:rPr>
          <w:rFonts w:ascii="Arial" w:cs="Arial" w:eastAsia="Arial" w:hAnsi="Arial"/>
          <w:sz w:val="22"/>
          <w:szCs w:val="22"/>
          <w:color w:val="auto"/>
        </w:rPr>
        <w:t>. The granting of an Option shall take place at the time specified in the Award Agreement. Only if expressly so provided in the applicable Award Agreement shall the Grant Date be the date on which the Award Agreement shall have been duly executed and delivered by the Company and the Optionee.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77" w:lineRule="exact"/>
        <w:rPr>
          <w:sz w:val="20"/>
          <w:szCs w:val="20"/>
          <w:color w:val="auto"/>
        </w:rPr>
      </w:pPr>
    </w:p>
    <w:p>
      <w:pPr>
        <w:ind w:firstLine="1304"/>
        <w:spacing w:after="0" w:line="224" w:lineRule="auto"/>
        <w:tabs>
          <w:tab w:leader="none" w:pos="1764"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price at which shares of Stock may be acquired under each Incentive Option shall be not less than 100% of the Market Value of Stock on the Grant Date, or not less than 110% of the Market Value of Stock on the Grant Date if the Optionee is a Ten Percent Owner. The price at which shares of Stock may be acquired under each Nonstatutory Option shall not be less than the Market Value of Stock on the Grant Date. Notwithstanding the foregoing, Options may be granted with an exercise price of less than 100% of the Market Value of Stock on the Grant Date pursuant to a transaction described in, and in a manner consistent with, Section 424(a) of the Code.</w:t>
      </w:r>
    </w:p>
    <w:p>
      <w:pPr>
        <w:spacing w:after="0" w:line="159" w:lineRule="exact"/>
        <w:rPr>
          <w:rFonts w:ascii="Arial" w:cs="Arial" w:eastAsia="Arial" w:hAnsi="Arial"/>
          <w:sz w:val="21"/>
          <w:szCs w:val="21"/>
          <w:color w:val="auto"/>
        </w:rPr>
      </w:pPr>
    </w:p>
    <w:p>
      <w:pPr>
        <w:ind w:right="120" w:firstLine="1304"/>
        <w:spacing w:after="0" w:line="223" w:lineRule="auto"/>
        <w:tabs>
          <w:tab w:leader="none" w:pos="17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Option Period</w:t>
      </w:r>
      <w:r>
        <w:rPr>
          <w:rFonts w:ascii="Arial" w:cs="Arial" w:eastAsia="Arial" w:hAnsi="Arial"/>
          <w:sz w:val="22"/>
          <w:szCs w:val="22"/>
          <w:color w:val="auto"/>
        </w:rPr>
        <w:t>. No Option may be exercised on or after the tenth anniversary of the Grant Date, and, further, no Incentive Option may be exercised or on or after the fifth anniversary of the Grant Date if the Optionee is a Ten Percent Owner.</w:t>
      </w:r>
    </w:p>
    <w:p>
      <w:pPr>
        <w:spacing w:after="0" w:line="158" w:lineRule="exact"/>
        <w:rPr>
          <w:rFonts w:ascii="Arial" w:cs="Arial" w:eastAsia="Arial" w:hAnsi="Arial"/>
          <w:sz w:val="22"/>
          <w:szCs w:val="22"/>
          <w:color w:val="auto"/>
        </w:rPr>
      </w:pPr>
    </w:p>
    <w:p>
      <w:pPr>
        <w:ind w:right="80" w:firstLine="1304"/>
        <w:spacing w:after="0" w:line="226" w:lineRule="auto"/>
        <w:tabs>
          <w:tab w:leader="none" w:pos="1764"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Exercisability</w:t>
      </w:r>
      <w:r>
        <w:rPr>
          <w:rFonts w:ascii="Arial" w:cs="Arial" w:eastAsia="Arial" w:hAnsi="Arial"/>
          <w:sz w:val="21"/>
          <w:szCs w:val="21"/>
          <w:color w:val="auto"/>
        </w:rPr>
        <w:t xml:space="preserve">. An Option may be immediately exercisable or become exercisable in such installments, cumulative or non-cumulative, as the Committee may determine. In the case of an Option not otherwise immediately exercisable in full, the Committee may Accelerate such Option in whole or in part at any time;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the case of an Incentive Option, any such Acceleration of the Option would not cause the Option to fail to comply with the provisions of Section 422 of the Code or the Optionee consents to the Acceleration.</w:t>
      </w:r>
    </w:p>
    <w:p>
      <w:pPr>
        <w:spacing w:after="0" w:line="159" w:lineRule="exact"/>
        <w:rPr>
          <w:rFonts w:ascii="Arial" w:cs="Arial" w:eastAsia="Arial" w:hAnsi="Arial"/>
          <w:sz w:val="21"/>
          <w:szCs w:val="21"/>
          <w:color w:val="auto"/>
        </w:rPr>
      </w:pPr>
    </w:p>
    <w:p>
      <w:pPr>
        <w:ind w:right="80" w:firstLine="1304"/>
        <w:spacing w:after="0" w:line="214" w:lineRule="auto"/>
        <w:tabs>
          <w:tab w:leader="none" w:pos="17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An Option may be exercised by the Optionee giving written notice, in the manner provided in Section 16,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w:t>
      </w:r>
    </w:p>
    <w:p>
      <w:pPr>
        <w:spacing w:after="0" w:line="159" w:lineRule="exact"/>
        <w:rPr>
          <w:sz w:val="20"/>
          <w:szCs w:val="20"/>
          <w:color w:val="auto"/>
        </w:rPr>
      </w:pPr>
    </w:p>
    <w:p>
      <w:pPr>
        <w:ind w:left="660" w:right="660" w:firstLine="1292"/>
        <w:spacing w:after="0" w:line="232" w:lineRule="auto"/>
        <w:tabs>
          <w:tab w:leader="none" w:pos="2214" w:val="left"/>
        </w:tabs>
        <w:numPr>
          <w:ilvl w:val="0"/>
          <w:numId w:val="13"/>
        </w:numPr>
        <w:rPr>
          <w:rFonts w:ascii="Arial" w:cs="Arial" w:eastAsia="Arial" w:hAnsi="Arial"/>
          <w:sz w:val="22"/>
          <w:szCs w:val="22"/>
          <w:color w:val="auto"/>
        </w:rPr>
      </w:pPr>
      <w:r>
        <w:rPr>
          <w:rFonts w:ascii="Arial" w:cs="Arial" w:eastAsia="Arial" w:hAnsi="Arial"/>
          <w:sz w:val="22"/>
          <w:szCs w:val="22"/>
          <w:color w:val="auto"/>
        </w:rPr>
        <w:t>by delivery to the Company of shares of Stock having a Market Value equal to the exercise price of the shares to be purchased, or</w:t>
      </w:r>
    </w:p>
    <w:p>
      <w:pPr>
        <w:spacing w:after="0" w:line="158" w:lineRule="exact"/>
        <w:rPr>
          <w:rFonts w:ascii="Arial" w:cs="Arial" w:eastAsia="Arial" w:hAnsi="Arial"/>
          <w:sz w:val="22"/>
          <w:szCs w:val="22"/>
          <w:color w:val="auto"/>
        </w:rPr>
      </w:pPr>
    </w:p>
    <w:p>
      <w:pPr>
        <w:ind w:left="660" w:right="740" w:firstLine="1292"/>
        <w:spacing w:after="0" w:line="218" w:lineRule="auto"/>
        <w:tabs>
          <w:tab w:leader="none" w:pos="2274" w:val="left"/>
        </w:tabs>
        <w:numPr>
          <w:ilvl w:val="0"/>
          <w:numId w:val="13"/>
        </w:numPr>
        <w:rPr>
          <w:rFonts w:ascii="Arial" w:cs="Arial" w:eastAsia="Arial" w:hAnsi="Arial"/>
          <w:sz w:val="22"/>
          <w:szCs w:val="22"/>
          <w:color w:val="auto"/>
        </w:rPr>
      </w:pPr>
      <w:r>
        <w:rPr>
          <w:rFonts w:ascii="Arial" w:cs="Arial" w:eastAsia="Arial" w:hAnsi="Arial"/>
          <w:sz w:val="22"/>
          <w:szCs w:val="22"/>
          <w:color w:val="auto"/>
        </w:rPr>
        <w:t>by surrender of the Option as to all or part of the shares of Stock for which the Option is then exercisable in exchange for shares of Stock having an aggregate Market Value equal to the difference between (</w:t>
      </w:r>
      <w:r>
        <w:rPr>
          <w:rFonts w:ascii="Arial" w:cs="Arial" w:eastAsia="Arial" w:hAnsi="Arial"/>
          <w:sz w:val="22"/>
          <w:szCs w:val="22"/>
          <w:i w:val="1"/>
          <w:iCs w:val="1"/>
          <w:color w:val="auto"/>
        </w:rPr>
        <w:t>1</w:t>
      </w:r>
      <w:r>
        <w:rPr>
          <w:rFonts w:ascii="Arial" w:cs="Arial" w:eastAsia="Arial" w:hAnsi="Arial"/>
          <w:sz w:val="22"/>
          <w:szCs w:val="22"/>
          <w:color w:val="auto"/>
        </w:rPr>
        <w:t>) the aggregate Market Value of the surrendered portion of the Option, and (</w:t>
      </w:r>
      <w:r>
        <w:rPr>
          <w:rFonts w:ascii="Arial" w:cs="Arial" w:eastAsia="Arial" w:hAnsi="Arial"/>
          <w:sz w:val="22"/>
          <w:szCs w:val="22"/>
          <w:i w:val="1"/>
          <w:iCs w:val="1"/>
          <w:color w:val="auto"/>
        </w:rPr>
        <w:t>2</w:t>
      </w:r>
      <w:r>
        <w:rPr>
          <w:rFonts w:ascii="Arial" w:cs="Arial" w:eastAsia="Arial" w:hAnsi="Arial"/>
          <w:sz w:val="22"/>
          <w:szCs w:val="22"/>
          <w:color w:val="auto"/>
        </w:rPr>
        <w:t>) the aggregate exercise price under the Option for the surrendered portion of the Option, or</w:t>
      </w:r>
    </w:p>
    <w:p>
      <w:pPr>
        <w:spacing w:after="0" w:line="160" w:lineRule="exact"/>
        <w:rPr>
          <w:rFonts w:ascii="Arial" w:cs="Arial" w:eastAsia="Arial" w:hAnsi="Arial"/>
          <w:sz w:val="22"/>
          <w:szCs w:val="22"/>
          <w:color w:val="auto"/>
        </w:rPr>
      </w:pPr>
    </w:p>
    <w:p>
      <w:pPr>
        <w:ind w:left="660" w:right="960" w:firstLine="1292"/>
        <w:spacing w:after="0" w:line="223" w:lineRule="auto"/>
        <w:tabs>
          <w:tab w:leader="none" w:pos="2334" w:val="left"/>
        </w:tabs>
        <w:numPr>
          <w:ilvl w:val="0"/>
          <w:numId w:val="13"/>
        </w:numPr>
        <w:rPr>
          <w:rFonts w:ascii="Arial" w:cs="Arial" w:eastAsia="Arial" w:hAnsi="Arial"/>
          <w:sz w:val="22"/>
          <w:szCs w:val="22"/>
          <w:color w:val="auto"/>
        </w:rPr>
      </w:pPr>
      <w:r>
        <w:rPr>
          <w:rFonts w:ascii="Arial" w:cs="Arial" w:eastAsia="Arial" w:hAnsi="Arial"/>
          <w:sz w:val="22"/>
          <w:szCs w:val="22"/>
          <w:color w:val="auto"/>
        </w:rPr>
        <w:t>unless prohibited by applicable law, by delivery to the Company of the Optionee’s executed promissory note in the principal amount equal to the exercise price of the shares of Stock to be purchased and otherwise in such form as the Committee shall have approved, or</w:t>
      </w:r>
    </w:p>
    <w:p>
      <w:pPr>
        <w:spacing w:after="0" w:line="158" w:lineRule="exact"/>
        <w:rPr>
          <w:rFonts w:ascii="Arial" w:cs="Arial" w:eastAsia="Arial" w:hAnsi="Arial"/>
          <w:sz w:val="22"/>
          <w:szCs w:val="22"/>
          <w:color w:val="auto"/>
        </w:rPr>
      </w:pPr>
    </w:p>
    <w:p>
      <w:pPr>
        <w:ind w:left="2320" w:hanging="368"/>
        <w:spacing w:after="0"/>
        <w:tabs>
          <w:tab w:leader="none" w:pos="2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by delivery of any other lawful means of consideration which the Committee may approve.</w:t>
      </w:r>
    </w:p>
    <w:p>
      <w:pPr>
        <w:spacing w:after="0" w:line="179" w:lineRule="exact"/>
        <w:rPr>
          <w:sz w:val="20"/>
          <w:szCs w:val="20"/>
          <w:color w:val="auto"/>
        </w:rPr>
      </w:pPr>
    </w:p>
    <w:p>
      <w:pPr>
        <w:ind w:right="60"/>
        <w:spacing w:after="0" w:line="214" w:lineRule="auto"/>
        <w:rPr>
          <w:sz w:val="20"/>
          <w:szCs w:val="20"/>
          <w:color w:val="auto"/>
        </w:rPr>
      </w:pPr>
      <w:r>
        <w:rPr>
          <w:rFonts w:ascii="Arial" w:cs="Arial" w:eastAsia="Arial" w:hAnsi="Arial"/>
          <w:sz w:val="22"/>
          <w:szCs w:val="22"/>
          <w:color w:val="auto"/>
        </w:rPr>
        <w:t>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agent a certificate or certificates or book-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77" w:lineRule="exact"/>
        <w:rPr>
          <w:sz w:val="20"/>
          <w:szCs w:val="20"/>
          <w:color w:val="auto"/>
        </w:rPr>
      </w:pPr>
    </w:p>
    <w:p>
      <w:pPr>
        <w:ind w:right="140"/>
        <w:spacing w:after="0" w:line="229" w:lineRule="auto"/>
        <w:rPr>
          <w:sz w:val="20"/>
          <w:szCs w:val="20"/>
          <w:color w:val="auto"/>
        </w:rPr>
      </w:pPr>
      <w:r>
        <w:rPr>
          <w:rFonts w:ascii="Arial" w:cs="Arial" w:eastAsia="Arial" w:hAnsi="Arial"/>
          <w:sz w:val="21"/>
          <w:szCs w:val="21"/>
          <w:color w:val="auto"/>
        </w:rPr>
        <w:t>entry authorization and instruction to the Company’s transfer agent and registrar for the number of shares then being purchased. Such shares of Stock shall be fully paid and nonassessable. In its reasonable discretion, the Committee may suspend or halt Option exercises for such length of time as the Committee deems reasonably necessary under circumstances in which such suspension or halt is considered to be in the best interests of the Company.</w:t>
      </w:r>
    </w:p>
    <w:p>
      <w:pPr>
        <w:spacing w:after="0" w:line="158" w:lineRule="exact"/>
        <w:rPr>
          <w:sz w:val="20"/>
          <w:szCs w:val="20"/>
          <w:color w:val="auto"/>
        </w:rPr>
      </w:pPr>
    </w:p>
    <w:p>
      <w:pPr>
        <w:ind w:right="60" w:firstLine="1304"/>
        <w:spacing w:after="0" w:line="221" w:lineRule="auto"/>
        <w:tabs>
          <w:tab w:leader="none" w:pos="1728"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Limit on Incentive Option Characterization. An Incentive Option shall be considered to be an Incentive Option only to the extent that the number of shares of Stock for which the Option first becomes exercisable in a calendar year do not have an aggregate Market Value (as of the date of the grant of the Option) in excess of the “current limit”. The current limit for any Optionee for any calendar year shall be $100,000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aggregate Market Value at the date of grant of the number of shares of Stock available for purchase for the first time in the same year under each other Incentive Option previously granted to the Optionee under the Plan, and under each other incentive stock option previously granted to the Optionee under any other incentive stock option plan of the Company and its Affiliates. Any shares of Stock which would cause the foregoing limit to be violated shall be deemed to have been granted under a separate Nonstatutory Option, otherwise identical in its terms to those of the Incentive Option.</w:t>
      </w:r>
    </w:p>
    <w:p>
      <w:pPr>
        <w:spacing w:after="0" w:line="158" w:lineRule="exact"/>
        <w:rPr>
          <w:rFonts w:ascii="Arial" w:cs="Arial" w:eastAsia="Arial" w:hAnsi="Arial"/>
          <w:sz w:val="21"/>
          <w:szCs w:val="21"/>
          <w:color w:val="auto"/>
        </w:rPr>
      </w:pPr>
    </w:p>
    <w:p>
      <w:pPr>
        <w:ind w:firstLine="1304"/>
        <w:spacing w:after="0" w:line="224" w:lineRule="auto"/>
        <w:tabs>
          <w:tab w:leader="none" w:pos="1764"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Notification of Disposition</w:t>
      </w:r>
      <w:r>
        <w:rPr>
          <w:rFonts w:ascii="Arial" w:cs="Arial" w:eastAsia="Arial" w:hAnsi="Arial"/>
          <w:sz w:val="21"/>
          <w:szCs w:val="21"/>
          <w:color w:val="auto"/>
        </w:rPr>
        <w:t>. Each person exercising any Incentive Option granted under the Plan shall be deemed to have covenanted with the Company to report to the Company any disposition of the shares of Stock issued upon such exercise prior to the expiration of the holding periods specified by Section 422(a)(1) of the Code and, if and to the extent that the realization of income in such a disposition imposes upon the Company federal, state, local or other withholding tax requirements, or any such withholding is required to secure for the Company an otherwise available tax deduction, to remit to the Company an amount in cash sufficient to satisfy those requirements.</w:t>
      </w:r>
    </w:p>
    <w:p>
      <w:pPr>
        <w:spacing w:after="0" w:line="159" w:lineRule="exact"/>
        <w:rPr>
          <w:rFonts w:ascii="Arial" w:cs="Arial" w:eastAsia="Arial" w:hAnsi="Arial"/>
          <w:sz w:val="21"/>
          <w:szCs w:val="21"/>
          <w:color w:val="auto"/>
        </w:rPr>
      </w:pPr>
    </w:p>
    <w:p>
      <w:pPr>
        <w:ind w:right="320" w:firstLine="1304"/>
        <w:spacing w:after="0" w:line="232" w:lineRule="auto"/>
        <w:tabs>
          <w:tab w:leader="none" w:pos="1764" w:val="left"/>
        </w:tabs>
        <w:numPr>
          <w:ilvl w:val="0"/>
          <w:numId w:val="14"/>
        </w:numPr>
        <w:rPr>
          <w:rFonts w:ascii="Arial" w:cs="Arial" w:eastAsia="Arial" w:hAnsi="Arial"/>
          <w:sz w:val="22"/>
          <w:szCs w:val="22"/>
          <w:color w:val="auto"/>
        </w:rPr>
      </w:pPr>
      <w:r>
        <w:rPr>
          <w:rFonts w:ascii="Arial" w:cs="Arial" w:eastAsia="Arial" w:hAnsi="Arial"/>
          <w:sz w:val="22"/>
          <w:szCs w:val="22"/>
          <w:color w:val="auto"/>
        </w:rPr>
        <w:t>Participants shall not be entitled to receive payments equivalent to any dividends declared with respect to Stock referenced in the grant of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-2499360</wp:posOffset>
            </wp:positionV>
            <wp:extent cx="25139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179" w:lineRule="exact"/>
        <w:rPr>
          <w:sz w:val="20"/>
          <w:szCs w:val="20"/>
          <w:color w:val="auto"/>
        </w:rPr>
      </w:pPr>
    </w:p>
    <w:p>
      <w:pPr>
        <w:ind w:right="80" w:firstLine="1304"/>
        <w:spacing w:after="0" w:line="229" w:lineRule="auto"/>
        <w:tabs>
          <w:tab w:leader="none" w:pos="175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Tandem or Stand-Alone</w:t>
      </w:r>
      <w:r>
        <w:rPr>
          <w:rFonts w:ascii="Arial" w:cs="Arial" w:eastAsia="Arial" w:hAnsi="Arial"/>
          <w:sz w:val="21"/>
          <w:szCs w:val="21"/>
          <w:color w:val="auto"/>
        </w:rPr>
        <w:t>. Stock Appreciation Rights may be granted in tandem with an Option (at or, in the case of a Nonstatutory Option,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w:t>
      </w:r>
    </w:p>
    <w:p>
      <w:pPr>
        <w:spacing w:after="0" w:line="158" w:lineRule="exact"/>
        <w:rPr>
          <w:rFonts w:ascii="Arial" w:cs="Arial" w:eastAsia="Arial" w:hAnsi="Arial"/>
          <w:sz w:val="21"/>
          <w:szCs w:val="21"/>
          <w:color w:val="auto"/>
        </w:rPr>
      </w:pPr>
    </w:p>
    <w:p>
      <w:pPr>
        <w:ind w:firstLine="1304"/>
        <w:spacing w:after="0" w:line="223" w:lineRule="auto"/>
        <w:tabs>
          <w:tab w:leader="none" w:pos="1764"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Stock Appreciation Rights shall have an exercise price of not less than 100% of the Market Value of the Stock on the date of award, or in the case of Stock Appreciation Rights in tandem with Options, the exercise price of the related Option.</w:t>
      </w:r>
    </w:p>
    <w:p>
      <w:pPr>
        <w:spacing w:after="0" w:line="158" w:lineRule="exact"/>
        <w:rPr>
          <w:rFonts w:ascii="Arial" w:cs="Arial" w:eastAsia="Arial" w:hAnsi="Arial"/>
          <w:sz w:val="22"/>
          <w:szCs w:val="22"/>
          <w:color w:val="auto"/>
        </w:rPr>
      </w:pPr>
    </w:p>
    <w:p>
      <w:pPr>
        <w:ind w:firstLine="1304"/>
        <w:spacing w:after="0" w:line="221" w:lineRule="auto"/>
        <w:tabs>
          <w:tab w:leader="none" w:pos="175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Other Terms</w:t>
      </w:r>
      <w:r>
        <w:rPr>
          <w:rFonts w:ascii="Arial" w:cs="Arial" w:eastAsia="Arial" w:hAnsi="Arial"/>
          <w:sz w:val="21"/>
          <w:szCs w:val="21"/>
          <w:color w:val="auto"/>
        </w:rPr>
        <w:t>. Except as the Committee may deem inappropriate or inapplicable in the circumstances, Stock Appreciation Rights shall be subject to terms and conditions substantially similar to those applicable to a Nonstatutory Option. In addition, a Stock Appreciation Right related to an Option which can only be exercised during limited periods following a Corporate Transaction may entitle the Participant to receive an amount based upon the highest price paid or offered for Stock in any transaction relating to the Corporate Transaction or paid during the 30-day period immediately preceding the occurrence of the Corporate Transaction in any transaction reported in the stock market in which the Stock is normally traded. Participants shall not be entitled to receive payments equivalent to any dividends declared with respect to Stock referenced in the grant of a Stock Appreciation Right.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40" w:right="379" w:bottom="1440" w:gutter="0" w:footer="0" w:header="0"/>
        </w:sectPr>
      </w:pPr>
    </w:p>
    <w:bookmarkStart w:id="40" w:name="page41"/>
    <w:bookmarkEnd w:id="40"/>
    <w:p>
      <w:pPr>
        <w:spacing w:after="0" w:line="177" w:lineRule="exact"/>
        <w:rPr>
          <w:sz w:val="20"/>
          <w:szCs w:val="20"/>
          <w:color w:val="auto"/>
        </w:rPr>
      </w:pPr>
    </w:p>
    <w:p>
      <w:pPr>
        <w:ind w:left="-20" w:right="460" w:firstLine="1304"/>
        <w:spacing w:after="0" w:line="247" w:lineRule="auto"/>
        <w:tabs>
          <w:tab w:leader="none" w:pos="1732"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Purchase Price</w:t>
      </w:r>
      <w:r>
        <w:rPr>
          <w:rFonts w:ascii="Arial" w:cs="Arial" w:eastAsia="Arial" w:hAnsi="Arial"/>
          <w:sz w:val="21"/>
          <w:szCs w:val="21"/>
          <w:color w:val="auto"/>
        </w:rPr>
        <w:t>. Shares of Restricted Stock shall be issued under the Plan for such consideration, in cash, other property or services, or any combination thereof, as is determined by the Committee.</w:t>
      </w:r>
    </w:p>
    <w:p>
      <w:pPr>
        <w:spacing w:after="0" w:line="150" w:lineRule="exact"/>
        <w:rPr>
          <w:rFonts w:ascii="Arial" w:cs="Arial" w:eastAsia="Arial" w:hAnsi="Arial"/>
          <w:sz w:val="21"/>
          <w:szCs w:val="21"/>
          <w:color w:val="auto"/>
        </w:rPr>
      </w:pPr>
    </w:p>
    <w:p>
      <w:pPr>
        <w:ind w:left="-20" w:right="280" w:firstLine="1304"/>
        <w:spacing w:after="0" w:line="218" w:lineRule="auto"/>
        <w:tabs>
          <w:tab w:leader="none" w:pos="174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Issuance of Certificates</w:t>
      </w:r>
      <w:r>
        <w:rPr>
          <w:rFonts w:ascii="Arial" w:cs="Arial" w:eastAsia="Arial" w:hAnsi="Arial"/>
          <w:sz w:val="22"/>
          <w:szCs w:val="22"/>
          <w:color w:val="auto"/>
        </w:rPr>
        <w:t>. Each Participant receiving a Restricted Stock Award, subject to subsection (c) below, shall be issued a stock certificate in respect of such shares of Restricted Stock. Such certificate shall be registered in the name of such Participant, and, if applicable, shall bear an appropriate legend referring to the terms, conditions, and restrictions applicable to such Award substantially in the following form:</w:t>
      </w:r>
    </w:p>
    <w:p>
      <w:pPr>
        <w:spacing w:after="0" w:line="161" w:lineRule="exact"/>
        <w:rPr>
          <w:sz w:val="20"/>
          <w:szCs w:val="20"/>
          <w:color w:val="auto"/>
        </w:rPr>
      </w:pPr>
    </w:p>
    <w:p>
      <w:pPr>
        <w:ind w:left="640" w:right="860"/>
        <w:spacing w:after="0" w:line="218" w:lineRule="auto"/>
        <w:rPr>
          <w:sz w:val="20"/>
          <w:szCs w:val="20"/>
          <w:color w:val="auto"/>
        </w:rPr>
      </w:pPr>
      <w:r>
        <w:rPr>
          <w:rFonts w:ascii="Arial" w:cs="Arial" w:eastAsia="Arial" w:hAnsi="Arial"/>
          <w:sz w:val="22"/>
          <w:szCs w:val="22"/>
          <w:color w:val="auto"/>
        </w:rPr>
        <w:t>The shares evidenced by this certificate are subject to the terms and conditions of the 8x8, Inc. 2012 Equity Incentive Plan and an Award Agreement entered into by the registered owner and 8x8, Inc., copies of which will be furnished by the Company to the holder of the shares evidenced by this certificate upon written request and without charge.</w:t>
      </w:r>
    </w:p>
    <w:p>
      <w:pPr>
        <w:spacing w:after="0" w:line="161" w:lineRule="exact"/>
        <w:rPr>
          <w:sz w:val="20"/>
          <w:szCs w:val="20"/>
          <w:color w:val="auto"/>
        </w:rPr>
      </w:pPr>
    </w:p>
    <w:p>
      <w:pPr>
        <w:ind w:left="-20" w:right="120" w:firstLine="1304"/>
        <w:spacing w:after="0" w:line="268" w:lineRule="auto"/>
        <w:tabs>
          <w:tab w:leader="none" w:pos="173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Escrow of Shares</w:t>
      </w:r>
      <w:r>
        <w:rPr>
          <w:rFonts w:ascii="Arial" w:cs="Arial" w:eastAsia="Arial" w:hAnsi="Arial"/>
          <w:sz w:val="19"/>
          <w:szCs w:val="19"/>
          <w:color w:val="auto"/>
        </w:rPr>
        <w:t>.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132" w:lineRule="exact"/>
        <w:rPr>
          <w:rFonts w:ascii="Arial" w:cs="Arial" w:eastAsia="Arial" w:hAnsi="Arial"/>
          <w:sz w:val="19"/>
          <w:szCs w:val="19"/>
          <w:color w:val="auto"/>
        </w:rPr>
      </w:pPr>
    </w:p>
    <w:p>
      <w:pPr>
        <w:ind w:left="-20" w:firstLine="1304"/>
        <w:spacing w:after="0" w:line="226" w:lineRule="auto"/>
        <w:tabs>
          <w:tab w:leader="none" w:pos="1744"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Restrictions and Restriction Period</w:t>
      </w:r>
      <w:r>
        <w:rPr>
          <w:rFonts w:ascii="Arial" w:cs="Arial" w:eastAsia="Arial" w:hAnsi="Arial"/>
          <w:sz w:val="21"/>
          <w:szCs w:val="21"/>
          <w:color w:val="auto"/>
        </w:rPr>
        <w:t>.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159" w:lineRule="exact"/>
        <w:rPr>
          <w:rFonts w:ascii="Arial" w:cs="Arial" w:eastAsia="Arial" w:hAnsi="Arial"/>
          <w:sz w:val="21"/>
          <w:szCs w:val="21"/>
          <w:color w:val="auto"/>
        </w:rPr>
      </w:pPr>
    </w:p>
    <w:p>
      <w:pPr>
        <w:ind w:left="-20" w:right="60" w:firstLine="1304"/>
        <w:spacing w:after="0" w:line="246" w:lineRule="auto"/>
        <w:tabs>
          <w:tab w:leader="none" w:pos="173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Rights Pending Lapse of Risk of Forfeiture or Forfeiture of Award</w:t>
      </w:r>
      <w:r>
        <w:rPr>
          <w:rFonts w:ascii="Arial" w:cs="Arial" w:eastAsia="Arial" w:hAnsi="Arial"/>
          <w:sz w:val="19"/>
          <w:szCs w:val="19"/>
          <w:color w:val="auto"/>
        </w:rPr>
        <w:t>.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(but any dividends or other distributions payable in shares of Stock or other securities of the Company shall constitute additional Restricted Stock, subject to the same Risk of Forfeiture as the shares of Restricted Stock in respect of which such shares of Stock or other securities are paid). The Committee, as determined at the time of Award, may permit or require the payment of cash dividends to be deferred and, if the Committee so determines, reinvested in additional Restricted Stock to the extent shares of Stock are available under Section 4.</w:t>
      </w:r>
    </w:p>
    <w:p>
      <w:pPr>
        <w:spacing w:after="0" w:line="152" w:lineRule="exact"/>
        <w:rPr>
          <w:rFonts w:ascii="Arial" w:cs="Arial" w:eastAsia="Arial" w:hAnsi="Arial"/>
          <w:sz w:val="19"/>
          <w:szCs w:val="19"/>
          <w:color w:val="auto"/>
        </w:rPr>
      </w:pPr>
    </w:p>
    <w:p>
      <w:pPr>
        <w:ind w:left="-20" w:right="220" w:firstLine="1304"/>
        <w:spacing w:after="0" w:line="298" w:lineRule="auto"/>
        <w:tabs>
          <w:tab w:leader="none" w:pos="170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Lapse of Restrictions</w:t>
      </w:r>
      <w:r>
        <w:rPr>
          <w:rFonts w:ascii="Arial" w:cs="Arial" w:eastAsia="Arial" w:hAnsi="Arial"/>
          <w:sz w:val="19"/>
          <w:szCs w:val="19"/>
          <w:color w:val="auto"/>
        </w:rPr>
        <w:t>. If and when the Restriction Period expires without a prior forfeiture of the Restricted Stock, the certificates for such shares shall be delivered to the Participant promptly if not theretofore so delivered.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40" w:right="339" w:bottom="1440" w:gutter="0" w:footer="0" w:header="0"/>
        </w:sectPr>
      </w:pPr>
    </w:p>
    <w:bookmarkStart w:id="41" w:name="page42"/>
    <w:bookmarkEnd w:id="41"/>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179" w:lineRule="exact"/>
        <w:rPr>
          <w:sz w:val="20"/>
          <w:szCs w:val="20"/>
          <w:color w:val="auto"/>
        </w:rPr>
      </w:pPr>
    </w:p>
    <w:p>
      <w:pPr>
        <w:ind w:right="40" w:firstLine="1304"/>
        <w:spacing w:after="0" w:line="252" w:lineRule="auto"/>
        <w:tabs>
          <w:tab w:leader="none" w:pos="17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Character</w:t>
      </w:r>
      <w:r>
        <w:rPr>
          <w:rFonts w:ascii="Arial" w:cs="Arial" w:eastAsia="Arial" w:hAnsi="Arial"/>
          <w:sz w:val="19"/>
          <w:szCs w:val="19"/>
          <w:color w:val="auto"/>
        </w:rPr>
        <w:t>. Each Restricted Stock Unit shall entitle the recipient to one or more shares of Stock at a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148" w:lineRule="exact"/>
        <w:rPr>
          <w:rFonts w:ascii="Arial" w:cs="Arial" w:eastAsia="Arial" w:hAnsi="Arial"/>
          <w:sz w:val="19"/>
          <w:szCs w:val="19"/>
          <w:color w:val="auto"/>
        </w:rPr>
      </w:pPr>
    </w:p>
    <w:p>
      <w:pPr>
        <w:ind w:right="60" w:firstLine="1304"/>
        <w:spacing w:after="0" w:line="226" w:lineRule="auto"/>
        <w:tabs>
          <w:tab w:leader="none" w:pos="1764"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shall be made in a single lump sum following the close of the applicable Restriction Period. At the discretion of the Committee, Participants may be entitled to receive payments equivalent to any dividends declared with respect to Stock referenced in grants of Restricted Stock Units but only following the close of the applicable Restriction Period and then only if the underlying Stock shall have been earned. Any such dividend equivalents shall be paid, if at all, without interest or other earnings.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Performance Units</w:t>
      </w:r>
      <w:r>
        <w:rPr>
          <w:rFonts w:ascii="Arial" w:cs="Arial" w:eastAsia="Arial" w:hAnsi="Arial"/>
          <w:sz w:val="22"/>
          <w:szCs w:val="22"/>
          <w:color w:val="auto"/>
        </w:rPr>
        <w:t>.</w:t>
      </w:r>
    </w:p>
    <w:p>
      <w:pPr>
        <w:spacing w:after="0" w:line="179" w:lineRule="exact"/>
        <w:rPr>
          <w:sz w:val="20"/>
          <w:szCs w:val="20"/>
          <w:color w:val="auto"/>
        </w:rPr>
      </w:pPr>
    </w:p>
    <w:p>
      <w:pPr>
        <w:ind w:right="120" w:firstLine="1304"/>
        <w:spacing w:after="0" w:line="218" w:lineRule="auto"/>
        <w:tabs>
          <w:tab w:leader="none" w:pos="175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Character</w:t>
      </w:r>
      <w:r>
        <w:rPr>
          <w:rFonts w:ascii="Arial" w:cs="Arial" w:eastAsia="Arial" w:hAnsi="Arial"/>
          <w:sz w:val="22"/>
          <w:szCs w:val="22"/>
          <w:color w:val="auto"/>
        </w:rPr>
        <w:t>. Each Performance Unit shall entitle the recipient to the value of a specified number of shares of Stock, over the initial value for such number of shares, if any, established by the Committee at the time of grant, at the close of a specified Performance Period to the extent specified business objectives, including, but not limited to, Performance Goals, shall have been achieved.</w:t>
      </w:r>
    </w:p>
    <w:p>
      <w:pPr>
        <w:spacing w:after="0" w:line="160" w:lineRule="exact"/>
        <w:rPr>
          <w:rFonts w:ascii="Arial" w:cs="Arial" w:eastAsia="Arial" w:hAnsi="Arial"/>
          <w:sz w:val="22"/>
          <w:szCs w:val="22"/>
          <w:color w:val="auto"/>
        </w:rPr>
      </w:pPr>
    </w:p>
    <w:p>
      <w:pPr>
        <w:ind w:firstLine="1304"/>
        <w:spacing w:after="0" w:line="224" w:lineRule="auto"/>
        <w:tabs>
          <w:tab w:leader="none" w:pos="1764"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Earning of Performance Units</w:t>
      </w:r>
      <w:r>
        <w:rPr>
          <w:rFonts w:ascii="Arial" w:cs="Arial" w:eastAsia="Arial" w:hAnsi="Arial"/>
          <w:sz w:val="21"/>
          <w:szCs w:val="21"/>
          <w:color w:val="auto"/>
        </w:rPr>
        <w:t>. The Committee shall set Performance Goals or other business objectives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or other business objectives have been achieved.</w:t>
      </w:r>
    </w:p>
    <w:p>
      <w:pPr>
        <w:spacing w:after="0" w:line="159" w:lineRule="exact"/>
        <w:rPr>
          <w:rFonts w:ascii="Arial" w:cs="Arial" w:eastAsia="Arial" w:hAnsi="Arial"/>
          <w:sz w:val="21"/>
          <w:szCs w:val="21"/>
          <w:color w:val="auto"/>
        </w:rPr>
      </w:pPr>
    </w:p>
    <w:p>
      <w:pPr>
        <w:ind w:firstLine="1304"/>
        <w:spacing w:after="0" w:line="221" w:lineRule="auto"/>
        <w:tabs>
          <w:tab w:leader="none" w:pos="1752"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Performance Units shall be made in a single lump sum following the close of the applicable Performance Period. Participants shall not be entitled to receive payments equivalent to any dividends declared with respect to Stock referenced in grants of Performance Units, except that, at the discretion of the Committee, Participants may be entitled to receive such payments following the close of the Performance Period, if the Performance Units have been earned. Any such dividend equivalents shall be paid, if at all, without interest or other earnings.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 deferral election is required or permitted, the Committee shall establish rules and procedures for such payment deferrals.</w:t>
      </w:r>
    </w:p>
    <w:p>
      <w:pPr>
        <w:spacing w:after="0" w:line="159" w:lineRule="exact"/>
        <w:rPr>
          <w:sz w:val="20"/>
          <w:szCs w:val="20"/>
          <w:color w:val="auto"/>
        </w:rPr>
      </w:pPr>
    </w:p>
    <w:p>
      <w:pPr>
        <w:jc w:val="both"/>
        <w:ind w:right="120" w:firstLine="864"/>
        <w:spacing w:after="0" w:line="218" w:lineRule="auto"/>
        <w:rPr>
          <w:sz w:val="20"/>
          <w:szCs w:val="20"/>
          <w:color w:val="auto"/>
        </w:rPr>
      </w:pPr>
      <w:r>
        <w:rPr>
          <w:rFonts w:ascii="Arial" w:cs="Arial" w:eastAsia="Arial" w:hAnsi="Arial"/>
          <w:sz w:val="22"/>
          <w:szCs w:val="22"/>
          <w:u w:val="single" w:color="auto"/>
          <w:color w:val="auto"/>
        </w:rPr>
        <w:t>Stock Grants</w:t>
      </w:r>
      <w:r>
        <w:rPr>
          <w:rFonts w:ascii="Arial" w:cs="Arial" w:eastAsia="Arial" w:hAnsi="Arial"/>
          <w:sz w:val="22"/>
          <w:szCs w:val="22"/>
          <w:color w:val="auto"/>
        </w:rPr>
        <w:t>. Stock Grants shall be awarded solely in recognition of significant prior or expected contributions to the success of the Company or its Affiliates, as an inducement to employment, in lieu of compensation otherwise already due and in such other limited circumstances as the Committee deems appropriate. Stock Grants shall be made without forfeiture conditions of any kind.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77" w:lineRule="exact"/>
        <w:rPr>
          <w:sz w:val="20"/>
          <w:szCs w:val="20"/>
          <w:color w:val="auto"/>
        </w:rPr>
      </w:pPr>
    </w:p>
    <w:p>
      <w:pPr>
        <w:ind w:left="860"/>
        <w:spacing w:after="0"/>
        <w:rPr>
          <w:sz w:val="20"/>
          <w:szCs w:val="20"/>
          <w:color w:val="auto"/>
        </w:rPr>
      </w:pPr>
      <w:r>
        <w:rPr>
          <w:rFonts w:ascii="Arial" w:cs="Arial" w:eastAsia="Arial" w:hAnsi="Arial"/>
          <w:sz w:val="22"/>
          <w:szCs w:val="22"/>
          <w:u w:val="single" w:color="auto"/>
          <w:color w:val="auto"/>
        </w:rPr>
        <w:t>Qualified Performance-Based Awards</w:t>
      </w:r>
      <w:r>
        <w:rPr>
          <w:rFonts w:ascii="Arial" w:cs="Arial" w:eastAsia="Arial" w:hAnsi="Arial"/>
          <w:sz w:val="22"/>
          <w:szCs w:val="22"/>
          <w:color w:val="auto"/>
        </w:rPr>
        <w:t>.</w:t>
      </w:r>
    </w:p>
    <w:p>
      <w:pPr>
        <w:spacing w:after="0" w:line="179" w:lineRule="exact"/>
        <w:rPr>
          <w:sz w:val="20"/>
          <w:szCs w:val="20"/>
          <w:color w:val="auto"/>
        </w:rPr>
      </w:pPr>
    </w:p>
    <w:p>
      <w:pPr>
        <w:ind w:left="-20" w:right="40" w:firstLine="1304"/>
        <w:spacing w:after="0" w:line="221" w:lineRule="auto"/>
        <w:tabs>
          <w:tab w:leader="none" w:pos="1732"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this Section 7.7 is to provide the Committee the ability to qualify Awards as “performance-based compensation” under Section 162(m) of the Code. If the Committee, in its discretion, decides to grant an Award as a Qualified Performance-Based Award, the provisions of this Section 7.7 will control over any contrary provision contained in the Plan. In the course of granting any Award, the Committee may specifically designate the Award as intended to qualify as a Qualified Performance-Based Award. However, no Award shall be considered to have failed to qualify as a Qualified Performance-Based Award solely because the Award is not expressly designated as a Qualified Performance-Based Award, if the Award otherwise satisfies the provisions of this Section 7.7 and the requirements of Section 162(m) of the Code applicable to “performance-based compensation.”</w:t>
      </w:r>
    </w:p>
    <w:p>
      <w:pPr>
        <w:spacing w:after="0" w:line="165" w:lineRule="exact"/>
        <w:rPr>
          <w:rFonts w:ascii="Arial" w:cs="Arial" w:eastAsia="Arial" w:hAnsi="Arial"/>
          <w:sz w:val="21"/>
          <w:szCs w:val="21"/>
          <w:color w:val="auto"/>
        </w:rPr>
      </w:pPr>
    </w:p>
    <w:p>
      <w:pPr>
        <w:ind w:left="-20" w:right="160" w:firstLine="1304"/>
        <w:spacing w:after="0" w:line="247" w:lineRule="auto"/>
        <w:tabs>
          <w:tab w:leader="none" w:pos="1744"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All grants of Awards intended to qualify as Qualified Performance-Based Awards and the determination of the terms applicable thereto shall be made by the Committee. If not all of the members thereof qualify as “outside directors” within the meaning of Section 162(m) of the Code, however, all grants of Awards intended to qualify as Qualified Performance-Based Awards and the determination of the terms applicable thereto shall be made by a subcommittee of the Committee consisting of such of the members of the Committee as do so qualify. Any reference in this Section 7.7 to the Committee shall mean any such subcommittee if required under the preceding sentence, and any action by such a subcommittee shall be considered the action of the Committee for purposes of the Plan.</w:t>
      </w:r>
    </w:p>
    <w:p>
      <w:pPr>
        <w:spacing w:after="0" w:line="153" w:lineRule="exact"/>
        <w:rPr>
          <w:rFonts w:ascii="Arial" w:cs="Arial" w:eastAsia="Arial" w:hAnsi="Arial"/>
          <w:sz w:val="19"/>
          <w:szCs w:val="19"/>
          <w:color w:val="auto"/>
        </w:rPr>
      </w:pPr>
    </w:p>
    <w:p>
      <w:pPr>
        <w:ind w:left="-20" w:firstLine="1304"/>
        <w:spacing w:after="0" w:line="241" w:lineRule="auto"/>
        <w:tabs>
          <w:tab w:leader="none" w:pos="173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Discretion of Committee with Respect to Qualified Performance-Based Awards</w:t>
      </w:r>
      <w:r>
        <w:rPr>
          <w:rFonts w:ascii="Arial" w:cs="Arial" w:eastAsia="Arial" w:hAnsi="Arial"/>
          <w:sz w:val="19"/>
          <w:szCs w:val="19"/>
          <w:color w:val="auto"/>
        </w:rPr>
        <w:t>. Any form of Award permitted under the Plan, other than a Stock Grant, may be granted as a Qualified Performance-Based Award. Stock Rights may be granted as Qualified Performance-Based Awards in accordance with Section 7.1 or Section 7.2, as appropriate, except that the exercise price of any Option or Stock Appreciation Right intended to qualify as a Qualified Performance-Based Award shall in no event be less than the Market Value of the Stock on the date of grant, and may become exercisable based on continued service, on satisfaction of Performance Goals, or on a combination thereof. Each other Award intended to qualify as a Qualified Performance-Based Award, such as Restricted Stock, Restricted Stock Units, or Performance Units, shall be subject to satisfaction of one or more Performance Goals except as otherwise provided in this Section 7.7. The Committee will have full discretion to select the length of any applicable Restriction Period or Performance Period, the kind and/or level of the applicable Performance Goal, and whether the Performance Goal is to apply to the Company, a subsidiary of the Company or any division or business unit or to the individual. Any Performance Goal or Goals applicable to Qualified Performance-Based Awards shall be objective, shall be established not later than 90 days after the beginning of any applicable Performance Period (or at such other date as may be required or permitted for “performance-based compensation” under Section 162(m) of the Code) and shall otherwise meet the requirements of Section 162(m) of the Code, including the requirement that the outcome of the Performance Goal or Goals be substantially uncertain (as defined for purposes of Section 162(m) of the Code) at the time established.</w:t>
      </w:r>
    </w:p>
    <w:p>
      <w:pPr>
        <w:spacing w:after="0" w:line="165" w:lineRule="exact"/>
        <w:rPr>
          <w:rFonts w:ascii="Arial" w:cs="Arial" w:eastAsia="Arial" w:hAnsi="Arial"/>
          <w:sz w:val="19"/>
          <w:szCs w:val="19"/>
          <w:color w:val="auto"/>
        </w:rPr>
      </w:pPr>
    </w:p>
    <w:p>
      <w:pPr>
        <w:ind w:left="-20" w:right="100" w:firstLine="1304"/>
        <w:spacing w:after="0" w:line="247" w:lineRule="auto"/>
        <w:tabs>
          <w:tab w:leader="none" w:pos="1744"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Payment of Qualified Performance-Based Awards</w:t>
      </w:r>
      <w:r>
        <w:rPr>
          <w:rFonts w:ascii="Arial" w:cs="Arial" w:eastAsia="Arial" w:hAnsi="Arial"/>
          <w:sz w:val="19"/>
          <w:szCs w:val="19"/>
          <w:color w:val="auto"/>
        </w:rPr>
        <w:t xml:space="preserve">. A Participant will be eligible to receive payment under a Qualified Performance-Based Award which is subject to achievement of a Performance Goal or Goals only if the applicable Performance Goal or Goals are achieved within the applicable Performance Period, as determined by the Committee, </w:t>
      </w:r>
      <w:r>
        <w:rPr>
          <w:rFonts w:ascii="Arial" w:cs="Arial" w:eastAsia="Arial" w:hAnsi="Arial"/>
          <w:sz w:val="19"/>
          <w:szCs w:val="19"/>
          <w:i w:val="1"/>
          <w:iCs w:val="1"/>
          <w:color w:val="auto"/>
        </w:rPr>
        <w:t>provided</w:t>
      </w:r>
      <w:r>
        <w:rPr>
          <w:rFonts w:ascii="Arial" w:cs="Arial" w:eastAsia="Arial" w:hAnsi="Arial"/>
          <w:sz w:val="19"/>
          <w:szCs w:val="19"/>
          <w:color w:val="auto"/>
        </w:rPr>
        <w:t>, that a Qualified Performance-Based Award may be deemed earned as a result of death, becoming disabled, or in connection with a Corporate Transaction that constitutes a change of control within the meaning of Section 162(m) of the Code, if the applicable Award Agreement so provides, even if payment under the Award following the occurrence of such an event would not constitute “performance-based compensation” under Section 162(m) of the Code. In determining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40" w:top="1440" w:right="359" w:bottom="1440" w:gutter="0" w:footer="0" w:header="0"/>
        </w:sectPr>
      </w:pPr>
    </w:p>
    <w:bookmarkStart w:id="43" w:name="page44"/>
    <w:bookmarkEnd w:id="43"/>
    <w:p>
      <w:pPr>
        <w:spacing w:after="0" w:line="177"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the actual size of an individual Qualified Performance-Based Award, the Committee may reduce or eliminate the amount of the Qualified Performance-Based Award earned for the Performance Period, if in its sole and absolute discretion it deems such reduction or elimination is appropriate.</w:t>
      </w:r>
    </w:p>
    <w:p>
      <w:pPr>
        <w:spacing w:after="0" w:line="159" w:lineRule="exact"/>
        <w:rPr>
          <w:sz w:val="20"/>
          <w:szCs w:val="20"/>
          <w:color w:val="auto"/>
        </w:rPr>
      </w:pPr>
    </w:p>
    <w:p>
      <w:pPr>
        <w:ind w:right="260" w:firstLine="1304"/>
        <w:spacing w:after="0" w:line="268" w:lineRule="auto"/>
        <w:tabs>
          <w:tab w:leader="none" w:pos="1752"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Limitation on Adjustments for Certain Events</w:t>
      </w:r>
      <w:r>
        <w:rPr>
          <w:rFonts w:ascii="Arial" w:cs="Arial" w:eastAsia="Arial" w:hAnsi="Arial"/>
          <w:sz w:val="19"/>
          <w:szCs w:val="19"/>
          <w:color w:val="auto"/>
        </w:rPr>
        <w:t>. Subject to paragraph (d) above, no adjustment of any Qualified Performance-Based Award pursuant to Section 8 shall be made except on such basis, if any, as will not cause such Award to provide other than “performance-based compensation” within the meaning of Section 162(m) of the Code.</w:t>
      </w:r>
    </w:p>
    <w:p>
      <w:pPr>
        <w:spacing w:after="0" w:line="132" w:lineRule="exact"/>
        <w:rPr>
          <w:rFonts w:ascii="Arial" w:cs="Arial" w:eastAsia="Arial" w:hAnsi="Arial"/>
          <w:sz w:val="19"/>
          <w:szCs w:val="19"/>
          <w:color w:val="auto"/>
        </w:rPr>
      </w:pPr>
    </w:p>
    <w:p>
      <w:pPr>
        <w:ind w:left="1740" w:hanging="436"/>
        <w:spacing w:after="0"/>
        <w:tabs>
          <w:tab w:leader="none" w:pos="174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the Plan</w:t>
      </w:r>
    </w:p>
    <w:p>
      <w:pPr>
        <w:spacing w:after="0" w:line="179" w:lineRule="exact"/>
        <w:rPr>
          <w:rFonts w:ascii="Arial" w:cs="Arial" w:eastAsia="Arial" w:hAnsi="Arial"/>
          <w:sz w:val="22"/>
          <w:szCs w:val="22"/>
          <w:color w:val="auto"/>
        </w:rPr>
      </w:pPr>
    </w:p>
    <w:p>
      <w:pPr>
        <w:jc w:val="both"/>
        <w:ind w:left="660" w:right="440" w:firstLine="1292"/>
        <w:spacing w:after="0" w:line="242" w:lineRule="auto"/>
        <w:tabs>
          <w:tab w:leader="none" w:pos="2376" w:val="left"/>
        </w:tabs>
        <w:numPr>
          <w:ilvl w:val="2"/>
          <w:numId w:val="21"/>
        </w:numPr>
        <w:rPr>
          <w:rFonts w:ascii="Arial" w:cs="Arial" w:eastAsia="Arial" w:hAnsi="Arial"/>
          <w:sz w:val="19"/>
          <w:szCs w:val="19"/>
          <w:color w:val="auto"/>
        </w:rPr>
      </w:pPr>
      <w:r>
        <w:rPr>
          <w:rFonts w:ascii="Arial" w:cs="Arial" w:eastAsia="Arial" w:hAnsi="Arial"/>
          <w:sz w:val="19"/>
          <w:szCs w:val="19"/>
          <w:u w:val="single" w:color="auto"/>
          <w:color w:val="auto"/>
        </w:rPr>
        <w:t>Performance Criteria</w:t>
      </w:r>
      <w:r>
        <w:rPr>
          <w:rFonts w:ascii="Arial" w:cs="Arial" w:eastAsia="Arial" w:hAnsi="Arial"/>
          <w:sz w:val="19"/>
          <w:szCs w:val="19"/>
          <w:color w:val="auto"/>
        </w:rPr>
        <w:t xml:space="preserve"> means the criteria that the Committee selects for purposes of establishing the Performance Goal or Performance Goals for a Participant for a Performance Period. The Performance Criteria used to establish Performance Goals are limited to: (i) cash flow (before or after dividends), (ii) earnings per share (including, without limitation, earnings before interest, taxes, depreciation and amortization), (iii) stock price,</w:t>
      </w:r>
    </w:p>
    <w:p>
      <w:pPr>
        <w:ind w:left="660" w:right="500" w:hanging="4"/>
        <w:spacing w:after="0" w:line="237" w:lineRule="auto"/>
        <w:tabs>
          <w:tab w:leader="none" w:pos="1026"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return on equity, (v) stockholder return or total stockholder return, (vi) return on capital (including, without limitation, return on total capital or return on invested capital), (vii) return on investment, (viii) return on assets or net assets, (ix) market capitalization, (x) economic value added, (xi) debt leverage (debt to capital), (xii) revenue,</w:t>
      </w:r>
    </w:p>
    <w:p>
      <w:pPr>
        <w:ind w:left="660" w:right="480" w:hanging="4"/>
        <w:spacing w:after="0" w:line="237" w:lineRule="auto"/>
        <w:tabs>
          <w:tab w:leader="none" w:pos="1146" w:val="left"/>
        </w:tabs>
        <w:numPr>
          <w:ilvl w:val="0"/>
          <w:numId w:val="23"/>
        </w:numPr>
        <w:rPr>
          <w:rFonts w:ascii="Arial" w:cs="Arial" w:eastAsia="Arial" w:hAnsi="Arial"/>
          <w:sz w:val="19"/>
          <w:szCs w:val="19"/>
          <w:color w:val="auto"/>
        </w:rPr>
      </w:pPr>
      <w:r>
        <w:rPr>
          <w:rFonts w:ascii="Arial" w:cs="Arial" w:eastAsia="Arial" w:hAnsi="Arial"/>
          <w:sz w:val="19"/>
          <w:szCs w:val="19"/>
          <w:color w:val="auto"/>
        </w:rPr>
        <w:t>sales or net sales, (xiv) backlog, (xv) income, pre-tax income or net income, (xvi) operating income or pre-tax profit, (xvii) operating profit, net operating profit or economic profit, (xviii) gross margin, operating margin or profit margin, (xix) return on operating revenue or return on operating assets, (xx) cash from operations,</w:t>
      </w:r>
    </w:p>
    <w:p>
      <w:pPr>
        <w:ind w:left="660" w:right="400" w:hanging="4"/>
        <w:spacing w:after="0" w:line="224" w:lineRule="auto"/>
        <w:tabs>
          <w:tab w:leader="none" w:pos="1134" w:val="left"/>
        </w:tabs>
        <w:numPr>
          <w:ilvl w:val="0"/>
          <w:numId w:val="24"/>
        </w:numPr>
        <w:rPr>
          <w:rFonts w:ascii="Arial" w:cs="Arial" w:eastAsia="Arial" w:hAnsi="Arial"/>
          <w:sz w:val="22"/>
          <w:szCs w:val="22"/>
          <w:color w:val="auto"/>
        </w:rPr>
      </w:pPr>
      <w:r>
        <w:rPr>
          <w:rFonts w:ascii="Arial" w:cs="Arial" w:eastAsia="Arial" w:hAnsi="Arial"/>
          <w:sz w:val="22"/>
          <w:szCs w:val="22"/>
          <w:color w:val="auto"/>
        </w:rPr>
        <w:t>operating ratio, (xxii) operating revenue, (xxiii) market share improvement, (xxiv) general and administrative expenses and (xxv) customer service.</w:t>
      </w:r>
    </w:p>
    <w:p>
      <w:pPr>
        <w:spacing w:after="0" w:line="157" w:lineRule="exact"/>
        <w:rPr>
          <w:rFonts w:ascii="Arial" w:cs="Arial" w:eastAsia="Arial" w:hAnsi="Arial"/>
          <w:sz w:val="22"/>
          <w:szCs w:val="22"/>
          <w:color w:val="auto"/>
        </w:rPr>
      </w:pPr>
    </w:p>
    <w:p>
      <w:pPr>
        <w:ind w:left="660" w:right="440" w:firstLine="1292"/>
        <w:spacing w:after="0" w:line="239" w:lineRule="auto"/>
        <w:tabs>
          <w:tab w:leader="none" w:pos="2436" w:val="left"/>
        </w:tabs>
        <w:numPr>
          <w:ilvl w:val="2"/>
          <w:numId w:val="24"/>
        </w:numPr>
        <w:rPr>
          <w:rFonts w:ascii="Arial" w:cs="Arial" w:eastAsia="Arial" w:hAnsi="Arial"/>
          <w:sz w:val="19"/>
          <w:szCs w:val="19"/>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xml:space="preserve"> means, for a Performance Period, the written goal or goals established by the Committee for the Performance Period based upon one or more of the Performance Criteria. The Performance Goals may be expressed in terms of overall Company performance or the performance of a division, business unit, subsidiary, or an individual, either individually, alternatively or in any combination, applied to either the Company as a whole or to a business unit or Affiliate,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The Committee will objectively define the manner of calculating the Performance Goal or Goals it selects to use for such Performance Period for such Participant, including whether or to what extent there shall not be taken into account any of the following events that occurs during a performance period: (i) asset write-downs,</w:t>
      </w:r>
    </w:p>
    <w:p>
      <w:pPr>
        <w:spacing w:after="0" w:line="2" w:lineRule="exact"/>
        <w:rPr>
          <w:rFonts w:ascii="Arial" w:cs="Arial" w:eastAsia="Arial" w:hAnsi="Arial"/>
          <w:sz w:val="19"/>
          <w:szCs w:val="19"/>
          <w:color w:val="auto"/>
        </w:rPr>
      </w:pPr>
    </w:p>
    <w:p>
      <w:pPr>
        <w:ind w:left="660" w:right="440" w:hanging="4"/>
        <w:spacing w:after="0" w:line="237" w:lineRule="auto"/>
        <w:tabs>
          <w:tab w:leader="none" w:pos="978" w:val="left"/>
        </w:tabs>
        <w:numPr>
          <w:ilvl w:val="0"/>
          <w:numId w:val="25"/>
        </w:numPr>
        <w:rPr>
          <w:rFonts w:ascii="Arial" w:cs="Arial" w:eastAsia="Arial" w:hAnsi="Arial"/>
          <w:sz w:val="19"/>
          <w:szCs w:val="19"/>
          <w:color w:val="auto"/>
        </w:rPr>
      </w:pPr>
      <w:r>
        <w:rPr>
          <w:rFonts w:ascii="Arial" w:cs="Arial" w:eastAsia="Arial" w:hAnsi="Arial"/>
          <w:sz w:val="19"/>
          <w:szCs w:val="19"/>
          <w:color w:val="auto"/>
        </w:rPr>
        <w:t>litigation, claims, judgments or settlements, (iii) the effect of changes in tax law, accounting principles or other such laws or provisions affecting reported results, (iv) accruals for reorganization and restructuring programs and</w:t>
      </w:r>
    </w:p>
    <w:p>
      <w:pPr>
        <w:ind w:left="660" w:right="500" w:hanging="4"/>
        <w:spacing w:after="0" w:line="247" w:lineRule="auto"/>
        <w:tabs>
          <w:tab w:leader="none" w:pos="966"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extraordinary, unusual, non-recurring or non-comparable items (A) as described in Accounting Standard Codification Section 225-20 (or its successor provisions), (B) as described in management’s discussion and analysis of financial condition and results of operations appearing in the Company’s annual report to stockholders for the applicable year, or (C) publicly announced by the Company in a press release or conference call relating to the Company’s results of operations or financial condition for a completed quarterly or annual fiscal period.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00"/>
          </w:cols>
          <w:pgMar w:left="320" w:top="1440" w:right="579" w:bottom="1440" w:gutter="0" w:footer="0" w:header="0"/>
        </w:sectPr>
      </w:pPr>
    </w:p>
    <w:bookmarkStart w:id="44" w:name="page45"/>
    <w:bookmarkEnd w:id="44"/>
    <w:p>
      <w:pPr>
        <w:spacing w:after="0" w:line="177" w:lineRule="exact"/>
        <w:rPr>
          <w:sz w:val="20"/>
          <w:szCs w:val="20"/>
          <w:color w:val="auto"/>
        </w:rPr>
      </w:pPr>
    </w:p>
    <w:p>
      <w:pPr>
        <w:ind w:right="40" w:firstLine="864"/>
        <w:spacing w:after="0" w:line="244" w:lineRule="auto"/>
        <w:rPr>
          <w:sz w:val="20"/>
          <w:szCs w:val="20"/>
          <w:color w:val="auto"/>
        </w:rPr>
      </w:pPr>
      <w:r>
        <w:rPr>
          <w:rFonts w:ascii="Arial" w:cs="Arial" w:eastAsia="Arial" w:hAnsi="Arial"/>
          <w:sz w:val="19"/>
          <w:szCs w:val="19"/>
          <w:u w:val="single" w:color="auto"/>
          <w:color w:val="auto"/>
        </w:rPr>
        <w:t>Awards to Participants Outside the United States</w:t>
      </w:r>
      <w:r>
        <w:rPr>
          <w:rFonts w:ascii="Arial" w:cs="Arial" w:eastAsia="Arial" w:hAnsi="Arial"/>
          <w:sz w:val="19"/>
          <w:szCs w:val="19"/>
          <w:color w:val="auto"/>
        </w:rPr>
        <w:t>. The Committee may modify the terms of any Award under the Plan granted to a Participant 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administrating any such modified Award. No such modification, supplement, amendment, restatement or alternative version may increase the share limit of Section 4.</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Adjustment Provisions</w:t>
      </w:r>
    </w:p>
    <w:p>
      <w:pPr>
        <w:spacing w:after="0" w:line="199" w:lineRule="exact"/>
        <w:rPr>
          <w:sz w:val="20"/>
          <w:szCs w:val="20"/>
          <w:color w:val="auto"/>
        </w:rPr>
      </w:pPr>
    </w:p>
    <w:p>
      <w:pPr>
        <w:ind w:firstLine="864"/>
        <w:spacing w:after="0" w:line="239" w:lineRule="auto"/>
        <w:rPr>
          <w:sz w:val="20"/>
          <w:szCs w:val="20"/>
          <w:color w:val="auto"/>
        </w:rPr>
      </w:pPr>
      <w:r>
        <w:rPr>
          <w:rFonts w:ascii="Arial" w:cs="Arial" w:eastAsia="Arial" w:hAnsi="Arial"/>
          <w:sz w:val="19"/>
          <w:szCs w:val="19"/>
          <w:u w:val="single" w:color="auto"/>
          <w:color w:val="auto"/>
        </w:rPr>
        <w:t>Adjustment for Corporate Actions</w:t>
      </w:r>
      <w:r>
        <w:rPr>
          <w:rFonts w:ascii="Arial" w:cs="Arial" w:eastAsia="Arial" w:hAnsi="Arial"/>
          <w:sz w:val="19"/>
          <w:szCs w:val="19"/>
          <w:color w:val="auto"/>
        </w:rPr>
        <w:t>. All of the share numbers set forth in the Plan reflect the capital structure of the Company as of the Effective Date. If subsequent to the Effective Date the outstanding shares of Stock (or any other securities covered by the Plan by reason of the prior application of this Section) are increased, decreased, or exchanged for a different number or kind of shares or other securities, or if additional shares or new or different shares or other securities are distributed with respect to shares of Stock, as a result of a reorganization, recapitalization, reclassification, stock dividend, stock split, reverse stock split, or other similar distribution with respect to such shares of Stock, an appropriate and proportionate adjustment will be made in (i) the maximum numbers and kinds of shares provided in Section 4, (ii) the numbers and kinds of shares or other securities subject to the then outstanding Awards, (iii) the exercise price for each share or other unit of any other securities subject to then outstanding Stock Rights (without change in the aggregate exercise price as to which such Rights remain exercisable), and</w:t>
      </w:r>
    </w:p>
    <w:p>
      <w:pPr>
        <w:spacing w:after="0" w:line="4" w:lineRule="exact"/>
        <w:rPr>
          <w:sz w:val="20"/>
          <w:szCs w:val="20"/>
          <w:color w:val="auto"/>
        </w:rPr>
      </w:pPr>
    </w:p>
    <w:p>
      <w:pPr>
        <w:ind w:right="860" w:firstLine="8"/>
        <w:spacing w:after="0" w:line="224" w:lineRule="auto"/>
        <w:tabs>
          <w:tab w:leader="none" w:pos="36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repurchase price of each share of Restricted Stock then subject to a Risk of Forfeiture in the form of a Company repurchase right.</w:t>
      </w:r>
    </w:p>
    <w:p>
      <w:pPr>
        <w:spacing w:after="0" w:line="158" w:lineRule="exact"/>
        <w:rPr>
          <w:sz w:val="20"/>
          <w:szCs w:val="20"/>
          <w:color w:val="auto"/>
        </w:rPr>
      </w:pPr>
    </w:p>
    <w:p>
      <w:pPr>
        <w:ind w:right="140" w:firstLine="864"/>
        <w:spacing w:after="0" w:line="244" w:lineRule="auto"/>
        <w:rPr>
          <w:sz w:val="20"/>
          <w:szCs w:val="20"/>
          <w:color w:val="auto"/>
        </w:rPr>
      </w:pPr>
      <w:r>
        <w:rPr>
          <w:rFonts w:ascii="Arial" w:cs="Arial" w:eastAsia="Arial" w:hAnsi="Arial"/>
          <w:sz w:val="19"/>
          <w:szCs w:val="19"/>
          <w:u w:val="single" w:color="auto"/>
          <w:color w:val="auto"/>
        </w:rPr>
        <w:t>Adjustment of Awards Upon the Occurrence of Certain Unusual or Nonrecurring Events</w:t>
      </w:r>
      <w:r>
        <w:rPr>
          <w:rFonts w:ascii="Arial" w:cs="Arial" w:eastAsia="Arial" w:hAnsi="Arial"/>
          <w:sz w:val="19"/>
          <w:szCs w:val="19"/>
          <w:color w:val="auto"/>
        </w:rPr>
        <w:t>. In the event of any corporate action not specifically covered by the preceding Section, including, but not limited to, an extraordinary cash distribution on Stock, a corporate separation or other reorganization or liquidation, the Committee may make such adjustment of outstanding Awards and their terms, if any, as it, in its sole discretion, may deem equitable and appropriate in the circumstances. The Committee also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61" w:lineRule="exact"/>
        <w:rPr>
          <w:sz w:val="20"/>
          <w:szCs w:val="20"/>
          <w:color w:val="auto"/>
        </w:rPr>
      </w:pPr>
    </w:p>
    <w:p>
      <w:pPr>
        <w:ind w:right="20" w:firstLine="864"/>
        <w:spacing w:after="0" w:line="247" w:lineRule="auto"/>
        <w:rPr>
          <w:sz w:val="20"/>
          <w:szCs w:val="20"/>
          <w:color w:val="auto"/>
        </w:rPr>
      </w:pPr>
      <w:r>
        <w:rPr>
          <w:rFonts w:ascii="Arial" w:cs="Arial" w:eastAsia="Arial" w:hAnsi="Arial"/>
          <w:sz w:val="19"/>
          <w:szCs w:val="19"/>
          <w:u w:val="single" w:color="auto"/>
          <w:color w:val="auto"/>
        </w:rPr>
        <w:t>Related Matters</w:t>
      </w:r>
      <w:r>
        <w:rPr>
          <w:rFonts w:ascii="Arial" w:cs="Arial" w:eastAsia="Arial" w:hAnsi="Arial"/>
          <w:sz w:val="19"/>
          <w:szCs w:val="19"/>
          <w:color w:val="auto"/>
        </w:rPr>
        <w:t>. Any adjustment in Awards made pursuant to Section 8.1 or 8.2 shall be determined and made, if at all, by the Committee, acting in its sole discretion, and shall include any correlative modification of terms, including of Stock Right exercise prices, rates of vesting or exercisability, Risks of Forfeiture, applicable repurchase prices for Restricted Stock, and Performance Goals and other business objectives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8. The Committee, in its discretion, may determine that no fraction of a share of Stock shall be purchasable or deliverable upon exercise,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77"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and in that event if any adjustment hereunder of the number of shares of Stock covered by an Award would cause such number to include a fraction of a share of Stock, such number of shares of Stock shall be adjusted to the nearest smaller whole number of shares. No adjustment of an Option exercise price per share pursuant to Sections 8.1 or 8.2 shall result in an exercise price which is less than the par value of the Stock.</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Corporate Transactions</w:t>
      </w:r>
      <w:r>
        <w:rPr>
          <w:rFonts w:ascii="Arial" w:cs="Arial" w:eastAsia="Arial" w:hAnsi="Arial"/>
          <w:sz w:val="22"/>
          <w:szCs w:val="22"/>
          <w:color w:val="auto"/>
        </w:rPr>
        <w:t>.</w:t>
      </w:r>
    </w:p>
    <w:p>
      <w:pPr>
        <w:spacing w:after="0" w:line="179" w:lineRule="exact"/>
        <w:rPr>
          <w:sz w:val="20"/>
          <w:szCs w:val="20"/>
          <w:color w:val="auto"/>
        </w:rPr>
      </w:pPr>
    </w:p>
    <w:p>
      <w:pPr>
        <w:ind w:right="140" w:firstLine="1304"/>
        <w:spacing w:after="0" w:line="298" w:lineRule="auto"/>
        <w:tabs>
          <w:tab w:leader="none" w:pos="175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Treatment of Awards in a Corporate Transaction</w:t>
      </w:r>
      <w:r>
        <w:rPr>
          <w:rFonts w:ascii="Arial" w:cs="Arial" w:eastAsia="Arial" w:hAnsi="Arial"/>
          <w:sz w:val="19"/>
          <w:szCs w:val="19"/>
          <w:color w:val="auto"/>
        </w:rPr>
        <w:t>. In a Corporate Transaction, the Committee, in its sole and absolute discretion, may take any one or more of the following actions as to all or any (or any portion of) outstanding Awards.</w:t>
      </w:r>
    </w:p>
    <w:p>
      <w:pPr>
        <w:spacing w:after="0" w:line="105" w:lineRule="exact"/>
        <w:rPr>
          <w:rFonts w:ascii="Arial" w:cs="Arial" w:eastAsia="Arial" w:hAnsi="Arial"/>
          <w:sz w:val="19"/>
          <w:szCs w:val="19"/>
          <w:color w:val="auto"/>
        </w:rPr>
      </w:pPr>
    </w:p>
    <w:p>
      <w:pPr>
        <w:jc w:val="both"/>
        <w:ind w:left="660" w:right="740" w:firstLine="1292"/>
        <w:spacing w:after="0" w:line="229" w:lineRule="auto"/>
        <w:tabs>
          <w:tab w:leader="none" w:pos="2424"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Assumption and Substitution</w:t>
      </w:r>
      <w:r>
        <w:rPr>
          <w:rFonts w:ascii="Arial" w:cs="Arial" w:eastAsia="Arial" w:hAnsi="Arial"/>
          <w:sz w:val="21"/>
          <w:szCs w:val="21"/>
          <w:color w:val="auto"/>
        </w:rPr>
        <w:t>. Provide that such Awards shall be assumed, or substantially equivalent rights shall be provided in substitution therefor, by the acquiring or succeeding entity (or an affiliate thereof), and that any repurchase or other rights of the Company under each such Award shall inure to the benefit of such acquiring or succeeding entity (or affiliate thereof).</w:t>
      </w:r>
    </w:p>
    <w:p>
      <w:pPr>
        <w:spacing w:after="0" w:line="158" w:lineRule="exact"/>
        <w:rPr>
          <w:rFonts w:ascii="Arial" w:cs="Arial" w:eastAsia="Arial" w:hAnsi="Arial"/>
          <w:sz w:val="21"/>
          <w:szCs w:val="21"/>
          <w:color w:val="auto"/>
        </w:rPr>
      </w:pPr>
    </w:p>
    <w:p>
      <w:pPr>
        <w:ind w:left="2420" w:hanging="468"/>
        <w:spacing w:after="0"/>
        <w:tabs>
          <w:tab w:leader="none" w:pos="2420"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Forfeiture and Reacquisition</w:t>
      </w:r>
      <w:r>
        <w:rPr>
          <w:rFonts w:ascii="Arial" w:cs="Arial" w:eastAsia="Arial" w:hAnsi="Arial"/>
          <w:sz w:val="21"/>
          <w:szCs w:val="21"/>
          <w:color w:val="auto"/>
        </w:rPr>
        <w:t>. Upon written notice to the holders, provide that:</w:t>
      </w:r>
    </w:p>
    <w:p>
      <w:pPr>
        <w:spacing w:after="0" w:line="191" w:lineRule="exact"/>
        <w:rPr>
          <w:sz w:val="20"/>
          <w:szCs w:val="20"/>
          <w:color w:val="auto"/>
        </w:rPr>
      </w:pPr>
    </w:p>
    <w:p>
      <w:pPr>
        <w:ind w:left="660" w:right="620" w:firstLine="1508"/>
        <w:spacing w:after="0" w:line="268" w:lineRule="auto"/>
        <w:tabs>
          <w:tab w:leader="none" w:pos="2742"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unexercised Stock Rights shall terminate immediately prior to the consummation of the Corporate Transaction unless exercised within a specified period following the date of such notice and that any Stock Rights not then exercisable will expire automatically upon consummation of the Corporate Transaction;</w:t>
      </w:r>
    </w:p>
    <w:p>
      <w:pPr>
        <w:spacing w:after="0" w:line="132" w:lineRule="exact"/>
        <w:rPr>
          <w:rFonts w:ascii="Arial" w:cs="Arial" w:eastAsia="Arial" w:hAnsi="Arial"/>
          <w:sz w:val="19"/>
          <w:szCs w:val="19"/>
          <w:color w:val="auto"/>
        </w:rPr>
      </w:pPr>
    </w:p>
    <w:p>
      <w:pPr>
        <w:ind w:left="660" w:right="1120" w:firstLine="1508"/>
        <w:spacing w:after="0" w:line="298" w:lineRule="auto"/>
        <w:tabs>
          <w:tab w:leader="none" w:pos="273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Restricted Stock Units shall terminate and be forfeited immediately prior to the consummation of the Corporate Transaction to the extent they are then subject to a Risk of Forfeiture; and/or</w:t>
      </w:r>
    </w:p>
    <w:p>
      <w:pPr>
        <w:spacing w:after="0" w:line="105" w:lineRule="exact"/>
        <w:rPr>
          <w:rFonts w:ascii="Arial" w:cs="Arial" w:eastAsia="Arial" w:hAnsi="Arial"/>
          <w:sz w:val="19"/>
          <w:szCs w:val="19"/>
          <w:color w:val="auto"/>
        </w:rPr>
      </w:pPr>
    </w:p>
    <w:p>
      <w:pPr>
        <w:ind w:left="660" w:right="800" w:firstLine="1508"/>
        <w:spacing w:after="0" w:line="223" w:lineRule="auto"/>
        <w:tabs>
          <w:tab w:leader="none" w:pos="2676" w:val="left"/>
        </w:tabs>
        <w:numPr>
          <w:ilvl w:val="1"/>
          <w:numId w:val="29"/>
        </w:numPr>
        <w:rPr>
          <w:rFonts w:ascii="Arial" w:cs="Arial" w:eastAsia="Arial" w:hAnsi="Arial"/>
          <w:sz w:val="22"/>
          <w:szCs w:val="22"/>
          <w:color w:val="auto"/>
        </w:rPr>
      </w:pPr>
      <w:r>
        <w:rPr>
          <w:rFonts w:ascii="Arial" w:cs="Arial" w:eastAsia="Arial" w:hAnsi="Arial"/>
          <w:sz w:val="22"/>
          <w:szCs w:val="22"/>
          <w:color w:val="auto"/>
        </w:rPr>
        <w:t>any shares of Restricted Stock shall automatically be reacquired by the Corporation upon consummation of the Corporate Transaction at a price per share equal to the lesser of the Market Value of the Restricted Stock and the purchase price paid by the Participant.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Acceleration of Vesting</w:t>
      </w:r>
      <w:r>
        <w:rPr>
          <w:rFonts w:ascii="Arial" w:cs="Arial" w:eastAsia="Arial" w:hAnsi="Arial"/>
          <w:sz w:val="22"/>
          <w:szCs w:val="22"/>
          <w:color w:val="auto"/>
        </w:rPr>
        <w:t>. Provide that:</w:t>
      </w:r>
    </w:p>
    <w:p>
      <w:pPr>
        <w:spacing w:after="0" w:line="179" w:lineRule="exact"/>
        <w:rPr>
          <w:rFonts w:ascii="Arial" w:cs="Arial" w:eastAsia="Arial" w:hAnsi="Arial"/>
          <w:sz w:val="22"/>
          <w:szCs w:val="22"/>
          <w:color w:val="auto"/>
        </w:rPr>
      </w:pPr>
    </w:p>
    <w:p>
      <w:pPr>
        <w:jc w:val="both"/>
        <w:ind w:left="660" w:right="700" w:firstLine="1508"/>
        <w:spacing w:after="0" w:line="223" w:lineRule="auto"/>
        <w:tabs>
          <w:tab w:leader="none" w:pos="2688"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and all Stock Rights not already exercisable in full shall Accelerate with respect to all or a portion of the shares for which such Stock Rights are not then exercisable prior to or upon the consummation of the Corporate Transaction; and/or</w:t>
      </w:r>
    </w:p>
    <w:p>
      <w:pPr>
        <w:spacing w:after="0" w:line="158" w:lineRule="exact"/>
        <w:rPr>
          <w:rFonts w:ascii="Arial" w:cs="Arial" w:eastAsia="Arial" w:hAnsi="Arial"/>
          <w:sz w:val="22"/>
          <w:szCs w:val="22"/>
          <w:color w:val="auto"/>
        </w:rPr>
      </w:pPr>
    </w:p>
    <w:p>
      <w:pPr>
        <w:ind w:left="660" w:right="760" w:firstLine="1508"/>
        <w:spacing w:after="0" w:line="218" w:lineRule="auto"/>
        <w:tabs>
          <w:tab w:leader="none" w:pos="273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Risk of Forfeiture applicable to Restricted Stock and Restricted Stock Units which is not based on achievement of Performance Goals or other business objectives shall lapse upon consummation of the Corporate Transaction with respect to all or a portion of the Restricted Stock and Restricted Stock Units then subject to such Risk of Forfeiture.</w:t>
      </w:r>
    </w:p>
    <w:p>
      <w:pPr>
        <w:spacing w:after="0" w:line="160" w:lineRule="exact"/>
        <w:rPr>
          <w:rFonts w:ascii="Arial" w:cs="Arial" w:eastAsia="Arial" w:hAnsi="Arial"/>
          <w:sz w:val="22"/>
          <w:szCs w:val="22"/>
          <w:color w:val="auto"/>
        </w:rPr>
      </w:pPr>
    </w:p>
    <w:p>
      <w:pPr>
        <w:ind w:left="660" w:right="640" w:firstLine="1292"/>
        <w:spacing w:after="0" w:line="234" w:lineRule="auto"/>
        <w:tabs>
          <w:tab w:leader="none" w:pos="2424"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Achievement of Performance Goals</w:t>
      </w:r>
      <w:r>
        <w:rPr>
          <w:rFonts w:ascii="Arial" w:cs="Arial" w:eastAsia="Arial" w:hAnsi="Arial"/>
          <w:sz w:val="21"/>
          <w:szCs w:val="21"/>
          <w:color w:val="auto"/>
        </w:rPr>
        <w:t>. Provide that all outstanding Awards of Restricted Stock and Restricted Stock Units conditioned on the achievement of Performance Goals or other business objectives and the target payout opportunities attainable under outstanding Performance Units shall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80"/>
          </w:cols>
          <w:pgMar w:left="320" w:top="1440" w:right="399" w:bottom="1440" w:gutter="0" w:footer="0" w:header="0"/>
        </w:sectPr>
      </w:pPr>
    </w:p>
    <w:bookmarkStart w:id="46" w:name="page47"/>
    <w:bookmarkEnd w:id="46"/>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be deemed to have been satisfied as of the effective date of the Corporate Transaction as to (i) none of, (ii) all of or</w:t>
      </w:r>
    </w:p>
    <w:p>
      <w:pPr>
        <w:ind w:left="660" w:right="680" w:hanging="4"/>
        <w:spacing w:after="0" w:line="212" w:lineRule="auto"/>
        <w:tabs>
          <w:tab w:leader="none" w:pos="1038"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pro rata number of shares based on the assumed achievement of all relevant Performance Goals or other business objectives and the length of time within the Restriction Period or Performance Period which has elapsed prior to the Corporate Transaction. All such Awards of Performance Units and Restricted Stock Units shall be paid to the extent earned to Participants in accordance with their terms within 30 days following the effective date of the Corporate Transaction.</w:t>
      </w:r>
    </w:p>
    <w:p>
      <w:pPr>
        <w:spacing w:after="0" w:line="160" w:lineRule="exact"/>
        <w:rPr>
          <w:rFonts w:ascii="Arial" w:cs="Arial" w:eastAsia="Arial" w:hAnsi="Arial"/>
          <w:sz w:val="22"/>
          <w:szCs w:val="22"/>
          <w:color w:val="auto"/>
        </w:rPr>
      </w:pPr>
    </w:p>
    <w:p>
      <w:pPr>
        <w:ind w:left="660" w:right="680" w:firstLine="1292"/>
        <w:spacing w:after="0" w:line="221" w:lineRule="auto"/>
        <w:tabs>
          <w:tab w:leader="none" w:pos="2424"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Cash Payments to Holders of Stock Rights</w:t>
      </w:r>
      <w:r>
        <w:rPr>
          <w:rFonts w:ascii="Arial" w:cs="Arial" w:eastAsia="Arial" w:hAnsi="Arial"/>
          <w:sz w:val="21"/>
          <w:szCs w:val="21"/>
          <w:color w:val="auto"/>
        </w:rPr>
        <w:t>. Provide for cash payments, net of applicable tax withholdings, to be made to holders of Stock Rights equal to the excess, if any, of (A) the acquisition price times the number of shares of Stock subject to a Stock Right (to the extent the exercise price does not exceed the acquisition price) over (B) the aggregate exercise price for all such shares of Stock subject to the Stock Right, in exchange for the termination of such Stock Right; provided, that if the acquisition price does not exceed the exercise price of any such Stock Right, the Committee may cancel that Stock Right without the payment of any consideration therefore prior to or upon the Corporate Transaction. For this purpose, “</w:t>
      </w:r>
      <w:r>
        <w:rPr>
          <w:rFonts w:ascii="Arial" w:cs="Arial" w:eastAsia="Arial" w:hAnsi="Arial"/>
          <w:sz w:val="21"/>
          <w:szCs w:val="21"/>
          <w:u w:val="single" w:color="auto"/>
          <w:color w:val="auto"/>
        </w:rPr>
        <w:t>acquisition price</w:t>
      </w:r>
      <w:r>
        <w:rPr>
          <w:rFonts w:ascii="Arial" w:cs="Arial" w:eastAsia="Arial" w:hAnsi="Arial"/>
          <w:sz w:val="21"/>
          <w:szCs w:val="21"/>
          <w:color w:val="auto"/>
        </w:rPr>
        <w:t>” means the amount of cash, and market value of any other consideration, received in payment for a share of Stock surrendered in a Corporate Transaction.</w:t>
      </w:r>
    </w:p>
    <w:p>
      <w:pPr>
        <w:spacing w:after="0" w:line="158" w:lineRule="exact"/>
        <w:rPr>
          <w:rFonts w:ascii="Arial" w:cs="Arial" w:eastAsia="Arial" w:hAnsi="Arial"/>
          <w:sz w:val="21"/>
          <w:szCs w:val="21"/>
          <w:color w:val="auto"/>
        </w:rPr>
      </w:pPr>
    </w:p>
    <w:p>
      <w:pPr>
        <w:ind w:left="660" w:right="680" w:firstLine="1292"/>
        <w:spacing w:after="0" w:line="223" w:lineRule="auto"/>
        <w:tabs>
          <w:tab w:leader="none" w:pos="2424"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Conversion of Stock Rights Upon Liquidation or Dissolution</w:t>
      </w:r>
      <w:r>
        <w:rPr>
          <w:rFonts w:ascii="Arial" w:cs="Arial" w:eastAsia="Arial" w:hAnsi="Arial"/>
          <w:sz w:val="22"/>
          <w:szCs w:val="22"/>
          <w:color w:val="auto"/>
        </w:rPr>
        <w:t>. Provide that, in connection with a liquidation or dissolution of the Company, Stock Rights shall convert into the right to receive liquidation proceeds net of the exercise price thereof and any applicable tax withholdings.</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Any combination of the foregoing</w:t>
      </w:r>
      <w:r>
        <w:rPr>
          <w:rFonts w:ascii="Arial" w:cs="Arial" w:eastAsia="Arial" w:hAnsi="Arial"/>
          <w:sz w:val="22"/>
          <w:szCs w:val="22"/>
          <w:color w:val="auto"/>
        </w:rPr>
        <w:t>.</w:t>
      </w:r>
    </w:p>
    <w:p>
      <w:pPr>
        <w:spacing w:after="0" w:line="179" w:lineRule="exact"/>
        <w:rPr>
          <w:sz w:val="20"/>
          <w:szCs w:val="20"/>
          <w:color w:val="auto"/>
        </w:rPr>
      </w:pPr>
    </w:p>
    <w:p>
      <w:pPr>
        <w:spacing w:after="0" w:line="226" w:lineRule="auto"/>
        <w:rPr>
          <w:sz w:val="20"/>
          <w:szCs w:val="20"/>
          <w:color w:val="auto"/>
        </w:rPr>
      </w:pPr>
      <w:r>
        <w:rPr>
          <w:rFonts w:ascii="Arial" w:cs="Arial" w:eastAsia="Arial" w:hAnsi="Arial"/>
          <w:sz w:val="21"/>
          <w:szCs w:val="21"/>
          <w:color w:val="auto"/>
        </w:rPr>
        <w:t>None of the foregoing shall apply, however, (i) in the case of any Award pursuant to an Award Agreement requiring other or additional terms upon a Corporate Transaction (or similar event), or (ii) if specifically prohibited under applicable laws, or by the rules and regulations of any governing governmental agencies or national securities exchanges on which the Stock is listed. Nor shall any of the foregoing apply in the case of a Qualified Performance-Based Award except to the extent the foregoing would not interfere with the qualification of the grant of the Award under Section 162(m) of the Code.</w:t>
      </w:r>
    </w:p>
    <w:p>
      <w:pPr>
        <w:spacing w:after="0" w:line="159" w:lineRule="exact"/>
        <w:rPr>
          <w:sz w:val="20"/>
          <w:szCs w:val="20"/>
          <w:color w:val="auto"/>
        </w:rPr>
      </w:pPr>
    </w:p>
    <w:p>
      <w:pPr>
        <w:ind w:right="80" w:firstLine="440"/>
        <w:spacing w:after="0" w:line="242" w:lineRule="auto"/>
        <w:tabs>
          <w:tab w:leader="none" w:pos="90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Assumption and Substitution of Awards</w:t>
      </w:r>
      <w:r>
        <w:rPr>
          <w:rFonts w:ascii="Arial" w:cs="Arial" w:eastAsia="Arial" w:hAnsi="Arial"/>
          <w:sz w:val="19"/>
          <w:szCs w:val="19"/>
          <w:color w:val="auto"/>
        </w:rPr>
        <w:t xml:space="preserve">. For purposes of Section 8.4(a)(1) above, an Award shall be considered assumed, or a substantially equivalent award shall be considered to have been provided in substitution therefor, if following consummation of the Corporate Transaction the Award is assumed and/or exchanged or replaced with another award issued by the acquiring or succeeding entity (or an affiliate thereof) that confers the right to purchase or receive the value of, for each share of Stock subject to the Award immediately prior to the consummation of the Corporate Transaction, the consideration (whether cash, securities or other property) received as a result of the Corporate Transaction by holders of Stock for each share of Stock held immediately prior to the consummation of the Corporate Transaction (and if holders were offered a choice of consideration, the type of consideration chosen by the holders of a majority of the outstanding shares of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consideration received as a result of the Corporate Transaction is not solely common stock (or its equivalent) of the acquiring or succeeding entity (or an affiliate thereof), the Committee may provide for the consideration to be received upon the exercise of Award to consist of or be based on solely common stock (or its equivalent) of the acquiring or succeeding entity (or an affiliate thereof) equivalent in value to the per share consideration received by holders of outstanding shares of Stock as a result of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77" w:lineRule="exact"/>
        <w:rPr>
          <w:sz w:val="20"/>
          <w:szCs w:val="20"/>
          <w:color w:val="auto"/>
        </w:rPr>
      </w:pPr>
    </w:p>
    <w:p>
      <w:pPr>
        <w:ind w:right="260" w:firstLine="1304"/>
        <w:spacing w:after="0" w:line="247" w:lineRule="auto"/>
        <w:tabs>
          <w:tab w:leader="none" w:pos="180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Related Matters</w:t>
      </w:r>
      <w:r>
        <w:rPr>
          <w:rFonts w:ascii="Arial" w:cs="Arial" w:eastAsia="Arial" w:hAnsi="Arial"/>
          <w:sz w:val="19"/>
          <w:szCs w:val="19"/>
          <w:color w:val="auto"/>
        </w:rPr>
        <w:t>. In taking any of the actions permitted under this Section 8.4, the Committee shall not be obligated to treat all Awards, all Awards held by a Participant, or all Awards of the same type, identically. Any determinations required to carry out the foregoing provisions of this Section 8.4, including, but not limited to, the market value of other consideration received by holders of Stock in a Corporate Transaction and whether substantially equivalent awards have been substituted, shall be made by the Committee acting in its sole and absolute discretion. In connection with any action or actions taken by the Committee in respect of Awards and in connection with a Transaction, the Committee may require such acknowledgements of satisfaction and releases from Participants as it may determine.</w:t>
      </w:r>
    </w:p>
    <w:p>
      <w:pPr>
        <w:spacing w:after="0" w:line="154" w:lineRule="exact"/>
        <w:rPr>
          <w:sz w:val="20"/>
          <w:szCs w:val="20"/>
          <w:color w:val="auto"/>
        </w:rPr>
      </w:pPr>
    </w:p>
    <w:p>
      <w:pPr>
        <w:ind w:right="40" w:firstLine="864"/>
        <w:spacing w:after="0" w:line="244" w:lineRule="auto"/>
        <w:rPr>
          <w:sz w:val="20"/>
          <w:szCs w:val="20"/>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If the Committee determines that a Participant has intentionally committed an act of embezzlement, fraud, dishonesty, or breach of fiduciary duty during the Participant’s employment that contributed to an obligation to restate the Company’s financial statements, the Participant shall be required to repay to the Company, in cash and upon demand, Award Proceeds (defined below) resulting from any sale or other disposition of Shares issued or issuable under an Award (a) if the sale or disposition was effected during the twelve-month period following the first public issuance or filing with the SEC of the financial statements required to be restated, or (b) if the Shares were issued as a result of vesting criteria that were determined to be satisfied based all or in part on the financial statements required to be restated. In the preceding sentence, “Award Proceeds” means, with respect to any sale or other distribution, an amount determined appropriate by the Committee to reflect the effect of the restatement on the Company’s stock price, up to the amount equal to the number of Shares sold or disposed multiplied by the excess of Market Value at the time of such sale or disposition over the amount paid, if any, to purchase such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Settlement of Awards</w:t>
      </w:r>
    </w:p>
    <w:p>
      <w:pPr>
        <w:spacing w:after="0" w:line="199" w:lineRule="exact"/>
        <w:rPr>
          <w:sz w:val="20"/>
          <w:szCs w:val="20"/>
          <w:color w:val="auto"/>
        </w:rPr>
      </w:pPr>
    </w:p>
    <w:p>
      <w:pPr>
        <w:ind w:firstLine="864"/>
        <w:spacing w:after="0" w:line="257" w:lineRule="auto"/>
        <w:rPr>
          <w:sz w:val="20"/>
          <w:szCs w:val="20"/>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Awards of Restricted Stock shall be settled in accordance with their terms. All other Awards may be settled in cash or Stock, or a combination thereof, as determined by the Committee at or after grant and subject to any contrary Award Agreement. The Committee may not require settlement of any Award in Stock pursuant to the immediately preceding sentence to the extent issuance of such Stock would be prohibited or unreasonably delayed by reason of any other provision of the Plan.</w:t>
      </w:r>
    </w:p>
    <w:p>
      <w:pPr>
        <w:spacing w:after="0" w:line="144" w:lineRule="exact"/>
        <w:rPr>
          <w:sz w:val="20"/>
          <w:szCs w:val="20"/>
          <w:color w:val="auto"/>
        </w:rPr>
      </w:pPr>
    </w:p>
    <w:p>
      <w:pPr>
        <w:ind w:right="40" w:firstLine="864"/>
        <w:spacing w:after="0" w:line="249" w:lineRule="auto"/>
        <w:rPr>
          <w:sz w:val="20"/>
          <w:szCs w:val="20"/>
          <w:color w:val="auto"/>
        </w:rPr>
      </w:pPr>
      <w:r>
        <w:rPr>
          <w:rFonts w:ascii="Arial" w:cs="Arial" w:eastAsia="Arial" w:hAnsi="Arial"/>
          <w:sz w:val="19"/>
          <w:szCs w:val="19"/>
          <w:u w:val="single" w:color="auto"/>
          <w:color w:val="auto"/>
        </w:rPr>
        <w:t>Violation of Law</w:t>
      </w:r>
      <w:r>
        <w:rPr>
          <w:rFonts w:ascii="Arial" w:cs="Arial" w:eastAsia="Arial" w:hAnsi="Arial"/>
          <w:sz w:val="19"/>
          <w:szCs w:val="19"/>
          <w:color w:val="auto"/>
        </w:rPr>
        <w:t>. Notwithstanding any other provision of the Plan or the relevant Award Agreement, if, at any time, in the reasonable opinion of the Company, the issuance of shares of Stock covered by an Award may constitute a violation of law, then the Company may delay such issuance and the delivery of a certificate for such shares until (i) approval shall have been obtained from such governmental agencies, other than the Securities and Exchange Commission, as may be required under any applicable law, rule, or regulation and (ii) in the case where such issuance would constitute a violation of a law administered by or a regulation of the Securities and Exchange Commission, one of the following conditions shall have been satisfied:</w:t>
      </w:r>
    </w:p>
    <w:p>
      <w:pPr>
        <w:spacing w:after="0" w:line="152" w:lineRule="exact"/>
        <w:rPr>
          <w:sz w:val="20"/>
          <w:szCs w:val="20"/>
          <w:color w:val="auto"/>
        </w:rPr>
      </w:pPr>
    </w:p>
    <w:p>
      <w:pPr>
        <w:ind w:right="160" w:firstLine="1304"/>
        <w:spacing w:after="0" w:line="232" w:lineRule="auto"/>
        <w:tabs>
          <w:tab w:leader="none" w:pos="1752"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shares of Stock are at the time of the issue of such shares effectively registered under the Securities Act of 1933, as amended; or</w:t>
      </w:r>
    </w:p>
    <w:p>
      <w:pPr>
        <w:spacing w:after="0" w:line="158" w:lineRule="exact"/>
        <w:rPr>
          <w:rFonts w:ascii="Arial" w:cs="Arial" w:eastAsia="Arial" w:hAnsi="Arial"/>
          <w:sz w:val="22"/>
          <w:szCs w:val="22"/>
          <w:color w:val="auto"/>
        </w:rPr>
      </w:pPr>
    </w:p>
    <w:p>
      <w:pPr>
        <w:jc w:val="both"/>
        <w:ind w:right="80" w:firstLine="1304"/>
        <w:spacing w:after="0" w:line="268" w:lineRule="auto"/>
        <w:tabs>
          <w:tab w:leader="none" w:pos="176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shall have determined, on such basis as it deems appropriate (including an opinion of counsel in form and substance satisfactory to the Company) that the sale, transfer, assignment, pledge, encumbrance or other disposition of such shares does not require registration under the Securities Act of 1933, as amended or any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80"/>
          </w:cols>
          <w:pgMar w:left="320" w:top="1440" w:right="399" w:bottom="1440" w:gutter="0" w:footer="0" w:header="0"/>
        </w:sectPr>
      </w:pPr>
    </w:p>
    <w:bookmarkStart w:id="48" w:name="page49"/>
    <w:bookmarkEnd w:id="48"/>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make all reasonable efforts to bring about the occurrence of said events.</w:t>
      </w:r>
    </w:p>
    <w:p>
      <w:pPr>
        <w:spacing w:after="0" w:line="179" w:lineRule="exact"/>
        <w:rPr>
          <w:sz w:val="20"/>
          <w:szCs w:val="20"/>
          <w:color w:val="auto"/>
        </w:rPr>
      </w:pPr>
    </w:p>
    <w:p>
      <w:pPr>
        <w:ind w:right="60" w:firstLine="864"/>
        <w:spacing w:after="0" w:line="221" w:lineRule="auto"/>
        <w:rPr>
          <w:sz w:val="20"/>
          <w:szCs w:val="20"/>
          <w:color w:val="auto"/>
        </w:rPr>
      </w:pPr>
      <w:r>
        <w:rPr>
          <w:rFonts w:ascii="Arial" w:cs="Arial" w:eastAsia="Arial" w:hAnsi="Arial"/>
          <w:sz w:val="21"/>
          <w:szCs w:val="21"/>
          <w:u w:val="single" w:color="auto"/>
          <w:color w:val="auto"/>
        </w:rPr>
        <w:t>Corporate Restrictions on Rights in Stock</w:t>
      </w:r>
      <w:r>
        <w:rPr>
          <w:rFonts w:ascii="Arial" w:cs="Arial" w:eastAsia="Arial" w:hAnsi="Arial"/>
          <w:sz w:val="21"/>
          <w:szCs w:val="21"/>
          <w:color w:val="auto"/>
        </w:rPr>
        <w:t>. Any Stock to be issued pursuant to Awards granted under the Plan shall be subject to all restrictions upon the transfer thereof which may be now or hereafter imposed by the charter, certificate or articles, and by-laws, of the Company. Whenever Stock is to be issued pursuant to an Award, if the Committee so directs at or after grant, the Company shall be under no obligation to issue such shares until such time, if ever, as the recipient of the Award (and any person who exercises any Option, in whole or in part), shall have become a party to and bound by the Stockholders’ Agreement, if any. In the event of any conflict between the provisions of this Plan and the provisions of the Stockholders’ Agreement, the provisions of the Stockholders’ Agreement shall control except as required to fulfill the intention that any Incentive Option qualify as such, but insofar as possible the provisions of the Plan and such Agreement shall be construed so as to give full force and effect to all such provisions.</w:t>
      </w:r>
    </w:p>
    <w:p>
      <w:pPr>
        <w:spacing w:after="0" w:line="159" w:lineRule="exact"/>
        <w:rPr>
          <w:sz w:val="20"/>
          <w:szCs w:val="20"/>
          <w:color w:val="auto"/>
        </w:rPr>
      </w:pPr>
    </w:p>
    <w:p>
      <w:pPr>
        <w:ind w:right="20" w:firstLine="864"/>
        <w:spacing w:after="0" w:line="221" w:lineRule="auto"/>
        <w:rPr>
          <w:sz w:val="20"/>
          <w:szCs w:val="20"/>
          <w:color w:val="auto"/>
        </w:rPr>
      </w:pPr>
      <w:r>
        <w:rPr>
          <w:rFonts w:ascii="Arial" w:cs="Arial" w:eastAsia="Arial" w:hAnsi="Arial"/>
          <w:sz w:val="21"/>
          <w:szCs w:val="21"/>
          <w:u w:val="single" w:color="auto"/>
          <w:color w:val="auto"/>
        </w:rPr>
        <w:t>Investment Representations</w:t>
      </w:r>
      <w:r>
        <w:rPr>
          <w:rFonts w:ascii="Arial" w:cs="Arial" w:eastAsia="Arial" w:hAnsi="Arial"/>
          <w:sz w:val="21"/>
          <w:szCs w:val="21"/>
          <w:color w:val="auto"/>
        </w:rPr>
        <w:t>. The Company shall be under no obligation to issue any shares of Stock covered by any Award unless the shares to be issued pursuant to Awards granted under the Plan have been effectively registered under the Securities Act of 1933, as amended,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165" w:lineRule="exact"/>
        <w:rPr>
          <w:sz w:val="20"/>
          <w:szCs w:val="20"/>
          <w:color w:val="auto"/>
        </w:rPr>
      </w:pPr>
    </w:p>
    <w:p>
      <w:pPr>
        <w:ind w:firstLine="864"/>
        <w:spacing w:after="0"/>
        <w:rPr>
          <w:sz w:val="20"/>
          <w:szCs w:val="20"/>
          <w:color w:val="auto"/>
        </w:rPr>
      </w:pPr>
      <w:r>
        <w:rPr>
          <w:rFonts w:ascii="Arial" w:cs="Arial" w:eastAsia="Arial" w:hAnsi="Arial"/>
          <w:sz w:val="19"/>
          <w:szCs w:val="19"/>
          <w:u w:val="single" w:color="auto"/>
          <w:color w:val="auto"/>
        </w:rPr>
        <w:t>Registration</w:t>
      </w:r>
      <w:r>
        <w:rPr>
          <w:rFonts w:ascii="Arial" w:cs="Arial" w:eastAsia="Arial" w:hAnsi="Arial"/>
          <w:sz w:val="19"/>
          <w:szCs w:val="19"/>
          <w:color w:val="auto"/>
        </w:rPr>
        <w:t>. If the Company shall deem it necessary or desirable to register under the Securities Act of 1933, as amended, or other applicable statutes any shares of Stock issued or to be issued pursuant to Awards granted under the Plan, or to qualify any such shares of Stock for exemption from the Securities Act of 1933, as amended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period not to exceed 180 days commencing on the effective date of the registration statement relating to the underwritten public offering of securities. Without limiting the generality of the foregoing provisions of this Section 9.5,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77" w:lineRule="exact"/>
        <w:rPr>
          <w:sz w:val="20"/>
          <w:szCs w:val="20"/>
          <w:color w:val="auto"/>
        </w:rPr>
      </w:pPr>
    </w:p>
    <w:p>
      <w:pPr>
        <w:ind w:right="440"/>
        <w:spacing w:after="0" w:line="232" w:lineRule="auto"/>
        <w:rPr>
          <w:sz w:val="20"/>
          <w:szCs w:val="20"/>
          <w:color w:val="auto"/>
        </w:rPr>
      </w:pPr>
      <w:r>
        <w:rPr>
          <w:rFonts w:ascii="Arial" w:cs="Arial" w:eastAsia="Arial" w:hAnsi="Arial"/>
          <w:sz w:val="22"/>
          <w:szCs w:val="22"/>
          <w:color w:val="auto"/>
        </w:rPr>
        <w:t>lock-up agreement in form and substance equivalent to that which is required to be executed by the Company’s directors and officers.</w:t>
      </w:r>
    </w:p>
    <w:p>
      <w:pPr>
        <w:spacing w:after="0" w:line="159" w:lineRule="exact"/>
        <w:rPr>
          <w:sz w:val="20"/>
          <w:szCs w:val="20"/>
          <w:color w:val="auto"/>
        </w:rPr>
      </w:pPr>
    </w:p>
    <w:p>
      <w:pPr>
        <w:ind w:right="180" w:firstLine="864"/>
        <w:spacing w:after="0" w:line="246" w:lineRule="auto"/>
        <w:rPr>
          <w:sz w:val="20"/>
          <w:szCs w:val="20"/>
          <w:color w:val="auto"/>
        </w:rPr>
      </w:pPr>
      <w:r>
        <w:rPr>
          <w:rFonts w:ascii="Arial" w:cs="Arial" w:eastAsia="Arial" w:hAnsi="Arial"/>
          <w:sz w:val="19"/>
          <w:szCs w:val="19"/>
          <w:u w:val="single" w:color="auto"/>
          <w:color w:val="auto"/>
        </w:rPr>
        <w:t>Placement of Legends; Stop Orders; etc.</w:t>
      </w:r>
      <w:r>
        <w:rPr>
          <w:rFonts w:ascii="Arial" w:cs="Arial" w:eastAsia="Arial" w:hAnsi="Arial"/>
          <w:sz w:val="19"/>
          <w:szCs w:val="19"/>
          <w:color w:val="auto"/>
        </w:rPr>
        <w:t xml:space="preserve"> Each share of Stock to be issued pursuant to Awards granted under the Plan may bear a reference to the investment representations made in accordance with Section 9.4 in addition to any other applicable restrictions under the Plan, the terms of the Award and if applicable under the Stockholders’ Agreement and to the fact that no registration statement has been filed with the Securities and Exchange Commission in respect to such shares of Stock. All certificates for shares of Stock or other securities delivered under the Plan shall be subject to such stop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placed on any such certificates to make appropriate reference to such restrictions.</w:t>
      </w:r>
    </w:p>
    <w:p>
      <w:pPr>
        <w:spacing w:after="0" w:line="152" w:lineRule="exact"/>
        <w:rPr>
          <w:sz w:val="20"/>
          <w:szCs w:val="20"/>
          <w:color w:val="auto"/>
        </w:rPr>
      </w:pPr>
    </w:p>
    <w:p>
      <w:pPr>
        <w:ind w:firstLine="864"/>
        <w:spacing w:after="0"/>
        <w:rPr>
          <w:sz w:val="20"/>
          <w:szCs w:val="20"/>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Whenever shares of Stock are issued or to be issued pursuant to Awards granted under the Plan, the Company shall have the right to require the Participant to remit to the Company an amount sufficient to satisfy federal, state, local or other withholding tax requirements if, when, and to the extent required by law (whether so required to secure for the Company an otherwise available tax deduction or otherwise) or as provided below,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Participant, including, without limitation, pursuant to the Company's delivery of an irrevocable direction to a securities broker (on a form prescribed by the Committee) to sell shares of Stock and to deliver all or part of the sale proceeds to the Company in payment of the amount necessary to satisfy the minimum tax or social insurance obligations required by law to be withheld in respect of Awards and any Greater Amount (as defined below) (such arrangement, a “Sale to Cover Arrangement”). In the Committee’s discretion, the Company's foregoing rights to (x) to have the Participant remit to the Company amounts to satisfy tax withholding requirements and (y) to deduct any such taxes from any payment of any kind otherwise due to the Participant, shall extend to the minimum tax or social insurance obligations required by law to be withheld in respect of Awards, or, if applicable, such other withholding amount (a “Greater Amount”) as mutually agreed upon by the Company and the Participant, up to the sum of all applicable statutory maximum rates (provided, in the case of a Participant who is an “officer” of the Company as defined in Rule 16a-1(f) promulgated pursuant to the Securities Exchange Act of 1934, as amended from time to time, or any successor law (or any successor rule), that such other amount is approved in advance by the Committee or the Board), and provided further, that if any part of such amount is permitted by the Committee at its discretion to be paid in shares of Stock, such shares of Stock shall be valued at their Market Value on the date the applicable tax is incurred. Participants may elect, subject to the approval of the Committee, acting in its sole discretion, to satisfy an applicable withholding requirement, in whole or in part, by having the Company withhold shares of Stock to satisfy their tax obligations or by means of a Sale to Cover Arrangement. However, unless a corresponding Greater Amount is approved in advance by the Committee or the Board, Participants who elect, subject to the approval of the Committee, to satisfy an applicable withholding requirement, in whole or in part, by having the Company withhold shares of Stock to satisfy their tax obligation, may only elect to have shares of Stock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 Any determination that a tax withholding obligation has arisen shall be made without regard to the potential applicability of Section 83(c)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77" w:lineRule="exact"/>
        <w:rPr>
          <w:sz w:val="20"/>
          <w:szCs w:val="20"/>
          <w:color w:val="auto"/>
        </w:rPr>
      </w:pPr>
    </w:p>
    <w:p>
      <w:pPr>
        <w:ind w:right="60" w:firstLine="864"/>
        <w:spacing w:after="0" w:line="222" w:lineRule="auto"/>
        <w:rPr>
          <w:sz w:val="20"/>
          <w:szCs w:val="20"/>
          <w:color w:val="auto"/>
        </w:rPr>
      </w:pPr>
      <w:r>
        <w:rPr>
          <w:rFonts w:ascii="Arial" w:cs="Arial" w:eastAsia="Arial" w:hAnsi="Arial"/>
          <w:sz w:val="21"/>
          <w:szCs w:val="21"/>
          <w:u w:val="single" w:color="auto"/>
          <w:color w:val="auto"/>
        </w:rPr>
        <w:t>Company Charter and By-Laws; Other Company Policies</w:t>
      </w:r>
      <w:r>
        <w:rPr>
          <w:rFonts w:ascii="Arial" w:cs="Arial" w:eastAsia="Arial" w:hAnsi="Arial"/>
          <w:sz w:val="21"/>
          <w:szCs w:val="21"/>
          <w:color w:val="auto"/>
        </w:rPr>
        <w:t>. This Plan and all Awards granted under the Plan (including the exercise, settlement or exchange of an Award) are 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Reservation of Stock</w:t>
      </w:r>
    </w:p>
    <w:p>
      <w:pPr>
        <w:spacing w:after="0" w:line="199" w:lineRule="exact"/>
        <w:rPr>
          <w:sz w:val="20"/>
          <w:szCs w:val="20"/>
          <w:color w:val="auto"/>
        </w:rPr>
      </w:pPr>
    </w:p>
    <w:p>
      <w:pPr>
        <w:ind w:right="320" w:firstLine="648"/>
        <w:spacing w:after="0" w:line="268" w:lineRule="auto"/>
        <w:rPr>
          <w:sz w:val="20"/>
          <w:szCs w:val="20"/>
          <w:color w:val="auto"/>
        </w:rPr>
      </w:pPr>
      <w:r>
        <w:rPr>
          <w:rFonts w:ascii="Arial" w:cs="Arial" w:eastAsia="Arial" w:hAnsi="Arial"/>
          <w:sz w:val="19"/>
          <w:szCs w:val="19"/>
          <w:color w:val="auto"/>
        </w:rPr>
        <w:t>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Limitation of Rights in Stock; No Special Service Rights</w:t>
      </w:r>
    </w:p>
    <w:p>
      <w:pPr>
        <w:spacing w:after="0" w:line="199" w:lineRule="exact"/>
        <w:rPr>
          <w:sz w:val="20"/>
          <w:szCs w:val="20"/>
          <w:color w:val="auto"/>
        </w:rPr>
      </w:pPr>
    </w:p>
    <w:p>
      <w:pPr>
        <w:ind w:right="20" w:firstLine="648"/>
        <w:spacing w:after="0" w:line="220" w:lineRule="auto"/>
        <w:rPr>
          <w:sz w:val="20"/>
          <w:szCs w:val="20"/>
          <w:color w:val="auto"/>
        </w:rPr>
      </w:pPr>
      <w:r>
        <w:rPr>
          <w:rFonts w:ascii="Arial" w:cs="Arial" w:eastAsia="Arial" w:hAnsi="Arial"/>
          <w:sz w:val="21"/>
          <w:szCs w:val="21"/>
          <w:color w:val="auto"/>
        </w:rPr>
        <w:t>A Participant shall not be deemed for any purpose to be a stockholder of the Company with respect to any of the shares of Stock subject to an Award, unless and until a certificate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Unfunded Status of Plan</w:t>
      </w:r>
    </w:p>
    <w:p>
      <w:pPr>
        <w:spacing w:after="0" w:line="199" w:lineRule="exact"/>
        <w:rPr>
          <w:sz w:val="20"/>
          <w:szCs w:val="20"/>
          <w:color w:val="auto"/>
        </w:rPr>
      </w:pPr>
    </w:p>
    <w:p>
      <w:pPr>
        <w:ind w:right="40" w:firstLine="648"/>
        <w:spacing w:after="0" w:line="222" w:lineRule="auto"/>
        <w:rPr>
          <w:sz w:val="20"/>
          <w:szCs w:val="20"/>
          <w:color w:val="auto"/>
        </w:rPr>
      </w:pPr>
      <w:r>
        <w:rPr>
          <w:rFonts w:ascii="Arial" w:cs="Arial" w:eastAsia="Arial" w:hAnsi="Arial"/>
          <w:sz w:val="21"/>
          <w:szCs w:val="21"/>
          <w:color w:val="auto"/>
        </w:rPr>
        <w:t xml:space="preserve">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Stock Rights and other Awards hereunder,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existence of such trusts or other arrangements is consistent with the unfunded status of the Plan.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Nonexclusivity of the Plan</w:t>
      </w:r>
    </w:p>
    <w:p>
      <w:pPr>
        <w:spacing w:after="0" w:line="199" w:lineRule="exact"/>
        <w:rPr>
          <w:sz w:val="20"/>
          <w:szCs w:val="20"/>
          <w:color w:val="auto"/>
        </w:rPr>
      </w:pPr>
    </w:p>
    <w:p>
      <w:pPr>
        <w:ind w:firstLine="648"/>
        <w:spacing w:after="0" w:line="229" w:lineRule="auto"/>
        <w:rPr>
          <w:sz w:val="20"/>
          <w:szCs w:val="20"/>
          <w:color w:val="auto"/>
        </w:rPr>
      </w:pPr>
      <w:r>
        <w:rPr>
          <w:rFonts w:ascii="Arial" w:cs="Arial" w:eastAsia="Arial" w:hAnsi="Arial"/>
          <w:sz w:val="21"/>
          <w:szCs w:val="21"/>
          <w:color w:val="auto"/>
        </w:rPr>
        <w:t>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9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No Guarantee of Tax Consequences</w:t>
      </w:r>
    </w:p>
    <w:p>
      <w:pPr>
        <w:spacing w:after="0" w:line="199"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an Option granted as an Incentive Option has or will qualify as an “incentive stock option” within the meaning of Section 422 of the Code or that the provisions and penalties of Section 409A of the Code, pertaining non-qualified plans of deferred compensation, will or will not apply.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Termination and Amendment of the Plan</w:t>
      </w:r>
    </w:p>
    <w:p>
      <w:pPr>
        <w:spacing w:after="0" w:line="199" w:lineRule="exact"/>
        <w:rPr>
          <w:sz w:val="20"/>
          <w:szCs w:val="20"/>
          <w:color w:val="auto"/>
        </w:rPr>
      </w:pPr>
    </w:p>
    <w:p>
      <w:pPr>
        <w:ind w:right="260" w:firstLine="864"/>
        <w:spacing w:after="0" w:line="229" w:lineRule="auto"/>
        <w:rPr>
          <w:sz w:val="20"/>
          <w:szCs w:val="20"/>
          <w:color w:val="auto"/>
        </w:rPr>
      </w:pPr>
      <w:r>
        <w:rPr>
          <w:rFonts w:ascii="Arial" w:cs="Arial" w:eastAsia="Arial" w:hAnsi="Arial"/>
          <w:sz w:val="21"/>
          <w:szCs w:val="21"/>
          <w:u w:val="single" w:color="auto"/>
          <w:color w:val="auto"/>
        </w:rPr>
        <w:t>Termination or Amendment of the Plan</w:t>
      </w:r>
      <w:r>
        <w:rPr>
          <w:rFonts w:ascii="Arial" w:cs="Arial" w:eastAsia="Arial" w:hAnsi="Arial"/>
          <w:sz w:val="21"/>
          <w:szCs w:val="21"/>
          <w:color w:val="auto"/>
        </w:rPr>
        <w:t>. Subject to the limitations contained in Section 15.3 below, including specifically the requirement of stockholder approval if applicable, the Board may at any time terminate the Plan or make such modifications of the Plan as it shall deem advisable. Unless the Board otherwise expressly provides, no amendment of the Plan shall affect the terms of any Award outstanding on the date of such amendment.</w:t>
      </w:r>
    </w:p>
    <w:p>
      <w:pPr>
        <w:spacing w:after="0" w:line="158" w:lineRule="exact"/>
        <w:rPr>
          <w:sz w:val="20"/>
          <w:szCs w:val="20"/>
          <w:color w:val="auto"/>
        </w:rPr>
      </w:pPr>
    </w:p>
    <w:p>
      <w:pPr>
        <w:ind w:right="40" w:firstLine="864"/>
        <w:spacing w:after="0" w:line="218" w:lineRule="auto"/>
        <w:rPr>
          <w:sz w:val="20"/>
          <w:szCs w:val="20"/>
          <w:color w:val="auto"/>
        </w:rPr>
      </w:pPr>
      <w:r>
        <w:rPr>
          <w:rFonts w:ascii="Arial" w:cs="Arial" w:eastAsia="Arial" w:hAnsi="Arial"/>
          <w:sz w:val="22"/>
          <w:szCs w:val="22"/>
          <w:u w:val="single" w:color="auto"/>
          <w:color w:val="auto"/>
        </w:rPr>
        <w:t>No Repricing and No Cash Buyout.</w:t>
      </w:r>
      <w:r>
        <w:rPr>
          <w:rFonts w:ascii="Arial" w:cs="Arial" w:eastAsia="Arial" w:hAnsi="Arial"/>
          <w:sz w:val="22"/>
          <w:szCs w:val="22"/>
          <w:color w:val="auto"/>
        </w:rPr>
        <w:t xml:space="preserve"> Other than in connection with an adjustment to an Award pursuant to Section 8, the Company shall not, without stockholder approval, at any time when the per Share exercise price of an Option or SAR is greater than Market Value of the underlying Shares, reduce the exercise price of such Option or SAR or exchange such Option or SAR for a new Award with a lower (or no) purchase price or for cash.</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Limitations on Amendments, Etc.</w:t>
      </w:r>
    </w:p>
    <w:p>
      <w:pPr>
        <w:spacing w:after="0" w:line="179"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Without the approval of the Company’s stockholders, no amendment or modification of the Plan by the Board may (i) increase the number of shares of Stock which may be issued under the Plan, (ii) change the description of the persons eligible for Awards, or (iii) effect any other change for which stockholder approval is required by law or the rules of any relevant stock exchange. Furthermore, except in connection with a Corporate Transaction, the terms of outstanding Stock Rights may not be amended to reduce their exercise price, nor may outstanding Stock Rights be cancelled in exchange for cash, Stock Rights with exercise prices that are less than the exercise prices of the original Stock Rights, or other Awards, without stockholder approval.</w:t>
      </w:r>
    </w:p>
    <w:p>
      <w:pPr>
        <w:spacing w:after="0" w:line="152"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No amendment or modification of the Plan by the Board, or of an outstanding Award by the Committee, shall impair the rights of the recipient of any Award outstanding on the date of such amendment or modification or such Award, as the case may be, without the Participant’s consent;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such consent shall be required if (i) the Board or Committee, as the case may be, determines in its sole discretion and prior to the date of any Corporate Transaction that such amendment or alteration either is required or advisable in order for the Company, the Plan or the Award to satisfy any law or regulation, including without limitation the provisions of Section 409A of the Code, or to meet the requirements of or avoid adverse financial accounting consequences under any accounting standard, or (ii) the Board or Committee, as the case may be, determines in its sole discretion and prior to the date of any Corporate Transaction that such amendment or alteration is not reasonably likely to significantly diminish the benefits provided under the Award, or that any such diminution has been adequately compensated.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Notices and Other Communications</w:t>
      </w:r>
    </w:p>
    <w:p>
      <w:pPr>
        <w:spacing w:after="0" w:line="199" w:lineRule="exact"/>
        <w:rPr>
          <w:sz w:val="20"/>
          <w:szCs w:val="20"/>
          <w:color w:val="auto"/>
        </w:rPr>
      </w:pPr>
    </w:p>
    <w:p>
      <w:pPr>
        <w:ind w:right="100" w:firstLine="648"/>
        <w:spacing w:after="0" w:line="221" w:lineRule="auto"/>
        <w:rPr>
          <w:sz w:val="20"/>
          <w:szCs w:val="20"/>
          <w:color w:val="auto"/>
        </w:rPr>
      </w:pPr>
      <w:r>
        <w:rPr>
          <w:rFonts w:ascii="Arial" w:cs="Arial" w:eastAsia="Arial" w:hAnsi="Arial"/>
          <w:sz w:val="21"/>
          <w:szCs w:val="21"/>
          <w:color w:val="auto"/>
        </w:rPr>
        <w:t>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addressed or telecopied, as the case may be, (i) if to the recipient of an Award, at his or her residence address last filed with the Company and (ii) if to the Company, at its principal place of business, addressed to the attention of its Chief Financial Officer, or to such other address or telecopier number, as the case may be, as the addressee may have designated by notice to the addressor. All such notices, requests, demands and other communications shall be deemed to have been received: (i) in the case of personal delivery, on the date of such delivery; (ii) in the case of mailing, when received by the addressee; and (iii) in the case of facsimile transmission, when confirmed by facsimile machine report.</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Administrative Provisions</w:t>
      </w:r>
    </w:p>
    <w:p>
      <w:pPr>
        <w:spacing w:after="0" w:line="199" w:lineRule="exact"/>
        <w:rPr>
          <w:sz w:val="20"/>
          <w:szCs w:val="20"/>
          <w:color w:val="auto"/>
        </w:rPr>
      </w:pPr>
    </w:p>
    <w:p>
      <w:pPr>
        <w:ind w:right="100" w:firstLine="648"/>
        <w:spacing w:after="0" w:line="247" w:lineRule="auto"/>
        <w:rPr>
          <w:sz w:val="20"/>
          <w:szCs w:val="20"/>
          <w:color w:val="auto"/>
        </w:rPr>
      </w:pPr>
      <w:r>
        <w:rPr>
          <w:rFonts w:ascii="Arial" w:cs="Arial" w:eastAsia="Arial" w:hAnsi="Arial"/>
          <w:sz w:val="19"/>
          <w:szCs w:val="19"/>
          <w:color w:val="auto"/>
        </w:rPr>
        <w:t>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Governing Law</w:t>
      </w:r>
    </w:p>
    <w:p>
      <w:pPr>
        <w:spacing w:after="0" w:line="199"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It is intended that all Awards shall be granted and maintained on a basis which ensures they are exempt from, or otherwise compliant with, the requirements of Section 409A of the Code and the Plan shall be governed, interpreted and enforced consistent with such intent. Neither the Committee nor the Company, nor any of its Affiliates or its or their officers, employees, agents, or representatives, shall have any liability or responsibility for any adverse federal, state or local tax consequences and penalty taxes which may result the grant or settlement of any Award on a basis contrary to the provisions of Section 409A of the Code or comparable provisions of any applicable state or local income tax laws. The Plan and all Award Agreements and actions taken thereunder otherwise shall be governed, interpreted and enforced in accordance with the laws of the state of California, without regard to the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10.2</w:t>
      </w:r>
    </w:p>
    <w:p>
      <w:pPr>
        <w:spacing w:after="0" w:line="322"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8X8, INC.</w:t>
      </w:r>
    </w:p>
    <w:p>
      <w:pPr>
        <w:spacing w:after="0" w:line="98"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AMENDED AND RESTATED</w:t>
      </w:r>
    </w:p>
    <w:p>
      <w:pPr>
        <w:spacing w:after="0" w:line="98"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2017 NEW EMPLOYEE INDUCEMENT INCENTIVE PLAN,</w:t>
      </w:r>
    </w:p>
    <w:p>
      <w:pPr>
        <w:spacing w:after="0" w:line="85"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As amended July 27, 2020</w:t>
      </w:r>
    </w:p>
    <w:p>
      <w:pPr>
        <w:spacing w:after="0" w:line="98" w:lineRule="exact"/>
        <w:rPr>
          <w:sz w:val="20"/>
          <w:szCs w:val="20"/>
          <w:color w:val="auto"/>
        </w:rPr>
      </w:pPr>
    </w:p>
    <w:p>
      <w:pPr>
        <w:ind w:left="328" w:hanging="328"/>
        <w:spacing w:after="0"/>
        <w:tabs>
          <w:tab w:leader="none" w:pos="328"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Purposes</w:t>
      </w:r>
    </w:p>
    <w:p>
      <w:pPr>
        <w:spacing w:after="0" w:line="104" w:lineRule="exact"/>
        <w:rPr>
          <w:rFonts w:ascii="Arial" w:cs="Arial" w:eastAsia="Arial" w:hAnsi="Arial"/>
          <w:sz w:val="22"/>
          <w:szCs w:val="22"/>
          <w:color w:val="auto"/>
        </w:rPr>
      </w:pPr>
    </w:p>
    <w:p>
      <w:pPr>
        <w:ind w:left="328" w:right="160"/>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General Purpose</w:t>
      </w:r>
      <w:r>
        <w:rPr>
          <w:rFonts w:ascii="Arial" w:cs="Arial" w:eastAsia="Arial" w:hAnsi="Arial"/>
          <w:sz w:val="22"/>
          <w:szCs w:val="22"/>
          <w:color w:val="auto"/>
        </w:rPr>
        <w:t xml:space="preserve">. The Company, by means of the Plan, seeks to retain the services of persons not previously an employee or director of the Company, or following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period of non-employment, as an inducement material to the individual's entering into employment with the Company within the meaning of Manual Rule 303A.08 of the New York Stock Exchange Listing Rules, and to provide incentives for such persons to exert maximum efforts for the success of the Company and its Affiliates.</w:t>
      </w:r>
    </w:p>
    <w:p>
      <w:pPr>
        <w:spacing w:after="0" w:line="56" w:lineRule="exact"/>
        <w:rPr>
          <w:rFonts w:ascii="Arial" w:cs="Arial" w:eastAsia="Arial" w:hAnsi="Arial"/>
          <w:sz w:val="22"/>
          <w:szCs w:val="22"/>
          <w:color w:val="auto"/>
        </w:rPr>
      </w:pPr>
    </w:p>
    <w:p>
      <w:pPr>
        <w:ind w:left="328" w:right="80"/>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Available Awards</w:t>
      </w:r>
      <w:r>
        <w:rPr>
          <w:rFonts w:ascii="Arial" w:cs="Arial" w:eastAsia="Arial" w:hAnsi="Arial"/>
          <w:sz w:val="22"/>
          <w:szCs w:val="22"/>
          <w:color w:val="auto"/>
        </w:rPr>
        <w:t>. The purpose of the Plan is to provide a means by which eligible recipients of Awards may be given an opportunity to benefit from increases in value of the Common Stock through the granting of the following Stock Awards: Options, Restricted Stock, Restricted Stock Units, Stock Appreciation Rights, Performance Units and Stock Grants.</w:t>
      </w:r>
    </w:p>
    <w:p>
      <w:pPr>
        <w:spacing w:after="0" w:line="60" w:lineRule="exact"/>
        <w:rPr>
          <w:rFonts w:ascii="Arial" w:cs="Arial" w:eastAsia="Arial" w:hAnsi="Arial"/>
          <w:sz w:val="22"/>
          <w:szCs w:val="22"/>
          <w:color w:val="auto"/>
        </w:rPr>
      </w:pPr>
    </w:p>
    <w:p>
      <w:pPr>
        <w:ind w:left="328" w:hanging="328"/>
        <w:spacing w:after="0"/>
        <w:tabs>
          <w:tab w:leader="none" w:pos="328"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04" w:lineRule="exact"/>
        <w:rPr>
          <w:rFonts w:ascii="Arial" w:cs="Arial" w:eastAsia="Arial" w:hAnsi="Arial"/>
          <w:sz w:val="22"/>
          <w:szCs w:val="22"/>
          <w:b w:val="1"/>
          <w:bCs w:val="1"/>
          <w:color w:val="auto"/>
        </w:rPr>
      </w:pPr>
    </w:p>
    <w:p>
      <w:pPr>
        <w:ind w:left="328"/>
        <w:spacing w:after="0"/>
        <w:rPr>
          <w:rFonts w:ascii="Arial" w:cs="Arial" w:eastAsia="Arial" w:hAnsi="Arial"/>
          <w:sz w:val="22"/>
          <w:szCs w:val="22"/>
          <w:b w:val="1"/>
          <w:bCs w:val="1"/>
          <w:color w:val="auto"/>
        </w:rPr>
      </w:pPr>
      <w:r>
        <w:rPr>
          <w:rFonts w:ascii="Arial" w:cs="Arial" w:eastAsia="Arial" w:hAnsi="Arial"/>
          <w:sz w:val="22"/>
          <w:szCs w:val="22"/>
          <w:color w:val="auto"/>
        </w:rPr>
        <w:t>As used in this Plan, the following terms shall have the following meanings:</w:t>
      </w:r>
    </w:p>
    <w:p>
      <w:pPr>
        <w:spacing w:after="0" w:line="84" w:lineRule="exact"/>
        <w:rPr>
          <w:rFonts w:ascii="Arial" w:cs="Arial" w:eastAsia="Arial" w:hAnsi="Arial"/>
          <w:sz w:val="22"/>
          <w:szCs w:val="22"/>
          <w:b w:val="1"/>
          <w:bCs w:val="1"/>
          <w:color w:val="auto"/>
        </w:rPr>
      </w:pPr>
    </w:p>
    <w:p>
      <w:pPr>
        <w:ind w:left="328" w:right="80"/>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 xml:space="preserve">2.1 </w:t>
      </w:r>
      <w:r>
        <w:rPr>
          <w:rFonts w:ascii="Arial" w:cs="Arial" w:eastAsia="Arial" w:hAnsi="Arial"/>
          <w:sz w:val="21"/>
          <w:szCs w:val="21"/>
          <w:b w:val="1"/>
          <w:bCs w:val="1"/>
          <w:i w:val="1"/>
          <w:iCs w:val="1"/>
          <w:color w:val="auto"/>
        </w:rPr>
        <w:t>Accelerate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Accelerated</w:t>
      </w:r>
      <w:r>
        <w:rPr>
          <w:rFonts w:ascii="Arial" w:cs="Arial" w:eastAsia="Arial" w:hAnsi="Arial"/>
          <w:sz w:val="21"/>
          <w:szCs w:val="21"/>
          <w:color w:val="auto"/>
        </w:rPr>
        <w:t xml:space="preserve">, and </w:t>
      </w:r>
      <w:r>
        <w:rPr>
          <w:rFonts w:ascii="Arial" w:cs="Arial" w:eastAsia="Arial" w:hAnsi="Arial"/>
          <w:sz w:val="21"/>
          <w:szCs w:val="21"/>
          <w:b w:val="1"/>
          <w:bCs w:val="1"/>
          <w:i w:val="1"/>
          <w:iCs w:val="1"/>
          <w:color w:val="auto"/>
        </w:rPr>
        <w:t>Acceleration</w:t>
      </w:r>
      <w:r>
        <w:rPr>
          <w:rFonts w:ascii="Arial" w:cs="Arial" w:eastAsia="Arial" w:hAnsi="Arial"/>
          <w:sz w:val="21"/>
          <w:szCs w:val="21"/>
          <w:color w:val="auto"/>
        </w:rPr>
        <w:t xml:space="preserve"> means: (a) when used with respect to a Stock Right, that as of the time of reference the Stock Right will become exercisable with respect to some or all of the shares of Stock for which it was not then otherwise exercisable by its terms; (b) when used with respect to Restricted Stock or Restricted Stock Units, that the Risk of Forfeiture otherwise applicable to the Stock or Units shall expire with respect to some or all of the shares of Restricted Stock or Units then still otherwise subject to the Risk of Forfeiture; and (c) when used with respect to Performance Units, that the applicable Performance Goals or other business objectives shall be deemed to have been met as to some or all of the Units.</w:t>
      </w:r>
    </w:p>
    <w:p>
      <w:pPr>
        <w:spacing w:after="0" w:line="58" w:lineRule="exact"/>
        <w:rPr>
          <w:rFonts w:ascii="Arial" w:cs="Arial" w:eastAsia="Arial" w:hAnsi="Arial"/>
          <w:sz w:val="22"/>
          <w:szCs w:val="22"/>
          <w:b w:val="1"/>
          <w:bCs w:val="1"/>
          <w:color w:val="auto"/>
        </w:rPr>
      </w:pPr>
    </w:p>
    <w:p>
      <w:pPr>
        <w:ind w:left="328" w:right="38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 xml:space="preserve">2.2 </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xml:space="preserve"> means any corporation, partnership, limited liability company, business trust, or other entity controlling, controlled by or under common control with the Company.</w:t>
      </w:r>
    </w:p>
    <w:p>
      <w:pPr>
        <w:spacing w:after="0" w:line="53" w:lineRule="exact"/>
        <w:rPr>
          <w:rFonts w:ascii="Arial" w:cs="Arial" w:eastAsia="Arial" w:hAnsi="Arial"/>
          <w:sz w:val="22"/>
          <w:szCs w:val="22"/>
          <w:b w:val="1"/>
          <w:bCs w:val="1"/>
          <w:color w:val="auto"/>
        </w:rPr>
      </w:pPr>
    </w:p>
    <w:p>
      <w:pPr>
        <w:ind w:left="328" w:right="56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 xml:space="preserve">2.3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means any grant or sale pursuant to the Plan of Options, Stock Appreciation Rights, Performance Units, Restricted Stock, Restricted Stock Units or Stock Grants.</w:t>
      </w:r>
    </w:p>
    <w:p>
      <w:pPr>
        <w:spacing w:after="0" w:line="39" w:lineRule="exact"/>
        <w:rPr>
          <w:rFonts w:ascii="Arial" w:cs="Arial" w:eastAsia="Arial" w:hAnsi="Arial"/>
          <w:sz w:val="22"/>
          <w:szCs w:val="22"/>
          <w:b w:val="1"/>
          <w:bCs w:val="1"/>
          <w:color w:val="auto"/>
        </w:rPr>
      </w:pPr>
    </w:p>
    <w:p>
      <w:pPr>
        <w:ind w:left="328" w:right="4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 xml:space="preserve">2.4 </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xml:space="preserve"> means an agreement between the Company and the recipient of an Award, or other notice of grant of an Award, setting forth the terms and conditions of the Award.</w:t>
      </w:r>
    </w:p>
    <w:p>
      <w:pPr>
        <w:spacing w:after="0" w:line="53" w:lineRule="exact"/>
        <w:rPr>
          <w:rFonts w:ascii="Arial" w:cs="Arial" w:eastAsia="Arial" w:hAnsi="Arial"/>
          <w:sz w:val="22"/>
          <w:szCs w:val="22"/>
          <w:b w:val="1"/>
          <w:bCs w:val="1"/>
          <w:color w:val="auto"/>
        </w:rPr>
      </w:pPr>
    </w:p>
    <w:p>
      <w:pPr>
        <w:ind w:left="328"/>
        <w:spacing w:after="0"/>
        <w:rPr>
          <w:rFonts w:ascii="Arial" w:cs="Arial" w:eastAsia="Arial" w:hAnsi="Arial"/>
          <w:sz w:val="22"/>
          <w:szCs w:val="22"/>
          <w:b w:val="1"/>
          <w:bCs w:val="1"/>
          <w:color w:val="auto"/>
        </w:rPr>
      </w:pPr>
      <w:r>
        <w:rPr>
          <w:rFonts w:ascii="Arial" w:cs="Arial" w:eastAsia="Arial" w:hAnsi="Arial"/>
          <w:sz w:val="22"/>
          <w:szCs w:val="22"/>
          <w:color w:val="auto"/>
        </w:rPr>
        <w:t xml:space="preserve">2.5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xml:space="preserve"> means the Company's Board of Directors.</w:t>
      </w:r>
    </w:p>
    <w:p>
      <w:pPr>
        <w:spacing w:after="0" w:line="98" w:lineRule="exact"/>
        <w:rPr>
          <w:rFonts w:ascii="Arial" w:cs="Arial" w:eastAsia="Arial" w:hAnsi="Arial"/>
          <w:sz w:val="22"/>
          <w:szCs w:val="22"/>
          <w:b w:val="1"/>
          <w:bCs w:val="1"/>
          <w:color w:val="auto"/>
        </w:rPr>
      </w:pPr>
    </w:p>
    <w:p>
      <w:pPr>
        <w:ind w:left="328" w:right="8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 xml:space="preserve">2.6 </w:t>
      </w:r>
      <w:r>
        <w:rPr>
          <w:rFonts w:ascii="Arial" w:cs="Arial" w:eastAsia="Arial" w:hAnsi="Arial"/>
          <w:sz w:val="22"/>
          <w:szCs w:val="22"/>
          <w:b w:val="1"/>
          <w:bCs w:val="1"/>
          <w:i w:val="1"/>
          <w:iCs w:val="1"/>
          <w:color w:val="auto"/>
        </w:rPr>
        <w:t>Code</w:t>
      </w:r>
      <w:r>
        <w:rPr>
          <w:rFonts w:ascii="Arial" w:cs="Arial" w:eastAsia="Arial" w:hAnsi="Arial"/>
          <w:sz w:val="22"/>
          <w:szCs w:val="22"/>
          <w:color w:val="auto"/>
        </w:rPr>
        <w:t xml:space="preserve"> means the Internal Revenue Code of 1986, as amended from time to time, or any successor statute thereto, and any regulations issued from time to time thereunder.</w:t>
      </w:r>
    </w:p>
    <w:p>
      <w:pPr>
        <w:sectPr>
          <w:pgSz w:w="11900" w:h="16838" w:orient="portrait"/>
          <w:cols w:equalWidth="0" w:num="1">
            <w:col w:w="10908"/>
          </w:cols>
          <w:pgMar w:left="652" w:top="1440" w:right="339" w:bottom="1440" w:gutter="0" w:footer="0" w:header="0"/>
        </w:sectPr>
      </w:pPr>
    </w:p>
    <w:bookmarkStart w:id="54" w:name="page55"/>
    <w:bookmarkEnd w:id="54"/>
    <w:p>
      <w:pPr>
        <w:spacing w:after="0" w:line="83"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xml:space="preserve"> means the Compensation Committee of the Board, which in general is responsible for the administration of the Plan, as provided in Section 4 of the Plan. For any period during which no such committee is in existence, "Committee" shall mean the Independent Board, and all authority and responsibility assigned to the Committee under the Plan shall be exercised, if at all, by the Independent Board.</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means 8x8, Inc., a corporation organized under the laws of the State of Delaware.</w:t>
      </w:r>
    </w:p>
    <w:p>
      <w:pPr>
        <w:spacing w:after="0" w:line="9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xml:space="preserve"> means any (1) merger or consolidation of the Company with or into another entity as a result of which the Stock of the Company is converted into or exchanged for the right to receive cash, securities or other property or is cancelled, (2) sale or exchange of all of the Stock of the Company for cash, securities or other property, (3) sale, transfer, or other disposition of all or substantially all of the Company's assets to one or more other persons in a single transaction or series of related transactions or (4) liquidation or dissolution of the Company; except, in the case of clauses (1) and (2), for a transaction the principal purpose of which is to change the state in which the Company is incorporated.</w:t>
      </w:r>
    </w:p>
    <w:p>
      <w:pPr>
        <w:spacing w:after="0" w:line="75"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xml:space="preserve"> means the date on which this Plan has been approved by the Board, including the Independent Board.</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xml:space="preserve"> means the Securities Exchange Act of 1934, as amended.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xml:space="preserve"> means the date as of which an Option is granted, as determined under Section 6.1(a).</w:t>
      </w:r>
    </w:p>
    <w:p>
      <w:pPr>
        <w:spacing w:after="0" w:line="98"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21"/>
          <w:szCs w:val="21"/>
          <w:b w:val="1"/>
          <w:bCs w:val="1"/>
          <w:i w:val="1"/>
          <w:iCs w:val="1"/>
          <w:color w:val="auto"/>
        </w:rPr>
        <w:t>Independent Board</w:t>
      </w:r>
      <w:r>
        <w:rPr>
          <w:rFonts w:ascii="Arial" w:cs="Arial" w:eastAsia="Arial" w:hAnsi="Arial"/>
          <w:sz w:val="21"/>
          <w:szCs w:val="21"/>
          <w:color w:val="auto"/>
        </w:rPr>
        <w:t xml:space="preserve"> means a majority of the independent directors on the Board. "</w:t>
      </w:r>
      <w:r>
        <w:rPr>
          <w:rFonts w:ascii="Arial" w:cs="Arial" w:eastAsia="Arial" w:hAnsi="Arial"/>
          <w:sz w:val="21"/>
          <w:szCs w:val="21"/>
          <w:b w:val="1"/>
          <w:bCs w:val="1"/>
          <w:i w:val="1"/>
          <w:iCs w:val="1"/>
          <w:color w:val="auto"/>
        </w:rPr>
        <w:t>Independent director</w:t>
      </w:r>
      <w:r>
        <w:rPr>
          <w:rFonts w:ascii="Arial" w:cs="Arial" w:eastAsia="Arial" w:hAnsi="Arial"/>
          <w:sz w:val="21"/>
          <w:szCs w:val="21"/>
          <w:color w:val="auto"/>
        </w:rPr>
        <w:t>" has the meaning given under Manual Rule 303.08 of the New York Stock Exchange Listing Rules.</w:t>
      </w:r>
    </w:p>
    <w:p>
      <w:pPr>
        <w:spacing w:after="0" w:line="1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b w:val="1"/>
          <w:bCs w:val="1"/>
          <w:i w:val="1"/>
          <w:iCs w:val="1"/>
          <w:color w:val="auto"/>
        </w:rPr>
        <w:t>Market Value</w:t>
      </w:r>
      <w:r>
        <w:rPr>
          <w:rFonts w:ascii="Arial" w:cs="Arial" w:eastAsia="Arial" w:hAnsi="Arial"/>
          <w:sz w:val="22"/>
          <w:szCs w:val="22"/>
          <w:color w:val="auto"/>
        </w:rPr>
        <w:t xml:space="preserve"> means the value of a share of Stock on a particular date determined by such methods or procedures as may be established by the Committee. Unless otherwise determined by the Committee, the Market Value of Stock as of any date is: (a) the closing price for the Stock as reported on the New York Stock Exchange (or on any other national securities exchange on which the Stock is then listed) for that date or, if no closing price is reported for that date, the closing price on the next preceding date for which a closing price was reported; or (b)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xml:space="preserve"> means an option to purchase shares of Stock.</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b w:val="1"/>
          <w:bCs w:val="1"/>
          <w:i w:val="1"/>
          <w:iCs w:val="1"/>
          <w:color w:val="auto"/>
        </w:rPr>
        <w:t>Optionee</w:t>
      </w:r>
      <w:r>
        <w:rPr>
          <w:rFonts w:ascii="Arial" w:cs="Arial" w:eastAsia="Arial" w:hAnsi="Arial"/>
          <w:sz w:val="22"/>
          <w:szCs w:val="22"/>
          <w:color w:val="auto"/>
        </w:rPr>
        <w:t xml:space="preserve"> means a Participant to whom an Option shall have been granted under the Plan.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xml:space="preserve"> means any holder of an outstanding Award under the Plan.</w:t>
      </w:r>
    </w:p>
    <w:p>
      <w:pPr>
        <w:spacing w:after="0" w:line="98"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xml:space="preserve"> means the criteria that the Committee selects for purposes of establishing the Performance Goal or Performance Goals for a Participant for a Performance Period. The Performance Criteria used to establish Performance Goals are</w:t>
      </w:r>
    </w:p>
    <w:p>
      <w:pPr>
        <w:sectPr>
          <w:pgSz w:w="11900" w:h="16838" w:orient="portrait"/>
          <w:cols w:equalWidth="0" w:num="1">
            <w:col w:w="10520"/>
          </w:cols>
          <w:pgMar w:left="980" w:top="1440" w:right="399" w:bottom="1440" w:gutter="0" w:footer="0" w:header="0"/>
        </w:sectPr>
      </w:pPr>
    </w:p>
    <w:bookmarkStart w:id="55" w:name="page56"/>
    <w:bookmarkEnd w:id="55"/>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limited to: (i) cash flow (before or after dividends), (ii) earnings per share (including, without limitation, earnings before interest, taxes, depreciation and amortization), (iii) stock price, (iv) return on equity, (v) stockholder return or total stockholder return, (vi) return on capital (including, without limitation, return on total capital or return on invested capital), (vii) return on investment, (viii) return on assets or net assets, (ix) market capitalization, (x) economic value added, (xi) debt leverage (debt to capital), (xii) revenue, (xiii) sales or net sales, (xiv) backlog, (xv) income, pre-tax income or net income, (xvi) operating income or pre-tax profit, (xvii) operating profit, net operating profit or economic profit, (xviii) gross margin, operating margin or profit margin, (xix) return on operating revenue or return on operating assets, (xx) cash from operations, (xxi) operating ratio, (xxii) operating revenue, (xxiii) market share improvement, (xxiv) general and administrative expenses and (xxv) customer service.</w:t>
      </w:r>
    </w:p>
    <w:p>
      <w:pPr>
        <w:spacing w:after="0" w:line="44"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 xml:space="preserve">2.19 </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xml:space="preserve"> means, for a Performance Period, the written goal or goals established by the Committee for the Performance Period based upon one or more of the Performance Criteria. The Performance Goals may be expressed in terms of overall Company performance or the performance of a division, business unit, subsidiary, or an individual, either individually, alternatively or in any combination, applied to either the Company as a whole or to a business unit or Affiliate,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The Committee will objectively define the manner of calculating the Performance Goal or Goals it selects to use for such Performance Period for such Participant, including whether or to what extent there shall not be taken into account any of the following events that occurs during a performance period: (i) asset write-downs, (ii) litigation, claims, judgments or settlements, (iii) the effect of changes in tax law, accounting principles or other such laws or provisions affecting reported results, (iv) accruals for reorganization and restructuring programs and (v) any extraordinary, unusual, non-recurring or non-comparable items (A) as described in Accounting Standard Codification Section 225-20 (or its successor provisions), (B) as described in management's discussion and analysis of financial condition and results of operations appearing in the Company's annual report to stockholders for the applicable year, or (C) publicly announced by the Company in a press release or conference call relating to the Company's results of operations or financial condition for a completed quarterly or annual fiscal period.</w:t>
      </w:r>
    </w:p>
    <w:p>
      <w:pPr>
        <w:spacing w:after="0" w:line="47"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 xml:space="preserve">2.20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xml:space="preserve"> means the one or more periods, which may be of varying and overlapping durations, selected by the Committee, over which the attainment of one or more Performance Goals or other business objectives will be measured for purposes of determining a Participant's right to, and the payment of, a Performance Unit.</w:t>
      </w:r>
    </w:p>
    <w:p>
      <w:pPr>
        <w:spacing w:after="0" w:line="12"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b w:val="1"/>
          <w:bCs w:val="1"/>
          <w:i w:val="1"/>
          <w:iCs w:val="1"/>
          <w:color w:val="auto"/>
        </w:rPr>
        <w:t>Performance Unit</w:t>
      </w:r>
      <w:r>
        <w:rPr>
          <w:rFonts w:ascii="Arial" w:cs="Arial" w:eastAsia="Arial" w:hAnsi="Arial"/>
          <w:sz w:val="22"/>
          <w:szCs w:val="22"/>
          <w:color w:val="auto"/>
        </w:rPr>
        <w:t xml:space="preserve"> means a right granted to a Participant under Section 6.5, to receive cash, Stock or other Awards, the payment of which is contingent on achieving Performance Goals or other business objectives established by the Committee.</w:t>
      </w:r>
    </w:p>
    <w:p>
      <w:pPr>
        <w:sectPr>
          <w:pgSz w:w="11900" w:h="16838" w:orient="portrait"/>
          <w:cols w:equalWidth="0" w:num="1">
            <w:col w:w="10580"/>
          </w:cols>
          <w:pgMar w:left="980" w:top="1440" w:right="339" w:bottom="1440" w:gutter="0" w:footer="0" w:header="0"/>
        </w:sectPr>
      </w:pPr>
    </w:p>
    <w:bookmarkStart w:id="56" w:name="page57"/>
    <w:bookmarkEnd w:id="56"/>
    <w:p>
      <w:pPr>
        <w:spacing w:after="0" w:line="83" w:lineRule="exact"/>
        <w:rPr>
          <w:sz w:val="20"/>
          <w:szCs w:val="20"/>
          <w:color w:val="auto"/>
        </w:rPr>
      </w:pPr>
    </w:p>
    <w:p>
      <w:pPr>
        <w:ind w:left="328" w:right="540"/>
        <w:spacing w:after="0" w:line="263"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xml:space="preserve"> means this Amended and Restated 2017 New Employee Inducement Incentive Plan of the Company, as amended from time to time, and including any attachments or addenda hereto.</w:t>
      </w:r>
    </w:p>
    <w:p>
      <w:pPr>
        <w:spacing w:after="0" w:line="40" w:lineRule="exact"/>
        <w:rPr>
          <w:sz w:val="20"/>
          <w:szCs w:val="20"/>
          <w:color w:val="auto"/>
        </w:rPr>
      </w:pPr>
    </w:p>
    <w:p>
      <w:pPr>
        <w:ind w:left="328"/>
        <w:spacing w:after="0"/>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b w:val="1"/>
          <w:bCs w:val="1"/>
          <w:i w:val="1"/>
          <w:iCs w:val="1"/>
          <w:color w:val="auto"/>
        </w:rPr>
        <w:t>Restricted Stock</w:t>
      </w:r>
      <w:r>
        <w:rPr>
          <w:rFonts w:ascii="Arial" w:cs="Arial" w:eastAsia="Arial" w:hAnsi="Arial"/>
          <w:sz w:val="21"/>
          <w:szCs w:val="21"/>
          <w:color w:val="auto"/>
        </w:rPr>
        <w:t xml:space="preserve"> means a grant or sale of shares of Stock to a Participant subject to a Risk of Forfeiture.</w:t>
      </w:r>
    </w:p>
    <w:p>
      <w:pPr>
        <w:spacing w:after="0" w:line="110" w:lineRule="exact"/>
        <w:rPr>
          <w:sz w:val="20"/>
          <w:szCs w:val="20"/>
          <w:color w:val="auto"/>
        </w:rPr>
      </w:pPr>
    </w:p>
    <w:p>
      <w:pPr>
        <w:ind w:left="328"/>
        <w:spacing w:after="0" w:line="263"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b w:val="1"/>
          <w:bCs w:val="1"/>
          <w:i w:val="1"/>
          <w:iCs w:val="1"/>
          <w:color w:val="auto"/>
        </w:rPr>
        <w:t>Restricted Stock Units</w:t>
      </w:r>
      <w:r>
        <w:rPr>
          <w:rFonts w:ascii="Arial" w:cs="Arial" w:eastAsia="Arial" w:hAnsi="Arial"/>
          <w:sz w:val="22"/>
          <w:szCs w:val="22"/>
          <w:color w:val="auto"/>
        </w:rPr>
        <w:t xml:space="preserve"> means rights to receive shares of Stock at the close of a Restriction Period, subject to a Risk of Forfeiture.</w:t>
      </w:r>
    </w:p>
    <w:p>
      <w:pPr>
        <w:spacing w:after="0" w:line="53" w:lineRule="exact"/>
        <w:rPr>
          <w:sz w:val="20"/>
          <w:szCs w:val="20"/>
          <w:color w:val="auto"/>
        </w:rPr>
      </w:pPr>
    </w:p>
    <w:p>
      <w:pPr>
        <w:ind w:left="328" w:right="420"/>
        <w:spacing w:after="0" w:line="253"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b w:val="1"/>
          <w:bCs w:val="1"/>
          <w:i w:val="1"/>
          <w:iCs w:val="1"/>
          <w:color w:val="auto"/>
        </w:rPr>
        <w:t>Restriction Period</w:t>
      </w:r>
      <w:r>
        <w:rPr>
          <w:rFonts w:ascii="Arial" w:cs="Arial" w:eastAsia="Arial" w:hAnsi="Arial"/>
          <w:sz w:val="22"/>
          <w:szCs w:val="22"/>
          <w:color w:val="auto"/>
        </w:rPr>
        <w:t xml:space="preserve"> means the period of time, established by the Committee in connection with an Award of Restricted Stock or Restricted Stock Units, during which the shares of Restricted Stock or Restricted Stock Units are subject to a Risk of Forfeiture described in the applicable Award Agreement.</w:t>
      </w:r>
    </w:p>
    <w:p>
      <w:pPr>
        <w:spacing w:after="0" w:line="50" w:lineRule="exact"/>
        <w:rPr>
          <w:sz w:val="20"/>
          <w:szCs w:val="20"/>
          <w:color w:val="auto"/>
        </w:rPr>
      </w:pPr>
    </w:p>
    <w:p>
      <w:pPr>
        <w:ind w:left="328" w:right="160"/>
        <w:spacing w:after="0" w:line="271" w:lineRule="auto"/>
        <w:rPr>
          <w:sz w:val="20"/>
          <w:szCs w:val="20"/>
          <w:color w:val="auto"/>
        </w:rPr>
      </w:pPr>
      <w:r>
        <w:rPr>
          <w:rFonts w:ascii="Arial" w:cs="Arial" w:eastAsia="Arial" w:hAnsi="Arial"/>
          <w:sz w:val="21"/>
          <w:szCs w:val="21"/>
          <w:color w:val="auto"/>
        </w:rPr>
        <w:t xml:space="preserve">2.26 </w:t>
      </w:r>
      <w:r>
        <w:rPr>
          <w:rFonts w:ascii="Arial" w:cs="Arial" w:eastAsia="Arial" w:hAnsi="Arial"/>
          <w:sz w:val="21"/>
          <w:szCs w:val="21"/>
          <w:b w:val="1"/>
          <w:bCs w:val="1"/>
          <w:i w:val="1"/>
          <w:iCs w:val="1"/>
          <w:color w:val="auto"/>
        </w:rPr>
        <w:t>Risk of Forfeiture</w:t>
      </w:r>
      <w:r>
        <w:rPr>
          <w:rFonts w:ascii="Arial" w:cs="Arial" w:eastAsia="Arial" w:hAnsi="Arial"/>
          <w:sz w:val="21"/>
          <w:szCs w:val="21"/>
          <w:color w:val="auto"/>
        </w:rPr>
        <w:t xml:space="preserve"> means a limitation on the right of the Participant to retain Restricted Stock or Restricted Stock Units, including a right in the Company to reacquire shares of Restricted Stock at less than their then Market Value, arising because of the occurrence or non-occurrence of specified events or conditions.</w:t>
      </w:r>
    </w:p>
    <w:p>
      <w:pPr>
        <w:spacing w:after="0" w:line="46"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xml:space="preserve"> means the Securities Act of 1933, as amended.</w:t>
      </w:r>
    </w:p>
    <w:p>
      <w:pPr>
        <w:spacing w:after="0" w:line="98"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2.28  </w:t>
      </w:r>
      <w:r>
        <w:rPr>
          <w:rFonts w:ascii="Arial" w:cs="Arial" w:eastAsia="Arial" w:hAnsi="Arial"/>
          <w:sz w:val="22"/>
          <w:szCs w:val="22"/>
          <w:b w:val="1"/>
          <w:bCs w:val="1"/>
          <w:i w:val="1"/>
          <w:iCs w:val="1"/>
          <w:color w:val="auto"/>
        </w:rPr>
        <w:t>SEC</w:t>
      </w:r>
      <w:r>
        <w:rPr>
          <w:rFonts w:ascii="Arial" w:cs="Arial" w:eastAsia="Arial" w:hAnsi="Arial"/>
          <w:sz w:val="22"/>
          <w:szCs w:val="22"/>
          <w:color w:val="auto"/>
        </w:rPr>
        <w:t xml:space="preserve"> means the Securities and Exchange Commission.</w:t>
      </w:r>
    </w:p>
    <w:p>
      <w:pPr>
        <w:spacing w:after="0" w:line="85" w:lineRule="exact"/>
        <w:rPr>
          <w:sz w:val="20"/>
          <w:szCs w:val="20"/>
          <w:color w:val="auto"/>
        </w:rPr>
      </w:pPr>
    </w:p>
    <w:p>
      <w:pPr>
        <w:ind w:left="328" w:right="520"/>
        <w:spacing w:after="0" w:line="263" w:lineRule="auto"/>
        <w:rPr>
          <w:sz w:val="20"/>
          <w:szCs w:val="20"/>
          <w:color w:val="auto"/>
        </w:rPr>
      </w:pPr>
      <w:r>
        <w:rPr>
          <w:rFonts w:ascii="Arial" w:cs="Arial" w:eastAsia="Arial" w:hAnsi="Arial"/>
          <w:sz w:val="22"/>
          <w:szCs w:val="22"/>
          <w:color w:val="auto"/>
        </w:rPr>
        <w:t xml:space="preserve">2.29 </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xml:space="preserve"> means common stock, par value $0.001 per share, of the Company, and such other securities as may be substituted for Stock pursuant to Section 7.</w:t>
      </w:r>
    </w:p>
    <w:p>
      <w:pPr>
        <w:spacing w:after="0" w:line="53" w:lineRule="exact"/>
        <w:rPr>
          <w:sz w:val="20"/>
          <w:szCs w:val="20"/>
          <w:color w:val="auto"/>
        </w:rPr>
      </w:pPr>
    </w:p>
    <w:p>
      <w:pPr>
        <w:ind w:left="328" w:right="320"/>
        <w:spacing w:after="0" w:line="263" w:lineRule="auto"/>
        <w:rPr>
          <w:sz w:val="20"/>
          <w:szCs w:val="20"/>
          <w:color w:val="auto"/>
        </w:rPr>
      </w:pPr>
      <w:r>
        <w:rPr>
          <w:rFonts w:ascii="Arial" w:cs="Arial" w:eastAsia="Arial" w:hAnsi="Arial"/>
          <w:sz w:val="22"/>
          <w:szCs w:val="22"/>
          <w:color w:val="auto"/>
        </w:rPr>
        <w:t xml:space="preserve">2.30 </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xml:space="preserve"> means a right to receive any excess in the Market Value of shares of Stock (except as otherwise provided in Section 6.2(c)) over a specified exercise price.</w:t>
      </w:r>
    </w:p>
    <w:p>
      <w:pPr>
        <w:spacing w:after="0" w:line="53" w:lineRule="exact"/>
        <w:rPr>
          <w:sz w:val="20"/>
          <w:szCs w:val="20"/>
          <w:color w:val="auto"/>
        </w:rPr>
      </w:pPr>
    </w:p>
    <w:p>
      <w:pPr>
        <w:ind w:left="328"/>
        <w:spacing w:after="0"/>
        <w:rPr>
          <w:sz w:val="20"/>
          <w:szCs w:val="20"/>
          <w:color w:val="auto"/>
        </w:rPr>
      </w:pPr>
      <w:r>
        <w:rPr>
          <w:rFonts w:ascii="Arial" w:cs="Arial" w:eastAsia="Arial" w:hAnsi="Arial"/>
          <w:sz w:val="21"/>
          <w:szCs w:val="21"/>
          <w:color w:val="auto"/>
        </w:rPr>
        <w:t xml:space="preserve">2.31  </w:t>
      </w:r>
      <w:r>
        <w:rPr>
          <w:rFonts w:ascii="Arial" w:cs="Arial" w:eastAsia="Arial" w:hAnsi="Arial"/>
          <w:sz w:val="21"/>
          <w:szCs w:val="21"/>
          <w:b w:val="1"/>
          <w:bCs w:val="1"/>
          <w:i w:val="1"/>
          <w:iCs w:val="1"/>
          <w:color w:val="auto"/>
        </w:rPr>
        <w:t>Stock Grant</w:t>
      </w:r>
      <w:r>
        <w:rPr>
          <w:rFonts w:ascii="Arial" w:cs="Arial" w:eastAsia="Arial" w:hAnsi="Arial"/>
          <w:sz w:val="21"/>
          <w:szCs w:val="21"/>
          <w:color w:val="auto"/>
        </w:rPr>
        <w:t xml:space="preserve"> means the grant of shares of Stock not subject to restrictions or other forfeiture conditions.</w:t>
      </w:r>
    </w:p>
    <w:p>
      <w:pPr>
        <w:spacing w:after="0" w:line="96"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2.32  </w:t>
      </w:r>
      <w:r>
        <w:rPr>
          <w:rFonts w:ascii="Arial" w:cs="Arial" w:eastAsia="Arial" w:hAnsi="Arial"/>
          <w:sz w:val="22"/>
          <w:szCs w:val="22"/>
          <w:b w:val="1"/>
          <w:bCs w:val="1"/>
          <w:i w:val="1"/>
          <w:iCs w:val="1"/>
          <w:color w:val="auto"/>
        </w:rPr>
        <w:t>Stock Right</w:t>
      </w:r>
      <w:r>
        <w:rPr>
          <w:rFonts w:ascii="Arial" w:cs="Arial" w:eastAsia="Arial" w:hAnsi="Arial"/>
          <w:sz w:val="22"/>
          <w:szCs w:val="22"/>
          <w:color w:val="auto"/>
        </w:rPr>
        <w:t xml:space="preserve"> means an Award in the form of an Option or a Stock Appreciation Right.</w:t>
      </w:r>
    </w:p>
    <w:p>
      <w:pPr>
        <w:spacing w:after="0" w:line="98" w:lineRule="exact"/>
        <w:rPr>
          <w:sz w:val="20"/>
          <w:szCs w:val="20"/>
          <w:color w:val="auto"/>
        </w:rPr>
      </w:pPr>
    </w:p>
    <w:p>
      <w:pPr>
        <w:ind w:left="328" w:right="80"/>
        <w:spacing w:after="0" w:line="312" w:lineRule="auto"/>
        <w:rPr>
          <w:sz w:val="20"/>
          <w:szCs w:val="20"/>
          <w:color w:val="auto"/>
        </w:rPr>
      </w:pPr>
      <w:r>
        <w:rPr>
          <w:rFonts w:ascii="Arial" w:cs="Arial" w:eastAsia="Arial" w:hAnsi="Arial"/>
          <w:sz w:val="19"/>
          <w:szCs w:val="19"/>
          <w:color w:val="auto"/>
        </w:rPr>
        <w:t xml:space="preserve">2.33 </w:t>
      </w:r>
      <w:r>
        <w:rPr>
          <w:rFonts w:ascii="Arial" w:cs="Arial" w:eastAsia="Arial" w:hAnsi="Arial"/>
          <w:sz w:val="19"/>
          <w:szCs w:val="19"/>
          <w:b w:val="1"/>
          <w:bCs w:val="1"/>
          <w:i w:val="1"/>
          <w:iCs w:val="1"/>
          <w:color w:val="auto"/>
        </w:rPr>
        <w:t>Stockholders' Agreement</w:t>
      </w:r>
      <w:r>
        <w:rPr>
          <w:rFonts w:ascii="Arial" w:cs="Arial" w:eastAsia="Arial" w:hAnsi="Arial"/>
          <w:sz w:val="19"/>
          <w:szCs w:val="19"/>
          <w:color w:val="auto"/>
        </w:rPr>
        <w:t xml:space="preserve"> means any agreement by and among the holders of at least a majority of the outstanding voting securities of the Company and setting forth, among other provisions, restrictions upon the transfer of shares of Stock or on the exercise of rights appurtenant thereto (including, but not limited to, voting rights).</w:t>
      </w:r>
    </w:p>
    <w:p>
      <w:pPr>
        <w:spacing w:after="0" w:line="6" w:lineRule="exact"/>
        <w:rPr>
          <w:sz w:val="20"/>
          <w:szCs w:val="20"/>
          <w:color w:val="auto"/>
        </w:rPr>
      </w:pPr>
    </w:p>
    <w:p>
      <w:pPr>
        <w:ind w:left="328" w:hanging="328"/>
        <w:spacing w:after="0"/>
        <w:tabs>
          <w:tab w:leader="none" w:pos="328"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 Term of the Plan</w:t>
      </w:r>
    </w:p>
    <w:p>
      <w:pPr>
        <w:spacing w:after="0" w:line="90" w:lineRule="exact"/>
        <w:rPr>
          <w:rFonts w:ascii="Arial" w:cs="Arial" w:eastAsia="Arial" w:hAnsi="Arial"/>
          <w:sz w:val="22"/>
          <w:szCs w:val="22"/>
          <w:b w:val="1"/>
          <w:bCs w:val="1"/>
          <w:color w:val="auto"/>
        </w:rPr>
      </w:pPr>
    </w:p>
    <w:p>
      <w:pPr>
        <w:ind w:left="328" w:right="60"/>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Number of Shares</w:t>
      </w:r>
      <w:r>
        <w:rPr>
          <w:rFonts w:ascii="Arial" w:cs="Arial" w:eastAsia="Arial" w:hAnsi="Arial"/>
          <w:sz w:val="19"/>
          <w:szCs w:val="19"/>
          <w:color w:val="auto"/>
        </w:rPr>
        <w:t xml:space="preserve">. Subject to Section 7.1, the aggregate number of shares of Stock that have been reserved for issuance pursuant to this Plan is </w:t>
      </w:r>
      <w:r>
        <w:rPr>
          <w:rFonts w:ascii="Arial" w:cs="Arial" w:eastAsia="Arial" w:hAnsi="Arial"/>
          <w:sz w:val="19"/>
          <w:szCs w:val="19"/>
          <w:b w:val="1"/>
          <w:bCs w:val="1"/>
          <w:color w:val="auto"/>
        </w:rPr>
        <w:t>Two Million, Five Hundred Thousand (2,500,000)</w:t>
      </w:r>
      <w:r>
        <w:rPr>
          <w:rFonts w:ascii="Arial" w:cs="Arial" w:eastAsia="Arial" w:hAnsi="Arial"/>
          <w:sz w:val="19"/>
          <w:szCs w:val="19"/>
          <w:color w:val="auto"/>
        </w:rPr>
        <w:t xml:space="preserve"> shares, and at no time shall the number of shares of Stock issued pursuant to or subject to outstanding Awards granted under the Plan exceed such number. For purposes of applying the foregoing limitation, settlement of any Award shall not count against the foregoing limitations except to the extent settled in the form of Stock and, without limiting the generality of the foregoing:</w:t>
      </w:r>
    </w:p>
    <w:p>
      <w:pPr>
        <w:spacing w:after="0" w:line="25" w:lineRule="exact"/>
        <w:rPr>
          <w:rFonts w:ascii="Arial" w:cs="Arial" w:eastAsia="Arial" w:hAnsi="Arial"/>
          <w:sz w:val="22"/>
          <w:szCs w:val="22"/>
          <w:b w:val="1"/>
          <w:bCs w:val="1"/>
          <w:color w:val="auto"/>
        </w:rPr>
      </w:pPr>
    </w:p>
    <w:p>
      <w:pPr>
        <w:ind w:left="968" w:hanging="320"/>
        <w:spacing w:after="0" w:line="263" w:lineRule="auto"/>
        <w:tabs>
          <w:tab w:leader="none" w:pos="956"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any Option or Stock-settled Stock Appreciation Right expires, terminates, or is cancelled for any reason without having been exercised in full, or if any other</w:t>
      </w:r>
    </w:p>
    <w:p>
      <w:pPr>
        <w:sectPr>
          <w:pgSz w:w="11900" w:h="16838" w:orient="portrait"/>
          <w:cols w:equalWidth="0" w:num="1">
            <w:col w:w="10828"/>
          </w:cols>
          <w:pgMar w:left="652" w:top="1440" w:right="419" w:bottom="1440" w:gutter="0" w:footer="0" w:header="0"/>
        </w:sectPr>
      </w:pPr>
    </w:p>
    <w:bookmarkStart w:id="57" w:name="page58"/>
    <w:bookmarkEnd w:id="57"/>
    <w:p>
      <w:pPr>
        <w:spacing w:after="0" w:line="83" w:lineRule="exact"/>
        <w:rPr>
          <w:sz w:val="20"/>
          <w:szCs w:val="20"/>
          <w:color w:val="auto"/>
        </w:rPr>
      </w:pPr>
    </w:p>
    <w:p>
      <w:pPr>
        <w:ind w:left="968" w:right="40"/>
        <w:spacing w:after="0" w:line="253" w:lineRule="auto"/>
        <w:rPr>
          <w:sz w:val="20"/>
          <w:szCs w:val="20"/>
          <w:color w:val="auto"/>
        </w:rPr>
      </w:pPr>
      <w:r>
        <w:rPr>
          <w:rFonts w:ascii="Arial" w:cs="Arial" w:eastAsia="Arial" w:hAnsi="Arial"/>
          <w:sz w:val="22"/>
          <w:szCs w:val="22"/>
          <w:color w:val="auto"/>
        </w:rPr>
        <w:t>Award is forfeited by the recipient or repurchased at less than its Market Value as a means of effecting a forfeiture, the shares of Stock not purchased by the Optionee or which are forfeited by the recipient or repurchased shall again be available for Awards to be granted under the Plan;</w:t>
      </w:r>
    </w:p>
    <w:p>
      <w:pPr>
        <w:spacing w:after="0" w:line="50" w:lineRule="exact"/>
        <w:rPr>
          <w:sz w:val="20"/>
          <w:szCs w:val="20"/>
          <w:color w:val="auto"/>
        </w:rPr>
      </w:pPr>
    </w:p>
    <w:p>
      <w:pPr>
        <w:ind w:left="968" w:hanging="320"/>
        <w:spacing w:after="0" w:line="250" w:lineRule="auto"/>
        <w:tabs>
          <w:tab w:leader="none" w:pos="968"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any Option is exercised by delivering previously owned shares of Stock in payment of the exercise price therefor, only the net number of shares, that is, the number of shares of Stock issued minus the number received by the Company in payment of the exercise price, shall be considered to have been issued pursuant to an Award granted under the Plan; and</w:t>
      </w:r>
    </w:p>
    <w:p>
      <w:pPr>
        <w:spacing w:after="0" w:line="66" w:lineRule="exact"/>
        <w:rPr>
          <w:rFonts w:ascii="Arial" w:cs="Arial" w:eastAsia="Arial" w:hAnsi="Arial"/>
          <w:sz w:val="22"/>
          <w:szCs w:val="22"/>
          <w:color w:val="auto"/>
        </w:rPr>
      </w:pPr>
    </w:p>
    <w:p>
      <w:pPr>
        <w:ind w:left="968" w:right="20" w:hanging="320"/>
        <w:spacing w:after="0" w:line="263" w:lineRule="auto"/>
        <w:tabs>
          <w:tab w:leader="none" w:pos="956"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shares of Stock either tendered or withheld in satisfaction of tax withholding obligations of the Company or an Affiliate shall again be available for issuance under the Plan.</w:t>
      </w:r>
    </w:p>
    <w:p>
      <w:pPr>
        <w:spacing w:after="0" w:line="53" w:lineRule="exact"/>
        <w:rPr>
          <w:sz w:val="20"/>
          <w:szCs w:val="20"/>
          <w:color w:val="auto"/>
        </w:rPr>
      </w:pPr>
    </w:p>
    <w:p>
      <w:pPr>
        <w:ind w:left="328" w:right="200"/>
        <w:spacing w:after="0" w:line="263" w:lineRule="auto"/>
        <w:rPr>
          <w:sz w:val="20"/>
          <w:szCs w:val="20"/>
          <w:color w:val="auto"/>
        </w:rPr>
      </w:pPr>
      <w:r>
        <w:rPr>
          <w:rFonts w:ascii="Arial" w:cs="Arial" w:eastAsia="Arial" w:hAnsi="Arial"/>
          <w:sz w:val="22"/>
          <w:szCs w:val="22"/>
          <w:color w:val="auto"/>
        </w:rPr>
        <w:t>Shares of Stock issued pursuant to the Plan may be either authorized but unissued shares or shares held by the Company in its treasury.</w:t>
      </w:r>
    </w:p>
    <w:p>
      <w:pPr>
        <w:spacing w:after="0" w:line="40" w:lineRule="exact"/>
        <w:rPr>
          <w:sz w:val="20"/>
          <w:szCs w:val="20"/>
          <w:color w:val="auto"/>
        </w:rPr>
      </w:pPr>
    </w:p>
    <w:p>
      <w:pPr>
        <w:ind w:left="328" w:right="40"/>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w:t>
      </w:r>
      <w:r>
        <w:rPr>
          <w:rFonts w:ascii="Arial" w:cs="Arial" w:eastAsia="Arial" w:hAnsi="Arial"/>
          <w:sz w:val="22"/>
          <w:szCs w:val="22"/>
          <w:color w:val="auto"/>
        </w:rPr>
        <w:t>. Unless the Plan shall have been earlier terminated by the Board, Awards may be granted under this Plan at any time in the period commencing on the Effective Date of approval of the Plan by the Board and ending immediately prior to the tenth (10th) anniversary thereof. Awards granted pursuant to the Plan within that period shall not expire solely by reason of the termination of the Plan.</w:t>
      </w:r>
    </w:p>
    <w:p>
      <w:pPr>
        <w:spacing w:after="0" w:line="60" w:lineRule="exact"/>
        <w:rPr>
          <w:sz w:val="20"/>
          <w:szCs w:val="20"/>
          <w:color w:val="auto"/>
        </w:rPr>
      </w:pPr>
    </w:p>
    <w:p>
      <w:pPr>
        <w:ind w:left="308" w:hanging="308"/>
        <w:spacing w:after="0"/>
        <w:tabs>
          <w:tab w:leader="none" w:pos="308"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104" w:lineRule="exact"/>
        <w:rPr>
          <w:rFonts w:ascii="Arial" w:cs="Arial" w:eastAsia="Arial" w:hAnsi="Arial"/>
          <w:sz w:val="22"/>
          <w:szCs w:val="22"/>
          <w:b w:val="1"/>
          <w:bCs w:val="1"/>
          <w:color w:val="auto"/>
        </w:rPr>
      </w:pPr>
    </w:p>
    <w:p>
      <w:pPr>
        <w:ind w:left="328"/>
        <w:spacing w:after="0" w:line="285" w:lineRule="auto"/>
        <w:rPr>
          <w:rFonts w:ascii="Arial" w:cs="Arial" w:eastAsia="Arial" w:hAnsi="Arial"/>
          <w:sz w:val="22"/>
          <w:szCs w:val="22"/>
          <w:b w:val="1"/>
          <w:bCs w:val="1"/>
          <w:color w:val="auto"/>
        </w:rPr>
      </w:pPr>
      <w:r>
        <w:rPr>
          <w:rFonts w:ascii="Arial" w:cs="Arial" w:eastAsia="Arial" w:hAnsi="Arial"/>
          <w:sz w:val="19"/>
          <w:szCs w:val="19"/>
          <w:color w:val="auto"/>
        </w:rPr>
        <w:t xml:space="preserve">In all events the Plan shall be administered by the Independent Board or Committee in compliance with Manual Rule 303A.08 (and any successor thereto) of the Listing Rules of the New York Stock Exchange, or of any successor national stock exchange on which the Stock shall be listed during the term of the Plan, which are collectively referred to as the Listing Rules. The grant of any Award under the Plan must be approved by a majority of the members of the Board (each of whom is an "independent director" as defined in the Listing Rules) or by the Company's independent compensation committee (as intended under the Listing Rules). The Plan shall be administered by the Committee,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 that at any time and on any one or more occasions the Independent Board may itself exercise any of the powers and responsibilities assigned the Committee under the Plan and when so acting shall have the benefit of all of the provisions of the Plan pertaining to the Committee's exercise of its authorities hereunder. Subject to the provisions of the Plan, the Committee shall have complete authority, in its discretion, to make or to select the manner of making all determinations with respect to each Award to be granted by the Company under the Plan, including the new employee to receive the Award and the form of Award. All Awards of Stock or which otherwise entitle the Award recipient to acquire any shares of Stock shall be made from the authorized but unissued shares of Stock of the Company. The Committee, or the Independent Board, shall determine in its sole discretion how many shares of Stock to issue under this Plan in the aggregate. In making its determinations, the Committee may take into account the nature of the services to be rendered by the new employees, their potential contributions to the success of the Company and its Affiliates, and such other factors as the Committee in its discretion shall deem relevant. Subject to the provisions of the Plan, the Committee shall</w:t>
      </w:r>
    </w:p>
    <w:p>
      <w:pPr>
        <w:sectPr>
          <w:pgSz w:w="11900" w:h="16838" w:orient="portrait"/>
          <w:cols w:equalWidth="0" w:num="1">
            <w:col w:w="10908"/>
          </w:cols>
          <w:pgMar w:left="652" w:top="1440" w:right="339" w:bottom="1440" w:gutter="0" w:footer="0" w:header="0"/>
        </w:sectPr>
      </w:pPr>
    </w:p>
    <w:bookmarkStart w:id="58" w:name="page59"/>
    <w:bookmarkEnd w:id="58"/>
    <w:p>
      <w:pPr>
        <w:spacing w:after="0" w:line="83" w:lineRule="exact"/>
        <w:rPr>
          <w:sz w:val="20"/>
          <w:szCs w:val="20"/>
          <w:color w:val="auto"/>
        </w:rPr>
      </w:pPr>
    </w:p>
    <w:p>
      <w:pPr>
        <w:ind w:left="328"/>
        <w:spacing w:after="0"/>
        <w:rPr>
          <w:sz w:val="20"/>
          <w:szCs w:val="20"/>
          <w:color w:val="auto"/>
        </w:rPr>
      </w:pPr>
      <w:r>
        <w:rPr>
          <w:rFonts w:ascii="Arial" w:cs="Arial" w:eastAsia="Arial" w:hAnsi="Arial"/>
          <w:sz w:val="19"/>
          <w:szCs w:val="19"/>
          <w:color w:val="auto"/>
        </w:rPr>
        <w:t>also have complete authority to: (a) interpret the Plan, to prescribe, amend and rescind rules and regulations relating to it;</w:t>
      </w:r>
    </w:p>
    <w:p>
      <w:pPr>
        <w:spacing w:after="0" w:line="56" w:lineRule="exact"/>
        <w:rPr>
          <w:sz w:val="20"/>
          <w:szCs w:val="20"/>
          <w:color w:val="auto"/>
        </w:rPr>
      </w:pPr>
    </w:p>
    <w:p>
      <w:pPr>
        <w:ind w:left="328"/>
        <w:spacing w:after="0" w:line="284" w:lineRule="auto"/>
        <w:rPr>
          <w:sz w:val="20"/>
          <w:szCs w:val="20"/>
          <w:color w:val="auto"/>
        </w:rPr>
      </w:pPr>
      <w:r>
        <w:rPr>
          <w:rFonts w:ascii="Arial" w:cs="Arial" w:eastAsia="Arial" w:hAnsi="Arial"/>
          <w:sz w:val="19"/>
          <w:szCs w:val="19"/>
          <w:color w:val="auto"/>
        </w:rPr>
        <w:t>(b)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Participant's termination of employment or other association with the Company on any of the foregoing, and (vi) 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Participant's termination of employment or other association with the Company;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and (g)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w:t>
      </w:r>
    </w:p>
    <w:p>
      <w:pPr>
        <w:spacing w:after="0" w:line="24" w:lineRule="exact"/>
        <w:rPr>
          <w:sz w:val="20"/>
          <w:szCs w:val="20"/>
          <w:color w:val="auto"/>
        </w:rPr>
      </w:pPr>
    </w:p>
    <w:p>
      <w:pPr>
        <w:ind w:left="328" w:hanging="328"/>
        <w:spacing w:after="0"/>
        <w:tabs>
          <w:tab w:leader="none" w:pos="328"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Authorization of Grants</w:t>
      </w:r>
    </w:p>
    <w:p>
      <w:pPr>
        <w:spacing w:after="0" w:line="104" w:lineRule="exact"/>
        <w:rPr>
          <w:rFonts w:ascii="Arial" w:cs="Arial" w:eastAsia="Arial" w:hAnsi="Arial"/>
          <w:sz w:val="22"/>
          <w:szCs w:val="22"/>
          <w:b w:val="1"/>
          <w:bCs w:val="1"/>
          <w:color w:val="auto"/>
        </w:rPr>
      </w:pPr>
    </w:p>
    <w:p>
      <w:pPr>
        <w:ind w:left="328" w:right="20"/>
        <w:spacing w:after="0" w:line="290" w:lineRule="auto"/>
        <w:rPr>
          <w:rFonts w:ascii="Arial" w:cs="Arial" w:eastAsia="Arial" w:hAnsi="Arial"/>
          <w:sz w:val="22"/>
          <w:szCs w:val="22"/>
          <w:b w:val="1"/>
          <w:bCs w:val="1"/>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Eligibility</w:t>
      </w:r>
      <w:r>
        <w:rPr>
          <w:rFonts w:ascii="Arial" w:cs="Arial" w:eastAsia="Arial" w:hAnsi="Arial"/>
          <w:sz w:val="19"/>
          <w:szCs w:val="19"/>
          <w:color w:val="auto"/>
        </w:rPr>
        <w:t xml:space="preserve">. Persons eligible for Awards shall consist of employees whose potential contribution, in the judgment of the Committee, will benefit the future success of the Company and/or an Affiliate. Offers of Awards may be made prior to the commencement of employment with the Company or an Affiliate, but Awards may be granted only effective on or after the commencement of such employment to persons not previously an employee or director of the Company, or following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period of non-employment, as an inducement material to the individual's entering into employment with the Company within the meaning of Manual Rule 303A.08 of the New York Stock Exchange (or applicable replacement rules or regulations). In addition, notwithstanding any other provision of the Plan to the contrary, all Awards must be granted either by the Independent Board or the Committee.</w:t>
      </w:r>
    </w:p>
    <w:p>
      <w:pPr>
        <w:spacing w:after="0" w:line="34" w:lineRule="exact"/>
        <w:rPr>
          <w:rFonts w:ascii="Arial" w:cs="Arial" w:eastAsia="Arial" w:hAnsi="Arial"/>
          <w:sz w:val="22"/>
          <w:szCs w:val="22"/>
          <w:b w:val="1"/>
          <w:bCs w:val="1"/>
          <w:color w:val="auto"/>
        </w:rPr>
      </w:pPr>
    </w:p>
    <w:p>
      <w:pPr>
        <w:ind w:left="328" w:right="80"/>
        <w:spacing w:after="0" w:line="261" w:lineRule="auto"/>
        <w:rPr>
          <w:rFonts w:ascii="Arial" w:cs="Arial" w:eastAsia="Arial" w:hAnsi="Arial"/>
          <w:sz w:val="22"/>
          <w:szCs w:val="22"/>
          <w:b w:val="1"/>
          <w:bCs w:val="1"/>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General Terms of Awards</w:t>
      </w:r>
      <w:r>
        <w:rPr>
          <w:rFonts w:ascii="Arial" w:cs="Arial" w:eastAsia="Arial" w:hAnsi="Arial"/>
          <w:sz w:val="21"/>
          <w:szCs w:val="21"/>
          <w:color w:val="auto"/>
        </w:rPr>
        <w:t>. Each grant of an Award shall be subject to all applicable terms and conditions of the Plan (including but not limited to any specific terms and conditions applicable to that type of Award set out in the following Section), and such other terms and conditions, not inconsistent with the terms of the Plan, as the Committee may prescribe. No prospective Participant shall have any rights with respect to an Award, unless and until such Participant has executed an Award agreement evidencing the Award, delivered a fully executed copy thereof to the Company, and otherwise complied with the applicable terms and conditions of such Award.</w:t>
      </w:r>
    </w:p>
    <w:p>
      <w:pPr>
        <w:sectPr>
          <w:pgSz w:w="11900" w:h="16838" w:orient="portrait"/>
          <w:cols w:equalWidth="0" w:num="1">
            <w:col w:w="10888"/>
          </w:cols>
          <w:pgMar w:left="652" w:top="1440" w:right="359" w:bottom="1440" w:gutter="0" w:footer="0" w:header="0"/>
        </w:sectPr>
      </w:pPr>
    </w:p>
    <w:bookmarkStart w:id="59" w:name="page60"/>
    <w:bookmarkEnd w:id="59"/>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Effect of Termination of Employment, Disability or Death</w:t>
      </w:r>
      <w:r>
        <w:rPr>
          <w:rFonts w:ascii="Arial" w:cs="Arial" w:eastAsia="Arial" w:hAnsi="Arial"/>
          <w:sz w:val="22"/>
          <w:szCs w:val="22"/>
          <w:color w:val="auto"/>
        </w:rPr>
        <w:t>.</w:t>
      </w:r>
    </w:p>
    <w:p>
      <w:pPr>
        <w:spacing w:after="0" w:line="85" w:lineRule="exact"/>
        <w:rPr>
          <w:sz w:val="20"/>
          <w:szCs w:val="20"/>
          <w:color w:val="auto"/>
        </w:rPr>
      </w:pPr>
    </w:p>
    <w:p>
      <w:pPr>
        <w:ind w:left="640" w:hanging="320"/>
        <w:spacing w:after="0" w:line="286" w:lineRule="auto"/>
        <w:tabs>
          <w:tab w:leader="none" w:pos="62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Unless the Committee shall provide otherwise with respect to any Award, if the Participant's employment or other association with the Company and its Affiliates ends for any reason other than by total disability or death, including because of an Affiliate ceasing to be an Affiliate, (a) any outstanding Stock Right of the Participant shall cease to be exercisable in any respect not later than 90 days following that event and, for the period it remains exercisable following that event, shall be exercisable only to the extent exercisable at the date of that event, and (b)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director. Military or sick leave or other bona fide leave approved by the Company shall not be deemed a termination of employment or other association,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does not exceed the longer of six (6) months or the period during which the absent Participant's reemployment rights, if any, are either guaranteed by statute or by contract or permitted by Company policy. To the extent consistent with applicable law, the Committee may provide that Awards continue to vest for some or all of the period of any such leave, or that their vesting shall be tolled during any such leave and only recommence upon the Participant's return from leave, if ever.</w:t>
      </w:r>
    </w:p>
    <w:p>
      <w:pPr>
        <w:spacing w:after="0" w:line="36" w:lineRule="exact"/>
        <w:rPr>
          <w:rFonts w:ascii="Arial" w:cs="Arial" w:eastAsia="Arial" w:hAnsi="Arial"/>
          <w:sz w:val="19"/>
          <w:szCs w:val="19"/>
          <w:color w:val="auto"/>
        </w:rPr>
      </w:pPr>
    </w:p>
    <w:p>
      <w:pPr>
        <w:ind w:left="640" w:right="160" w:hanging="320"/>
        <w:spacing w:after="0" w:line="248" w:lineRule="auto"/>
        <w:tabs>
          <w:tab w:leader="none" w:pos="6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Disability of Participant</w:t>
      </w:r>
      <w:r>
        <w:rPr>
          <w:rFonts w:ascii="Arial" w:cs="Arial" w:eastAsia="Arial" w:hAnsi="Arial"/>
          <w:sz w:val="22"/>
          <w:szCs w:val="22"/>
          <w:color w:val="auto"/>
        </w:rPr>
        <w:t>. If a Participant's employment or other association with the Company and its Affiliates ends due to disability (as defined in Section 22(e)(3) of the Code), any outstanding Stock Right may be exercised at any time within six months following the date of termination of service, but only to the extent of the accrued right to exercise at the time of termination of service, subject to the condition that no Stock Right shall be exercised after its expiration in accordance with its terms.</w:t>
      </w:r>
    </w:p>
    <w:p>
      <w:pPr>
        <w:spacing w:after="0" w:line="70" w:lineRule="exact"/>
        <w:rPr>
          <w:rFonts w:ascii="Arial" w:cs="Arial" w:eastAsia="Arial" w:hAnsi="Arial"/>
          <w:sz w:val="22"/>
          <w:szCs w:val="22"/>
          <w:color w:val="auto"/>
        </w:rPr>
      </w:pPr>
    </w:p>
    <w:p>
      <w:pPr>
        <w:ind w:left="640" w:right="140" w:hanging="320"/>
        <w:spacing w:after="0" w:line="290" w:lineRule="auto"/>
        <w:tabs>
          <w:tab w:leader="none" w:pos="62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In the event of the death during the Option period, or period during which the Stock Appreciation Right may be exercised, of a Participant who is at the time of his or her death an employee, director or consultant and whose services had not ceased or been terminated (as determined with regard to the second sentence of Section 5.3(a))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 result of the Participant's death, but only to the extent of the accrued right to exercise at the time of death, subject to the condition that no Stock Right shall be exercised after its expiration in accordance with its terms.</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Transferability of Awards</w:t>
      </w:r>
      <w:r>
        <w:rPr>
          <w:rFonts w:ascii="Arial" w:cs="Arial" w:eastAsia="Arial" w:hAnsi="Arial"/>
          <w:sz w:val="22"/>
          <w:szCs w:val="22"/>
          <w:color w:val="auto"/>
        </w:rPr>
        <w:t>. Except as otherwise provided in this Section 5.4, Awards shall not be transferable, and no Award or interest therein may be sold, transferred, pledged, assigned, or otherwise alienated or hypothecated, other than by will or by the</w:t>
      </w:r>
    </w:p>
    <w:p>
      <w:pPr>
        <w:sectPr>
          <w:pgSz w:w="11900" w:h="16838" w:orient="portrait"/>
          <w:cols w:equalWidth="0" w:num="1">
            <w:col w:w="10580"/>
          </w:cols>
          <w:pgMar w:left="980" w:top="1440" w:right="339" w:bottom="1440" w:gutter="0" w:footer="0" w:header="0"/>
        </w:sectPr>
      </w:pPr>
    </w:p>
    <w:bookmarkStart w:id="60" w:name="page61"/>
    <w:bookmarkEnd w:id="60"/>
    <w:p>
      <w:pPr>
        <w:spacing w:after="0" w:line="83" w:lineRule="exact"/>
        <w:rPr>
          <w:sz w:val="20"/>
          <w:szCs w:val="20"/>
          <w:color w:val="auto"/>
        </w:rPr>
      </w:pPr>
    </w:p>
    <w:p>
      <w:pPr>
        <w:ind w:left="328" w:right="40"/>
        <w:spacing w:after="0" w:line="285" w:lineRule="auto"/>
        <w:rPr>
          <w:sz w:val="20"/>
          <w:szCs w:val="20"/>
          <w:color w:val="auto"/>
        </w:rPr>
      </w:pPr>
      <w:r>
        <w:rPr>
          <w:rFonts w:ascii="Arial" w:cs="Arial" w:eastAsia="Arial" w:hAnsi="Arial"/>
          <w:sz w:val="19"/>
          <w:szCs w:val="19"/>
          <w:color w:val="auto"/>
        </w:rPr>
        <w:t xml:space="preserve">laws of descent and distribution. All of a Participant's rights in any Award may be exercised during the life of the Participant only by the Participant or the Participant's legal representative. However, the Committee may, at or after the grant of an Award of an Option or shares of Restricted Stock, provide that such Award may be transferred by the recipient to a family member;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 that any such transfer is without payment of any consideration whatsoever and that no transfer shall be valid unless first approved by the Committee, acting in its sole discretion. For this purpose,</w:t>
      </w:r>
    </w:p>
    <w:p>
      <w:pPr>
        <w:spacing w:after="0" w:line="3" w:lineRule="exact"/>
        <w:rPr>
          <w:sz w:val="20"/>
          <w:szCs w:val="20"/>
          <w:color w:val="auto"/>
        </w:rPr>
      </w:pPr>
    </w:p>
    <w:p>
      <w:pPr>
        <w:ind w:left="328" w:hanging="4"/>
        <w:spacing w:after="0" w:line="256" w:lineRule="auto"/>
        <w:tabs>
          <w:tab w:leader="none" w:pos="470" w:val="left"/>
        </w:tabs>
        <w:numPr>
          <w:ilvl w:val="1"/>
          <w:numId w:val="4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family member </w:t>
      </w:r>
      <w:r>
        <w:rPr>
          <w:rFonts w:ascii="Arial" w:cs="Arial" w:eastAsia="Arial" w:hAnsi="Arial"/>
          <w:sz w:val="21"/>
          <w:szCs w:val="21"/>
          <w:color w:val="auto"/>
        </w:rPr>
        <w:t>" means any child, stepchild, grandchild, parent, grandparent, stepparent, spouse, former spouse, sibling,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niece, nephew, mother-in-law, father-in-law, son-in-law, daughter-in-law, brother-in-law, or sister-in-law, including adoptive relationships, any person sharing the employee's household (other than a tenant or employee),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5.3 hereof or in the Award Agreement shall continue to be applied with respect to the original Participant, following which the Awards shall be exercisable by the transferee only to the extent, and for the periods specified in the Award Agreement or Section 5.3, as applicable.</w:t>
      </w:r>
    </w:p>
    <w:p>
      <w:pPr>
        <w:spacing w:after="0" w:line="47" w:lineRule="exact"/>
        <w:rPr>
          <w:rFonts w:ascii="Arial" w:cs="Arial" w:eastAsia="Arial" w:hAnsi="Arial"/>
          <w:sz w:val="21"/>
          <w:szCs w:val="21"/>
          <w:color w:val="auto"/>
        </w:rPr>
      </w:pPr>
    </w:p>
    <w:p>
      <w:pPr>
        <w:ind w:left="328" w:right="8220" w:hanging="328"/>
        <w:spacing w:after="0" w:line="335" w:lineRule="auto"/>
        <w:tabs>
          <w:tab w:leader="none" w:pos="328"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Specific Terms of Awards </w:t>
      </w:r>
      <w:r>
        <w:rPr>
          <w:rFonts w:ascii="Arial" w:cs="Arial" w:eastAsia="Arial" w:hAnsi="Arial"/>
          <w:sz w:val="22"/>
          <w:szCs w:val="22"/>
          <w:color w:val="auto"/>
        </w:rPr>
        <w:t xml:space="preserve">6.1 </w:t>
      </w: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1" w:lineRule="exact"/>
        <w:rPr>
          <w:rFonts w:ascii="Arial" w:cs="Arial" w:eastAsia="Arial" w:hAnsi="Arial"/>
          <w:sz w:val="22"/>
          <w:szCs w:val="22"/>
          <w:b w:val="1"/>
          <w:bCs w:val="1"/>
          <w:color w:val="auto"/>
        </w:rPr>
      </w:pPr>
    </w:p>
    <w:p>
      <w:pPr>
        <w:jc w:val="both"/>
        <w:ind w:left="968" w:right="300" w:hanging="320"/>
        <w:spacing w:after="0" w:line="311" w:lineRule="auto"/>
        <w:tabs>
          <w:tab w:leader="none" w:pos="956"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Date of Grant</w:t>
      </w:r>
      <w:r>
        <w:rPr>
          <w:rFonts w:ascii="Arial" w:cs="Arial" w:eastAsia="Arial" w:hAnsi="Arial"/>
          <w:sz w:val="19"/>
          <w:szCs w:val="19"/>
          <w:color w:val="auto"/>
          <w:highlight w:val="white"/>
        </w:rPr>
        <w:t>. The granting of an Option shall take place at the time specified in the Award Agreement. Only if</w:t>
      </w:r>
      <w:r>
        <w:rPr>
          <w:rFonts w:ascii="Arial" w:cs="Arial" w:eastAsia="Arial" w:hAnsi="Arial"/>
          <w:sz w:val="19"/>
          <w:szCs w:val="19"/>
          <w:color w:val="auto"/>
        </w:rPr>
        <w:t xml:space="preserve"> expressly so provided in the applicable Award Agreement shall the Grant Date be the date on which the Award Agreement shall have been duly executed and delivered by the Company and the Optionee.</w:t>
      </w:r>
    </w:p>
    <w:p>
      <w:pPr>
        <w:spacing w:after="0" w:line="1" w:lineRule="exact"/>
        <w:rPr>
          <w:rFonts w:ascii="Arial" w:cs="Arial" w:eastAsia="Arial" w:hAnsi="Arial"/>
          <w:sz w:val="19"/>
          <w:szCs w:val="19"/>
          <w:color w:val="auto"/>
        </w:rPr>
      </w:pPr>
    </w:p>
    <w:p>
      <w:pPr>
        <w:ind w:left="968" w:right="180" w:hanging="320"/>
        <w:spacing w:after="0" w:line="333" w:lineRule="auto"/>
        <w:tabs>
          <w:tab w:leader="none" w:pos="968"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price at which shares of Stock may be acquired under each Option shall be the Market Value of Stock on the Grant Date, except as provided otherwise by the Committee upon the grant of the Option.</w:t>
      </w:r>
    </w:p>
    <w:p>
      <w:pPr>
        <w:spacing w:after="0" w:line="1" w:lineRule="exact"/>
        <w:rPr>
          <w:rFonts w:ascii="Arial" w:cs="Arial" w:eastAsia="Arial" w:hAnsi="Arial"/>
          <w:sz w:val="19"/>
          <w:szCs w:val="19"/>
          <w:color w:val="auto"/>
        </w:rPr>
      </w:pPr>
    </w:p>
    <w:p>
      <w:pPr>
        <w:ind w:left="968" w:right="20" w:hanging="320"/>
        <w:spacing w:after="0" w:line="263" w:lineRule="auto"/>
        <w:tabs>
          <w:tab w:leader="none" w:pos="956"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Option Period</w:t>
      </w:r>
      <w:r>
        <w:rPr>
          <w:rFonts w:ascii="Arial" w:cs="Arial" w:eastAsia="Arial" w:hAnsi="Arial"/>
          <w:sz w:val="22"/>
          <w:szCs w:val="22"/>
          <w:color w:val="auto"/>
          <w:highlight w:val="white"/>
        </w:rPr>
        <w:t>. No Option may be exercised on or after the tenth anniversary of the Grant Date, except as provided</w:t>
      </w:r>
      <w:r>
        <w:rPr>
          <w:rFonts w:ascii="Arial" w:cs="Arial" w:eastAsia="Arial" w:hAnsi="Arial"/>
          <w:sz w:val="22"/>
          <w:szCs w:val="22"/>
          <w:color w:val="auto"/>
        </w:rPr>
        <w:t xml:space="preserve"> otherwise by the Committee upon the grant of the Option.</w:t>
      </w:r>
    </w:p>
    <w:p>
      <w:pPr>
        <w:spacing w:after="0" w:line="53" w:lineRule="exact"/>
        <w:rPr>
          <w:rFonts w:ascii="Arial" w:cs="Arial" w:eastAsia="Arial" w:hAnsi="Arial"/>
          <w:sz w:val="22"/>
          <w:szCs w:val="22"/>
          <w:color w:val="auto"/>
        </w:rPr>
      </w:pPr>
    </w:p>
    <w:p>
      <w:pPr>
        <w:ind w:left="968" w:right="20" w:hanging="320"/>
        <w:spacing w:after="0" w:line="271" w:lineRule="auto"/>
        <w:tabs>
          <w:tab w:leader="none" w:pos="968" w:val="left"/>
        </w:tabs>
        <w:numPr>
          <w:ilvl w:val="2"/>
          <w:numId w:val="41"/>
        </w:numPr>
        <w:rPr>
          <w:rFonts w:ascii="Arial" w:cs="Arial" w:eastAsia="Arial" w:hAnsi="Arial"/>
          <w:sz w:val="21"/>
          <w:szCs w:val="21"/>
          <w:color w:val="auto"/>
        </w:rPr>
      </w:pPr>
      <w:r>
        <w:rPr>
          <w:rFonts w:ascii="Arial" w:cs="Arial" w:eastAsia="Arial" w:hAnsi="Arial"/>
          <w:sz w:val="21"/>
          <w:szCs w:val="21"/>
          <w:u w:val="single" w:color="auto"/>
          <w:color w:val="auto"/>
        </w:rPr>
        <w:t>Exercisability</w:t>
      </w:r>
      <w:r>
        <w:rPr>
          <w:rFonts w:ascii="Arial" w:cs="Arial" w:eastAsia="Arial" w:hAnsi="Arial"/>
          <w:sz w:val="21"/>
          <w:szCs w:val="21"/>
          <w:color w:val="auto"/>
        </w:rPr>
        <w:t>. An Option may be immediately exercisable or become exercisable in such installments, cumulative or non-cumulative, as the Committee may determine. In the case of an Option not otherwise immediately exercisable in full, the Committee may Accelerate such Option in whole or in part at any time.</w:t>
      </w:r>
    </w:p>
    <w:p>
      <w:pPr>
        <w:spacing w:after="0" w:line="32" w:lineRule="exact"/>
        <w:rPr>
          <w:rFonts w:ascii="Arial" w:cs="Arial" w:eastAsia="Arial" w:hAnsi="Arial"/>
          <w:sz w:val="21"/>
          <w:szCs w:val="21"/>
          <w:color w:val="auto"/>
        </w:rPr>
      </w:pPr>
    </w:p>
    <w:p>
      <w:pPr>
        <w:ind w:left="968" w:hanging="320"/>
        <w:spacing w:after="0" w:line="248" w:lineRule="auto"/>
        <w:tabs>
          <w:tab w:leader="none" w:pos="956"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highlight w:val="white"/>
        </w:rPr>
        <w:t>. An Option may be exercised by the Optionee giving written notice, in the manner provided in</w:t>
      </w:r>
      <w:r>
        <w:rPr>
          <w:rFonts w:ascii="Arial" w:cs="Arial" w:eastAsia="Arial" w:hAnsi="Arial"/>
          <w:sz w:val="22"/>
          <w:szCs w:val="22"/>
          <w:color w:val="auto"/>
        </w:rPr>
        <w:t xml:space="preserve"> Section 14,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w:t>
      </w:r>
    </w:p>
    <w:p>
      <w:pPr>
        <w:sectPr>
          <w:pgSz w:w="11900" w:h="16838" w:orient="portrait"/>
          <w:cols w:equalWidth="0" w:num="1">
            <w:col w:w="10888"/>
          </w:cols>
          <w:pgMar w:left="652" w:top="1440" w:right="359" w:bottom="1440" w:gutter="0" w:footer="0" w:header="0"/>
        </w:sectPr>
      </w:pPr>
    </w:p>
    <w:bookmarkStart w:id="61" w:name="page62"/>
    <w:bookmarkEnd w:id="61"/>
    <w:p>
      <w:pPr>
        <w:spacing w:after="0" w:line="83" w:lineRule="exact"/>
        <w:rPr>
          <w:sz w:val="20"/>
          <w:szCs w:val="20"/>
          <w:color w:val="auto"/>
        </w:rPr>
      </w:pPr>
    </w:p>
    <w:p>
      <w:pPr>
        <w:ind w:left="640" w:right="80"/>
        <w:spacing w:after="0" w:line="263" w:lineRule="auto"/>
        <w:rPr>
          <w:sz w:val="20"/>
          <w:szCs w:val="20"/>
          <w:color w:val="auto"/>
        </w:rPr>
      </w:pPr>
      <w:r>
        <w:rPr>
          <w:rFonts w:ascii="Arial" w:cs="Arial" w:eastAsia="Arial" w:hAnsi="Arial"/>
          <w:sz w:val="22"/>
          <w:szCs w:val="22"/>
          <w:color w:val="auto"/>
        </w:rPr>
        <w:t>sole discretion, and to such conditions, if any, as the Committee may deem necessary to avoid adverse accounting effects to the Company,</w:t>
      </w:r>
    </w:p>
    <w:p>
      <w:pPr>
        <w:spacing w:after="0" w:line="40" w:lineRule="exact"/>
        <w:rPr>
          <w:sz w:val="20"/>
          <w:szCs w:val="20"/>
          <w:color w:val="auto"/>
        </w:rPr>
      </w:pPr>
    </w:p>
    <w:p>
      <w:pPr>
        <w:ind w:left="1300" w:right="360" w:hanging="446"/>
        <w:spacing w:after="0" w:line="263" w:lineRule="auto"/>
        <w:tabs>
          <w:tab w:leader="none" w:pos="13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by delivery to the Company of shares of Stock having a Market Value equal to the exercise price of the shares to be purchased, or</w:t>
      </w:r>
    </w:p>
    <w:p>
      <w:pPr>
        <w:spacing w:after="0" w:line="53" w:lineRule="exact"/>
        <w:rPr>
          <w:rFonts w:ascii="Arial" w:cs="Arial" w:eastAsia="Arial" w:hAnsi="Arial"/>
          <w:sz w:val="22"/>
          <w:szCs w:val="22"/>
          <w:color w:val="auto"/>
        </w:rPr>
      </w:pPr>
    </w:p>
    <w:p>
      <w:pPr>
        <w:ind w:left="1300" w:right="120" w:hanging="506"/>
        <w:spacing w:after="0" w:line="265" w:lineRule="auto"/>
        <w:tabs>
          <w:tab w:leader="none" w:pos="13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by surrender of the Option as to all or part of the shares of Stock for which the Option is then exercisable in exchange for shares of Stock having an aggregate Market Value equal to the difference between (1) the aggregate Market Value of the surrendered portion of the Option, and (2) the aggregate exercise price under the Option for the surrendered portion of the Option, or</w:t>
      </w:r>
    </w:p>
    <w:p>
      <w:pPr>
        <w:spacing w:after="0" w:line="53" w:lineRule="exact"/>
        <w:rPr>
          <w:rFonts w:ascii="Arial" w:cs="Arial" w:eastAsia="Arial" w:hAnsi="Arial"/>
          <w:sz w:val="21"/>
          <w:szCs w:val="21"/>
          <w:color w:val="auto"/>
        </w:rPr>
      </w:pPr>
    </w:p>
    <w:p>
      <w:pPr>
        <w:ind w:left="1300" w:right="320" w:hanging="566"/>
        <w:spacing w:after="0" w:line="253" w:lineRule="auto"/>
        <w:tabs>
          <w:tab w:leader="none" w:pos="13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unless prohibited by applicable law, by delivery to the Company of the Optionee's executed promissory note in the principal amount equal to the exercise price of the shares of Stock to be purchased and otherwise in such form as the Committee shall have approved, or</w:t>
      </w:r>
    </w:p>
    <w:p>
      <w:pPr>
        <w:spacing w:after="0" w:line="50" w:lineRule="exact"/>
        <w:rPr>
          <w:rFonts w:ascii="Arial" w:cs="Arial" w:eastAsia="Arial" w:hAnsi="Arial"/>
          <w:sz w:val="22"/>
          <w:szCs w:val="22"/>
          <w:color w:val="auto"/>
        </w:rPr>
      </w:pPr>
    </w:p>
    <w:p>
      <w:pPr>
        <w:ind w:left="1280" w:hanging="534"/>
        <w:spacing w:after="0"/>
        <w:tabs>
          <w:tab w:leader="none" w:pos="12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by delivery of any other lawful means of consideration which the Committee may approve.</w:t>
      </w:r>
    </w:p>
    <w:p>
      <w:pPr>
        <w:spacing w:after="0" w:line="98" w:lineRule="exact"/>
        <w:rPr>
          <w:sz w:val="20"/>
          <w:szCs w:val="20"/>
          <w:color w:val="auto"/>
        </w:rPr>
      </w:pPr>
    </w:p>
    <w:p>
      <w:pPr>
        <w:ind w:left="640"/>
        <w:spacing w:after="0" w:line="288" w:lineRule="auto"/>
        <w:rPr>
          <w:sz w:val="20"/>
          <w:szCs w:val="20"/>
          <w:color w:val="auto"/>
        </w:rPr>
      </w:pPr>
      <w:r>
        <w:rPr>
          <w:rFonts w:ascii="Arial" w:cs="Arial" w:eastAsia="Arial" w:hAnsi="Arial"/>
          <w:sz w:val="19"/>
          <w:szCs w:val="19"/>
          <w:color w:val="auto"/>
        </w:rPr>
        <w:t>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agent a certificate or certificates or book-entry authorization and instruction to the Company's transfer agent and registrar for the number of shares then being purchased. Such shares of Stock shall be fully paid and nonassessable. In its reasonable discretion, the Committee may suspend or halt Option exercises for such length of time as the Committee deems reasonably necessary under circumstances in which such suspension or halt is considered to be in the best interests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85" w:lineRule="exact"/>
        <w:rPr>
          <w:sz w:val="20"/>
          <w:szCs w:val="20"/>
          <w:color w:val="auto"/>
        </w:rPr>
      </w:pPr>
    </w:p>
    <w:p>
      <w:pPr>
        <w:ind w:left="640" w:right="260" w:hanging="320"/>
        <w:spacing w:after="0" w:line="265" w:lineRule="auto"/>
        <w:tabs>
          <w:tab w:leader="none" w:pos="62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Tandem or Stand-Alone</w:t>
      </w:r>
      <w:r>
        <w:rPr>
          <w:rFonts w:ascii="Arial" w:cs="Arial" w:eastAsia="Arial" w:hAnsi="Arial"/>
          <w:sz w:val="21"/>
          <w:szCs w:val="21"/>
          <w:color w:val="auto"/>
        </w:rPr>
        <w:t>. Stock Appreciation Rights may be granted in tandem with an Option (at or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w:t>
      </w:r>
    </w:p>
    <w:p>
      <w:pPr>
        <w:spacing w:after="0" w:line="53" w:lineRule="exact"/>
        <w:rPr>
          <w:rFonts w:ascii="Arial" w:cs="Arial" w:eastAsia="Arial" w:hAnsi="Arial"/>
          <w:sz w:val="21"/>
          <w:szCs w:val="21"/>
          <w:color w:val="auto"/>
        </w:rPr>
      </w:pPr>
    </w:p>
    <w:p>
      <w:pPr>
        <w:ind w:left="640" w:right="40" w:hanging="320"/>
        <w:spacing w:after="0" w:line="253" w:lineRule="auto"/>
        <w:tabs>
          <w:tab w:leader="none" w:pos="64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Stock Appreciation Rights shall have an exercise price of not less than the Market Value of the Stock on the date of award, or in the case of Stock Appreciation Rights in tandem with Options, the exercise price of the related Option.</w:t>
      </w:r>
    </w:p>
    <w:p>
      <w:pPr>
        <w:sectPr>
          <w:pgSz w:w="11900" w:h="16838" w:orient="portrait"/>
          <w:cols w:equalWidth="0" w:num="1">
            <w:col w:w="10540"/>
          </w:cols>
          <w:pgMar w:left="980" w:top="1440" w:right="379" w:bottom="1440" w:gutter="0" w:footer="0" w:header="0"/>
        </w:sectPr>
      </w:pPr>
    </w:p>
    <w:bookmarkStart w:id="62" w:name="page63"/>
    <w:bookmarkEnd w:id="62"/>
    <w:p>
      <w:pPr>
        <w:spacing w:after="0" w:line="83" w:lineRule="exact"/>
        <w:rPr>
          <w:sz w:val="20"/>
          <w:szCs w:val="20"/>
          <w:color w:val="auto"/>
        </w:rPr>
      </w:pPr>
    </w:p>
    <w:p>
      <w:pPr>
        <w:ind w:left="640" w:right="20" w:hanging="320"/>
        <w:spacing w:after="0" w:line="260" w:lineRule="auto"/>
        <w:tabs>
          <w:tab w:leader="none" w:pos="62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Other Terms</w:t>
      </w:r>
      <w:r>
        <w:rPr>
          <w:rFonts w:ascii="Arial" w:cs="Arial" w:eastAsia="Arial" w:hAnsi="Arial"/>
          <w:sz w:val="21"/>
          <w:szCs w:val="21"/>
          <w:color w:val="auto"/>
          <w:highlight w:val="white"/>
        </w:rPr>
        <w:t>. Except as the Committee may deem inappropriate or inapplicable in the circumstances, Stock</w:t>
      </w:r>
      <w:r>
        <w:rPr>
          <w:rFonts w:ascii="Arial" w:cs="Arial" w:eastAsia="Arial" w:hAnsi="Arial"/>
          <w:sz w:val="21"/>
          <w:szCs w:val="21"/>
          <w:color w:val="auto"/>
        </w:rPr>
        <w:t xml:space="preserve"> Appreciation Rights shall be subject to terms and conditions substantially similar to those applicable to an Option. In addition, a Stock Appreciation Right related to an Option which can only be exercised during limited periods following a Corporate Transaction may entitle the Participant to receive an amount based upon the highest price paid or offered for Stock in any transaction relating to the Corporate Transaction or paid during the 30-day period immediately preceding the occurrence of the Corporate Transaction in any transaction reported in the stock market in which the Stock is normally traded.</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Restricted Stock</w:t>
      </w:r>
      <w:r>
        <w:rPr>
          <w:rFonts w:ascii="Arial" w:cs="Arial" w:eastAsia="Arial" w:hAnsi="Arial"/>
          <w:sz w:val="22"/>
          <w:szCs w:val="22"/>
          <w:color w:val="auto"/>
          <w:highlight w:val="white"/>
        </w:rPr>
        <w:t>.</w:t>
      </w:r>
    </w:p>
    <w:p>
      <w:pPr>
        <w:spacing w:after="0" w:line="98" w:lineRule="exact"/>
        <w:rPr>
          <w:sz w:val="20"/>
          <w:szCs w:val="20"/>
          <w:color w:val="auto"/>
        </w:rPr>
      </w:pPr>
    </w:p>
    <w:p>
      <w:pPr>
        <w:ind w:left="640" w:right="420" w:hanging="320"/>
        <w:spacing w:after="0" w:line="287" w:lineRule="auto"/>
        <w:tabs>
          <w:tab w:leader="none" w:pos="62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Purchase Price</w:t>
      </w:r>
      <w:r>
        <w:rPr>
          <w:rFonts w:ascii="Arial" w:cs="Arial" w:eastAsia="Arial" w:hAnsi="Arial"/>
          <w:sz w:val="21"/>
          <w:szCs w:val="21"/>
          <w:color w:val="auto"/>
        </w:rPr>
        <w:t>. Shares of Restricted Stock shall be issued under the Plan for such consideration, in cash, other property or services, or any combination thereof, as is determined by the Committee.</w:t>
      </w:r>
    </w:p>
    <w:p>
      <w:pPr>
        <w:spacing w:after="0" w:line="29" w:lineRule="exact"/>
        <w:rPr>
          <w:rFonts w:ascii="Arial" w:cs="Arial" w:eastAsia="Arial" w:hAnsi="Arial"/>
          <w:sz w:val="21"/>
          <w:szCs w:val="21"/>
          <w:color w:val="auto"/>
        </w:rPr>
      </w:pPr>
    </w:p>
    <w:p>
      <w:pPr>
        <w:ind w:left="640" w:right="140" w:hanging="320"/>
        <w:spacing w:after="0" w:line="294" w:lineRule="auto"/>
        <w:tabs>
          <w:tab w:leader="none" w:pos="64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Issuance of Certificates</w:t>
      </w:r>
      <w:r>
        <w:rPr>
          <w:rFonts w:ascii="Arial" w:cs="Arial" w:eastAsia="Arial" w:hAnsi="Arial"/>
          <w:sz w:val="19"/>
          <w:szCs w:val="19"/>
          <w:color w:val="auto"/>
          <w:highlight w:val="white"/>
        </w:rPr>
        <w:t>. Each Participant receiving a Restricted Stock Award, subject to subsection (c) below,</w:t>
      </w:r>
      <w:r>
        <w:rPr>
          <w:rFonts w:ascii="Arial" w:cs="Arial" w:eastAsia="Arial" w:hAnsi="Arial"/>
          <w:sz w:val="19"/>
          <w:szCs w:val="19"/>
          <w:color w:val="auto"/>
        </w:rPr>
        <w:t xml:space="preserve"> shall be issued a stock certificate in respect of such shares of Restricted Stock, or if issued in uncertificated form, shall be registered in the name of the Participant on the books of the Company's transfer agent and registrar. Such certificate or uncertificated shares shall be registered in the name of such Participant, and, if applicable, the certificate or the books of the Company's transfer agent and registrar shall bear an appropriate legend referring to the terms, conditions, and restrictions applicable to such Award substantially in the following form:</w:t>
      </w:r>
    </w:p>
    <w:p>
      <w:pPr>
        <w:spacing w:after="0" w:line="14" w:lineRule="exact"/>
        <w:rPr>
          <w:sz w:val="20"/>
          <w:szCs w:val="20"/>
          <w:color w:val="auto"/>
        </w:rPr>
      </w:pPr>
    </w:p>
    <w:p>
      <w:pPr>
        <w:ind w:left="1300"/>
        <w:spacing w:after="0" w:line="302" w:lineRule="auto"/>
        <w:rPr>
          <w:sz w:val="20"/>
          <w:szCs w:val="20"/>
          <w:color w:val="auto"/>
        </w:rPr>
      </w:pPr>
      <w:r>
        <w:rPr>
          <w:rFonts w:ascii="Arial" w:cs="Arial" w:eastAsia="Arial" w:hAnsi="Arial"/>
          <w:sz w:val="19"/>
          <w:szCs w:val="19"/>
          <w:color w:val="auto"/>
        </w:rPr>
        <w:t>The shares evidenced by this certificate are subject to the terms and conditions of the 8x8, Inc. Amended and Restated 2017 New Employee Inducement Incentive Plan and an Award Agreement entered into by the registered owner and 8x8, Inc., copies of which will be furnished by the Company to the holder of the shares evidenced by this certificate upon written request and without charge.</w:t>
      </w:r>
    </w:p>
    <w:p>
      <w:pPr>
        <w:spacing w:after="0" w:line="21" w:lineRule="exact"/>
        <w:rPr>
          <w:sz w:val="20"/>
          <w:szCs w:val="20"/>
          <w:color w:val="auto"/>
        </w:rPr>
      </w:pPr>
    </w:p>
    <w:p>
      <w:pPr>
        <w:ind w:left="640" w:right="120" w:hanging="320"/>
        <w:spacing w:after="0" w:line="250" w:lineRule="auto"/>
        <w:tabs>
          <w:tab w:leader="none" w:pos="631"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Escrow of Shares</w:t>
      </w:r>
      <w:r>
        <w:rPr>
          <w:rFonts w:ascii="Arial" w:cs="Arial" w:eastAsia="Arial" w:hAnsi="Arial"/>
          <w:sz w:val="22"/>
          <w:szCs w:val="22"/>
          <w:color w:val="auto"/>
          <w:highlight w:val="white"/>
        </w:rPr>
        <w:t>. The Committee may require that the stock certificates evidencing shares of Restricted Stock be</w:t>
      </w:r>
      <w:r>
        <w:rPr>
          <w:rFonts w:ascii="Arial" w:cs="Arial" w:eastAsia="Arial" w:hAnsi="Arial"/>
          <w:sz w:val="22"/>
          <w:szCs w:val="22"/>
          <w:color w:val="auto"/>
        </w:rPr>
        <w:t xml:space="preserv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66" w:lineRule="exact"/>
        <w:rPr>
          <w:rFonts w:ascii="Arial" w:cs="Arial" w:eastAsia="Arial" w:hAnsi="Arial"/>
          <w:sz w:val="22"/>
          <w:szCs w:val="22"/>
          <w:color w:val="auto"/>
        </w:rPr>
      </w:pPr>
    </w:p>
    <w:p>
      <w:pPr>
        <w:ind w:left="640" w:right="180" w:hanging="320"/>
        <w:spacing w:after="0" w:line="247" w:lineRule="auto"/>
        <w:tabs>
          <w:tab w:leader="none" w:pos="64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Restrictions and Restriction Period</w:t>
      </w:r>
      <w:r>
        <w:rPr>
          <w:rFonts w:ascii="Arial" w:cs="Arial" w:eastAsia="Arial" w:hAnsi="Arial"/>
          <w:sz w:val="22"/>
          <w:szCs w:val="22"/>
          <w:color w:val="auto"/>
        </w:rPr>
        <w:t>.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ectPr>
          <w:pgSz w:w="11900" w:h="16838" w:orient="portrait"/>
          <w:cols w:equalWidth="0" w:num="1">
            <w:col w:w="10580"/>
          </w:cols>
          <w:pgMar w:left="980" w:top="1440" w:right="339" w:bottom="1440" w:gutter="0" w:footer="0" w:header="0"/>
        </w:sectPr>
      </w:pPr>
    </w:p>
    <w:bookmarkStart w:id="63" w:name="page64"/>
    <w:bookmarkEnd w:id="63"/>
    <w:p>
      <w:pPr>
        <w:spacing w:after="0" w:line="83" w:lineRule="exact"/>
        <w:rPr>
          <w:sz w:val="20"/>
          <w:szCs w:val="20"/>
          <w:color w:val="auto"/>
        </w:rPr>
      </w:pPr>
    </w:p>
    <w:p>
      <w:pPr>
        <w:ind w:left="640" w:hanging="320"/>
        <w:spacing w:after="0" w:line="289" w:lineRule="auto"/>
        <w:tabs>
          <w:tab w:leader="none" w:pos="64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Rights Pending Lapse of Risk of Forfeiture or Forfeiture of Award</w:t>
      </w:r>
      <w:r>
        <w:rPr>
          <w:rFonts w:ascii="Arial" w:cs="Arial" w:eastAsia="Arial" w:hAnsi="Arial"/>
          <w:sz w:val="19"/>
          <w:szCs w:val="19"/>
          <w:color w:val="auto"/>
          <w:highlight w:val="white"/>
        </w:rPr>
        <w:t>. Except as otherwise provided in the Plan or the</w:t>
      </w:r>
      <w:r>
        <w:rPr>
          <w:rFonts w:ascii="Arial" w:cs="Arial" w:eastAsia="Arial" w:hAnsi="Arial"/>
          <w:sz w:val="19"/>
          <w:szCs w:val="19"/>
          <w:color w:val="auto"/>
        </w:rPr>
        <w:t xml:space="preserv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(but any dividends or other distributions payable in shares of Stock or other securities of the Company shall constitute additional Restricted Stock, subject to the same Risk of Forfeiture as the shares of Restricted Stock in respect of which such shares of Stock or other securities are paid). The Committee, as determined at the time of Award, may permit or require the payment of cash dividends to be deferred and, if the Committee so determines, reinvested in additional Restricted Stock to the extent shares of Stock are available under Section 3.1.</w:t>
      </w:r>
    </w:p>
    <w:p>
      <w:pPr>
        <w:spacing w:after="0" w:line="21" w:lineRule="exact"/>
        <w:rPr>
          <w:rFonts w:ascii="Arial" w:cs="Arial" w:eastAsia="Arial" w:hAnsi="Arial"/>
          <w:sz w:val="19"/>
          <w:szCs w:val="19"/>
          <w:color w:val="auto"/>
        </w:rPr>
      </w:pPr>
    </w:p>
    <w:p>
      <w:pPr>
        <w:ind w:left="640" w:right="60" w:hanging="320"/>
        <w:spacing w:after="0" w:line="333" w:lineRule="auto"/>
        <w:tabs>
          <w:tab w:leader="none" w:pos="63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Lapse of Restrictions</w:t>
      </w:r>
      <w:r>
        <w:rPr>
          <w:rFonts w:ascii="Arial" w:cs="Arial" w:eastAsia="Arial" w:hAnsi="Arial"/>
          <w:sz w:val="19"/>
          <w:szCs w:val="19"/>
          <w:color w:val="auto"/>
          <w:highlight w:val="white"/>
        </w:rPr>
        <w:t>. If and when the Restriction Period expires without a prior forfeiture of the Restricted Stock,</w:t>
      </w:r>
      <w:r>
        <w:rPr>
          <w:rFonts w:ascii="Arial" w:cs="Arial" w:eastAsia="Arial" w:hAnsi="Arial"/>
          <w:sz w:val="19"/>
          <w:szCs w:val="19"/>
          <w:color w:val="auto"/>
        </w:rPr>
        <w:t xml:space="preserve"> the certificates for such shares shall be delivered to the Participant promptly if not theretofore so delivered.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98" w:lineRule="exact"/>
        <w:rPr>
          <w:sz w:val="20"/>
          <w:szCs w:val="20"/>
          <w:color w:val="auto"/>
        </w:rPr>
      </w:pPr>
    </w:p>
    <w:p>
      <w:pPr>
        <w:ind w:left="640" w:right="220" w:hanging="320"/>
        <w:spacing w:after="0" w:line="247" w:lineRule="auto"/>
        <w:tabs>
          <w:tab w:leader="none" w:pos="62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Character</w:t>
      </w:r>
      <w:r>
        <w:rPr>
          <w:rFonts w:ascii="Arial" w:cs="Arial" w:eastAsia="Arial" w:hAnsi="Arial"/>
          <w:sz w:val="22"/>
          <w:szCs w:val="22"/>
          <w:color w:val="auto"/>
          <w:highlight w:val="white"/>
        </w:rPr>
        <w:t>. Each Restricted Stock Unit shall entitle the recipient to a share of Stock at a close of such Restriction</w:t>
      </w:r>
      <w:r>
        <w:rPr>
          <w:rFonts w:ascii="Arial" w:cs="Arial" w:eastAsia="Arial" w:hAnsi="Arial"/>
          <w:sz w:val="22"/>
          <w:szCs w:val="22"/>
          <w:color w:val="auto"/>
        </w:rPr>
        <w:t xml:space="preserve">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57" w:lineRule="exact"/>
        <w:rPr>
          <w:rFonts w:ascii="Arial" w:cs="Arial" w:eastAsia="Arial" w:hAnsi="Arial"/>
          <w:sz w:val="22"/>
          <w:szCs w:val="22"/>
          <w:color w:val="auto"/>
        </w:rPr>
      </w:pPr>
    </w:p>
    <w:p>
      <w:pPr>
        <w:ind w:left="640" w:right="40" w:hanging="320"/>
        <w:spacing w:after="0" w:line="292" w:lineRule="auto"/>
        <w:tabs>
          <w:tab w:leader="none" w:pos="64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Form and Timing of Payment</w:t>
      </w:r>
      <w:r>
        <w:rPr>
          <w:rFonts w:ascii="Arial" w:cs="Arial" w:eastAsia="Arial" w:hAnsi="Arial"/>
          <w:sz w:val="19"/>
          <w:szCs w:val="19"/>
          <w:color w:val="auto"/>
        </w:rPr>
        <w:t>. Payment of earned Restricted Stock Units shall be made in a single lump sum following the close of the applicable Restriction Period unless the applicable Award Agreement provides for a later settlement date in compliance with Section 409A of the Code. At the discretion of the Committee, Participants may be entitled to receive payments equivalent to any dividends declared with respect to Stock referenced in grants of Restricted Stock Units but only following the close of the applicable Restriction Period and then only if the underlying Stock shall have been earned. Unless the Committee shall provide otherwise, any such dividend equivalents shall be paid, if at all, without interest or other earnings.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Performance Units</w:t>
      </w:r>
      <w:r>
        <w:rPr>
          <w:rFonts w:ascii="Arial" w:cs="Arial" w:eastAsia="Arial" w:hAnsi="Arial"/>
          <w:sz w:val="22"/>
          <w:szCs w:val="22"/>
          <w:color w:val="auto"/>
          <w:highlight w:val="white"/>
        </w:rPr>
        <w:t>.</w:t>
      </w:r>
    </w:p>
    <w:p>
      <w:pPr>
        <w:spacing w:after="0" w:line="98" w:lineRule="exact"/>
        <w:rPr>
          <w:sz w:val="20"/>
          <w:szCs w:val="20"/>
          <w:color w:val="auto"/>
        </w:rPr>
      </w:pPr>
    </w:p>
    <w:p>
      <w:pPr>
        <w:ind w:left="640" w:right="140" w:hanging="320"/>
        <w:spacing w:after="0" w:line="250" w:lineRule="auto"/>
        <w:tabs>
          <w:tab w:leader="none" w:pos="62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Character</w:t>
      </w:r>
      <w:r>
        <w:rPr>
          <w:rFonts w:ascii="Arial" w:cs="Arial" w:eastAsia="Arial" w:hAnsi="Arial"/>
          <w:sz w:val="22"/>
          <w:szCs w:val="22"/>
          <w:color w:val="auto"/>
          <w:highlight w:val="white"/>
        </w:rPr>
        <w:t>. Each Performance Unit shall entitle the recipient to the value of a specified number of shares of Stock,</w:t>
      </w:r>
      <w:r>
        <w:rPr>
          <w:rFonts w:ascii="Arial" w:cs="Arial" w:eastAsia="Arial" w:hAnsi="Arial"/>
          <w:sz w:val="22"/>
          <w:szCs w:val="22"/>
          <w:color w:val="auto"/>
        </w:rPr>
        <w:t xml:space="preserve"> over the initial value for such number of shares, if any, established by the Committee at the time of grant, at the close of a specified Performance Period to the extent specified business objectives, including, but not limited to, Performance Goals, shall have been achieved.</w:t>
      </w:r>
    </w:p>
    <w:p>
      <w:pPr>
        <w:sectPr>
          <w:pgSz w:w="11900" w:h="16838" w:orient="portrait"/>
          <w:cols w:equalWidth="0" w:num="1">
            <w:col w:w="10580"/>
          </w:cols>
          <w:pgMar w:left="980" w:top="1440" w:right="339" w:bottom="1440" w:gutter="0" w:footer="0" w:header="0"/>
        </w:sectPr>
      </w:pPr>
    </w:p>
    <w:bookmarkStart w:id="64" w:name="page65"/>
    <w:bookmarkEnd w:id="64"/>
    <w:p>
      <w:pPr>
        <w:spacing w:after="0" w:line="83" w:lineRule="exact"/>
        <w:rPr>
          <w:sz w:val="20"/>
          <w:szCs w:val="20"/>
          <w:color w:val="auto"/>
        </w:rPr>
      </w:pPr>
    </w:p>
    <w:p>
      <w:pPr>
        <w:ind w:left="968" w:right="100" w:hanging="320"/>
        <w:spacing w:after="0" w:line="246" w:lineRule="auto"/>
        <w:tabs>
          <w:tab w:leader="none" w:pos="96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Earning of Performance Units</w:t>
      </w:r>
      <w:r>
        <w:rPr>
          <w:rFonts w:ascii="Arial" w:cs="Arial" w:eastAsia="Arial" w:hAnsi="Arial"/>
          <w:sz w:val="22"/>
          <w:szCs w:val="22"/>
          <w:color w:val="auto"/>
          <w:highlight w:val="white"/>
        </w:rPr>
        <w:t>. The Committee shall set Performance Goals or other business objectives in its</w:t>
      </w:r>
      <w:r>
        <w:rPr>
          <w:rFonts w:ascii="Arial" w:cs="Arial" w:eastAsia="Arial" w:hAnsi="Arial"/>
          <w:sz w:val="22"/>
          <w:szCs w:val="22"/>
          <w:color w:val="auto"/>
        </w:rPr>
        <w:t xml:space="preserve">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or other business objectives have been achieved.</w:t>
      </w:r>
    </w:p>
    <w:p>
      <w:pPr>
        <w:spacing w:after="0" w:line="61" w:lineRule="exact"/>
        <w:rPr>
          <w:rFonts w:ascii="Arial" w:cs="Arial" w:eastAsia="Arial" w:hAnsi="Arial"/>
          <w:sz w:val="22"/>
          <w:szCs w:val="22"/>
          <w:color w:val="auto"/>
        </w:rPr>
      </w:pPr>
    </w:p>
    <w:p>
      <w:pPr>
        <w:ind w:left="968" w:right="80" w:hanging="320"/>
        <w:spacing w:after="0" w:line="259" w:lineRule="auto"/>
        <w:tabs>
          <w:tab w:leader="none" w:pos="956"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Performance Units shall be made in a single lump sum following the close of the applicable Performance Period. At the discretion of the Committee, Participants may be entitled to receive any dividends declared with respect to Stock which have been earned in connection with grants of Performance Units which have been earned, but not yet distributed to Participants. Subject to compliance with Section 409A of the Code,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 deferral election is required or permitted, the Committee shall establish rules and procedures for such payment deferrals.</w:t>
      </w:r>
    </w:p>
    <w:p>
      <w:pPr>
        <w:spacing w:after="0" w:line="58" w:lineRule="exact"/>
        <w:rPr>
          <w:sz w:val="20"/>
          <w:szCs w:val="20"/>
          <w:color w:val="auto"/>
        </w:rPr>
      </w:pPr>
    </w:p>
    <w:p>
      <w:pPr>
        <w:jc w:val="both"/>
        <w:ind w:left="328" w:right="320"/>
        <w:spacing w:after="0" w:line="271"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Stock Grants</w:t>
      </w:r>
      <w:r>
        <w:rPr>
          <w:rFonts w:ascii="Arial" w:cs="Arial" w:eastAsia="Arial" w:hAnsi="Arial"/>
          <w:sz w:val="21"/>
          <w:szCs w:val="21"/>
          <w:color w:val="auto"/>
          <w:highlight w:val="white"/>
        </w:rPr>
        <w:t>. Stock Grants shall be awarded solely in recognition of expected contributions to the success of the</w:t>
      </w:r>
      <w:r>
        <w:rPr>
          <w:rFonts w:ascii="Arial" w:cs="Arial" w:eastAsia="Arial" w:hAnsi="Arial"/>
          <w:sz w:val="21"/>
          <w:szCs w:val="21"/>
          <w:color w:val="auto"/>
        </w:rPr>
        <w:t xml:space="preserve"> Company or its Affiliates, as an inducement to employment, and in such other limited circumstances as the Committee deems appropriate. Stock Grants shall be made without forfeiture conditions of any kind.</w:t>
      </w:r>
    </w:p>
    <w:p>
      <w:pPr>
        <w:spacing w:after="0" w:line="46" w:lineRule="exact"/>
        <w:rPr>
          <w:sz w:val="20"/>
          <w:szCs w:val="20"/>
          <w:color w:val="auto"/>
        </w:rPr>
      </w:pPr>
    </w:p>
    <w:p>
      <w:pPr>
        <w:ind w:left="328"/>
        <w:spacing w:after="0" w:line="288"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Awards to Participants outside the United States</w:t>
      </w:r>
      <w:r>
        <w:rPr>
          <w:rFonts w:ascii="Arial" w:cs="Arial" w:eastAsia="Arial" w:hAnsi="Arial"/>
          <w:sz w:val="19"/>
          <w:szCs w:val="19"/>
          <w:color w:val="auto"/>
        </w:rPr>
        <w:t>. The Committee may modify the terms of any Award under the Plan, granted to a Participant 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administrating any such modified Award. No such modification, supplement, amendment, restatement or alternative version may increase the share limit of Section 3.1.</w:t>
      </w:r>
    </w:p>
    <w:p>
      <w:pPr>
        <w:spacing w:after="0" w:line="18" w:lineRule="exact"/>
        <w:rPr>
          <w:sz w:val="20"/>
          <w:szCs w:val="20"/>
          <w:color w:val="auto"/>
        </w:rPr>
      </w:pPr>
    </w:p>
    <w:p>
      <w:pPr>
        <w:ind w:left="328" w:hanging="328"/>
        <w:spacing w:after="0"/>
        <w:tabs>
          <w:tab w:leader="none" w:pos="328"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Provisions</w:t>
      </w:r>
    </w:p>
    <w:p>
      <w:pPr>
        <w:spacing w:after="0" w:line="104" w:lineRule="exact"/>
        <w:rPr>
          <w:rFonts w:ascii="Arial" w:cs="Arial" w:eastAsia="Arial" w:hAnsi="Arial"/>
          <w:sz w:val="22"/>
          <w:szCs w:val="22"/>
          <w:b w:val="1"/>
          <w:bCs w:val="1"/>
          <w:color w:val="auto"/>
        </w:rPr>
      </w:pPr>
    </w:p>
    <w:p>
      <w:pPr>
        <w:ind w:left="328" w:right="28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Adjustment for Corporate Actions</w:t>
      </w:r>
      <w:r>
        <w:rPr>
          <w:rFonts w:ascii="Arial" w:cs="Arial" w:eastAsia="Arial" w:hAnsi="Arial"/>
          <w:sz w:val="22"/>
          <w:szCs w:val="22"/>
          <w:color w:val="auto"/>
          <w:highlight w:val="white"/>
        </w:rPr>
        <w:t>. All of the share numbers set forth in the Plan reflect the capital structure of the</w:t>
      </w:r>
      <w:r>
        <w:rPr>
          <w:rFonts w:ascii="Arial" w:cs="Arial" w:eastAsia="Arial" w:hAnsi="Arial"/>
          <w:sz w:val="22"/>
          <w:szCs w:val="22"/>
          <w:color w:val="auto"/>
        </w:rPr>
        <w:t xml:space="preserve"> Company as of the Effective Date. If subsequent to the Effective Date the outstanding shares of Stock (or any other securities covered by the</w:t>
      </w:r>
    </w:p>
    <w:p>
      <w:pPr>
        <w:sectPr>
          <w:pgSz w:w="11900" w:h="16838" w:orient="portrait"/>
          <w:cols w:equalWidth="0" w:num="1">
            <w:col w:w="10908"/>
          </w:cols>
          <w:pgMar w:left="652" w:top="1440" w:right="339" w:bottom="1440" w:gutter="0" w:footer="0" w:header="0"/>
        </w:sectPr>
      </w:pPr>
    </w:p>
    <w:bookmarkStart w:id="65" w:name="page66"/>
    <w:bookmarkEnd w:id="65"/>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Plan by reason of the prior application of this Section) are increased, decreased, or exchanged for a different number or kind of shares or other securities, or if additional shares or new or different shares or other securities are distributed with respect to shares of Stock, as a result of a reorganization, recapitalization, reclassification, stock dividend, stock split, reverse stock split, or other similar distribution with respect to such shares of Stock, an appropriate and proportionate adjustment will be made in (i) the maximum numbers and kinds of shares provided in Section 3.1, (ii) the numbers and kinds of shares or other securities subject to the then outstanding Awards, (iii) the exercise price for each share or other unit of any other securities subject to then outstanding Stock Rights (without change in the aggregate exercise price as to which such Rights remain exercisable), and (iv) the repurchase price of each share of Restricted Stock then subject to a Risk of Forfeiture in the form of a Company repurchase right.</w:t>
      </w:r>
    </w:p>
    <w:p>
      <w:pPr>
        <w:spacing w:after="0" w:line="22"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Adjustment of Awards upon the Occurrence of Certain Unusual or Nonrecurring Events</w:t>
      </w:r>
      <w:r>
        <w:rPr>
          <w:rFonts w:ascii="Arial" w:cs="Arial" w:eastAsia="Arial" w:hAnsi="Arial"/>
          <w:sz w:val="19"/>
          <w:szCs w:val="19"/>
          <w:color w:val="auto"/>
          <w:highlight w:val="white"/>
        </w:rPr>
        <w:t>. In the event of any</w:t>
      </w:r>
      <w:r>
        <w:rPr>
          <w:rFonts w:ascii="Arial" w:cs="Arial" w:eastAsia="Arial" w:hAnsi="Arial"/>
          <w:sz w:val="19"/>
          <w:szCs w:val="19"/>
          <w:color w:val="auto"/>
        </w:rPr>
        <w:t xml:space="preserve"> corporate action not specifically covered by the preceding Section, including, but not limited to, an extraordinary cash distribution on Stock, a corporate separation or other reorganization or liquidation, the Committee may make such adjustment of outstanding Awards and their terms, if any, as it, in its sole discretion, may deem equitable and appropriate in the circumstances. The Committee also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3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Related Matters</w:t>
      </w:r>
      <w:r>
        <w:rPr>
          <w:rFonts w:ascii="Arial" w:cs="Arial" w:eastAsia="Arial" w:hAnsi="Arial"/>
          <w:sz w:val="19"/>
          <w:szCs w:val="19"/>
          <w:color w:val="auto"/>
        </w:rPr>
        <w:t>. Any adjustment in Awards made pursuant to Section 7.1 or 7.2 shall be determined and made, if at all, by the Committee, acting in its sole discretion, and shall include any correlative modification of terms, including of Stock Right exercise prices, rates of vesting or exercisability, Risks of Forfeiture, applicable repurchase prices for Restricted Stock, and Performance Goals and other business objectives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7. The Committee, in its discretion, may determine that no fraction of a share of Stock shall be purchasable or deliverable upon exercise, and in that event if any adjustment hereunder of the number of shares of Stock covered by an Award would cause such number to include a fraction of a share of Stock, such number of shares of Stock shall be adjusted to the nearest smaller whole number of shares. No adjustment of an Option exercise price per share pursuant to Sections 7.1 or 7.2 shall result in an exercise price which is less than the par value of the Stock.</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Corporate Transactions</w:t>
      </w:r>
      <w:r>
        <w:rPr>
          <w:rFonts w:ascii="Arial" w:cs="Arial" w:eastAsia="Arial" w:hAnsi="Arial"/>
          <w:sz w:val="22"/>
          <w:szCs w:val="22"/>
          <w:color w:val="auto"/>
          <w:highlight w:val="white"/>
        </w:rPr>
        <w:t>.</w:t>
      </w:r>
    </w:p>
    <w:p>
      <w:pPr>
        <w:sectPr>
          <w:pgSz w:w="11900" w:h="16838" w:orient="portrait"/>
          <w:cols w:equalWidth="0" w:num="1">
            <w:col w:w="10480"/>
          </w:cols>
          <w:pgMar w:left="980" w:top="1440" w:right="439" w:bottom="1440" w:gutter="0" w:footer="0" w:header="0"/>
        </w:sectPr>
      </w:pPr>
    </w:p>
    <w:bookmarkStart w:id="66" w:name="page67"/>
    <w:bookmarkEnd w:id="66"/>
    <w:p>
      <w:pPr>
        <w:spacing w:after="0" w:line="83" w:lineRule="exact"/>
        <w:rPr>
          <w:sz w:val="20"/>
          <w:szCs w:val="20"/>
          <w:color w:val="auto"/>
        </w:rPr>
      </w:pPr>
    </w:p>
    <w:p>
      <w:pPr>
        <w:ind w:left="320" w:right="640" w:hanging="320"/>
        <w:spacing w:after="0" w:line="253" w:lineRule="auto"/>
        <w:tabs>
          <w:tab w:leader="none" w:pos="30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Treatment of Awards in a Corporate Transaction</w:t>
      </w:r>
      <w:r>
        <w:rPr>
          <w:rFonts w:ascii="Arial" w:cs="Arial" w:eastAsia="Arial" w:hAnsi="Arial"/>
          <w:sz w:val="22"/>
          <w:szCs w:val="22"/>
          <w:color w:val="auto"/>
          <w:highlight w:val="white"/>
        </w:rPr>
        <w:t>. In a Corporate Transaction, the Committee, in its sole and</w:t>
      </w:r>
      <w:r>
        <w:rPr>
          <w:rFonts w:ascii="Arial" w:cs="Arial" w:eastAsia="Arial" w:hAnsi="Arial"/>
          <w:sz w:val="22"/>
          <w:szCs w:val="22"/>
          <w:color w:val="auto"/>
        </w:rPr>
        <w:t xml:space="preserve"> absolute discretion, may take any one or more of the following actions as to all or any (or any portion of) outstanding Awards.</w:t>
      </w:r>
    </w:p>
    <w:p>
      <w:pPr>
        <w:spacing w:after="0" w:line="50" w:lineRule="exact"/>
        <w:rPr>
          <w:rFonts w:ascii="Arial" w:cs="Arial" w:eastAsia="Arial" w:hAnsi="Arial"/>
          <w:sz w:val="22"/>
          <w:szCs w:val="22"/>
          <w:color w:val="auto"/>
        </w:rPr>
      </w:pPr>
    </w:p>
    <w:p>
      <w:pPr>
        <w:ind w:left="980" w:hanging="446"/>
        <w:spacing w:after="0" w:line="250"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Assumption and Substitution</w:t>
      </w:r>
      <w:r>
        <w:rPr>
          <w:rFonts w:ascii="Arial" w:cs="Arial" w:eastAsia="Arial" w:hAnsi="Arial"/>
          <w:sz w:val="22"/>
          <w:szCs w:val="22"/>
          <w:color w:val="auto"/>
        </w:rPr>
        <w:t>. Provide that such Awards shall be assumed, or substantially equivalent rights shall be provided in substitution therefor, by the acquiring or succeeding entity (or an affiliate thereof), and that any repurchase or other rights of the Company under each such Award shall inure to the benefit of such acquiring or succeeding entity (or affiliate thereof).</w:t>
      </w:r>
    </w:p>
    <w:p>
      <w:pPr>
        <w:spacing w:after="0" w:line="66" w:lineRule="exact"/>
        <w:rPr>
          <w:rFonts w:ascii="Arial" w:cs="Arial" w:eastAsia="Arial" w:hAnsi="Arial"/>
          <w:sz w:val="22"/>
          <w:szCs w:val="22"/>
          <w:color w:val="auto"/>
        </w:rPr>
      </w:pPr>
    </w:p>
    <w:p>
      <w:pPr>
        <w:ind w:left="980" w:hanging="506"/>
        <w:spacing w:after="0"/>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Termination, Forfeiture and Reacquisition</w:t>
      </w:r>
      <w:r>
        <w:rPr>
          <w:rFonts w:ascii="Arial" w:cs="Arial" w:eastAsia="Arial" w:hAnsi="Arial"/>
          <w:sz w:val="22"/>
          <w:szCs w:val="22"/>
          <w:color w:val="auto"/>
          <w:highlight w:val="white"/>
        </w:rPr>
        <w:t>. Upon written notice to the holders, provide that:</w:t>
      </w:r>
    </w:p>
    <w:p>
      <w:pPr>
        <w:spacing w:after="0" w:line="21" w:lineRule="exact"/>
        <w:rPr>
          <w:rFonts w:ascii="Arial" w:cs="Arial" w:eastAsia="Arial" w:hAnsi="Arial"/>
          <w:sz w:val="22"/>
          <w:szCs w:val="22"/>
          <w:color w:val="auto"/>
        </w:rPr>
      </w:pPr>
    </w:p>
    <w:p>
      <w:pPr>
        <w:ind w:left="1620" w:right="40" w:hanging="324"/>
        <w:spacing w:after="0" w:line="244" w:lineRule="auto"/>
        <w:tabs>
          <w:tab w:leader="none" w:pos="1620" w:val="left"/>
        </w:tabs>
        <w:numPr>
          <w:ilvl w:val="3"/>
          <w:numId w:val="53"/>
        </w:numPr>
        <w:rPr>
          <w:rFonts w:ascii="Arial" w:cs="Arial" w:eastAsia="Arial" w:hAnsi="Arial"/>
          <w:sz w:val="22"/>
          <w:szCs w:val="22"/>
          <w:color w:val="auto"/>
        </w:rPr>
      </w:pPr>
      <w:r>
        <w:rPr>
          <w:rFonts w:ascii="Arial" w:cs="Arial" w:eastAsia="Arial" w:hAnsi="Arial"/>
          <w:sz w:val="22"/>
          <w:szCs w:val="22"/>
          <w:color w:val="auto"/>
        </w:rPr>
        <w:t>any unexercised Stock Rights shall terminate immediately prior to the consummation of the Corporate Transaction unless exercised within a specified period following the date of such notice and that any Stock Rights not then exercisable will expire automatically upon consummation of the Corporate Transaction;</w:t>
      </w:r>
    </w:p>
    <w:p>
      <w:pPr>
        <w:spacing w:after="0" w:line="73" w:lineRule="exact"/>
        <w:rPr>
          <w:rFonts w:ascii="Arial" w:cs="Arial" w:eastAsia="Arial" w:hAnsi="Arial"/>
          <w:sz w:val="22"/>
          <w:szCs w:val="22"/>
          <w:color w:val="auto"/>
        </w:rPr>
      </w:pPr>
    </w:p>
    <w:p>
      <w:pPr>
        <w:ind w:left="1620" w:right="80" w:hanging="324"/>
        <w:spacing w:after="0" w:line="326" w:lineRule="auto"/>
        <w:tabs>
          <w:tab w:leader="none" w:pos="1620" w:val="left"/>
        </w:tabs>
        <w:numPr>
          <w:ilvl w:val="3"/>
          <w:numId w:val="53"/>
        </w:numPr>
        <w:rPr>
          <w:rFonts w:ascii="Arial" w:cs="Arial" w:eastAsia="Arial" w:hAnsi="Arial"/>
          <w:sz w:val="19"/>
          <w:szCs w:val="19"/>
          <w:color w:val="auto"/>
        </w:rPr>
      </w:pPr>
      <w:r>
        <w:rPr>
          <w:rFonts w:ascii="Arial" w:cs="Arial" w:eastAsia="Arial" w:hAnsi="Arial"/>
          <w:sz w:val="19"/>
          <w:szCs w:val="19"/>
          <w:color w:val="auto"/>
        </w:rPr>
        <w:t>any Restricted Stock Units shall terminate and be forfeited immediately prior to the consummation of the Corporate Transaction to the extent they are then subject to a Risk of Forfeiture; and/or</w:t>
      </w:r>
    </w:p>
    <w:p>
      <w:pPr>
        <w:ind w:left="1620" w:right="280" w:hanging="324"/>
        <w:spacing w:after="0" w:line="271" w:lineRule="auto"/>
        <w:tabs>
          <w:tab w:leader="none" w:pos="1620" w:val="left"/>
        </w:tabs>
        <w:numPr>
          <w:ilvl w:val="3"/>
          <w:numId w:val="53"/>
        </w:numPr>
        <w:rPr>
          <w:rFonts w:ascii="Arial" w:cs="Arial" w:eastAsia="Arial" w:hAnsi="Arial"/>
          <w:sz w:val="21"/>
          <w:szCs w:val="21"/>
          <w:color w:val="auto"/>
        </w:rPr>
      </w:pPr>
      <w:r>
        <w:rPr>
          <w:rFonts w:ascii="Arial" w:cs="Arial" w:eastAsia="Arial" w:hAnsi="Arial"/>
          <w:sz w:val="21"/>
          <w:szCs w:val="21"/>
          <w:color w:val="auto"/>
        </w:rPr>
        <w:t>any shares of Restricted Stock shall automatically be reacquired by the Corporation upon consummation of the Corporate Transaction at a price per share equal to the lesser of the Market Value of the Restricted Stock and the purchase price paid by the Participant.</w:t>
      </w:r>
    </w:p>
    <w:p>
      <w:pPr>
        <w:spacing w:after="0" w:line="45" w:lineRule="exact"/>
        <w:rPr>
          <w:rFonts w:ascii="Arial" w:cs="Arial" w:eastAsia="Arial" w:hAnsi="Arial"/>
          <w:sz w:val="21"/>
          <w:szCs w:val="21"/>
          <w:color w:val="auto"/>
        </w:rPr>
      </w:pPr>
    </w:p>
    <w:p>
      <w:pPr>
        <w:ind w:left="980" w:hanging="566"/>
        <w:spacing w:after="0"/>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Acceleration of Vesting</w:t>
      </w:r>
      <w:r>
        <w:rPr>
          <w:rFonts w:ascii="Arial" w:cs="Arial" w:eastAsia="Arial" w:hAnsi="Arial"/>
          <w:sz w:val="22"/>
          <w:szCs w:val="22"/>
          <w:color w:val="auto"/>
        </w:rPr>
        <w:t xml:space="preserve"> </w:t>
      </w:r>
      <w:r>
        <w:rPr>
          <w:rFonts w:ascii="Arial" w:cs="Arial" w:eastAsia="Arial" w:hAnsi="Arial"/>
          <w:sz w:val="22"/>
          <w:szCs w:val="22"/>
          <w:color w:val="auto"/>
          <w:highlight w:val="white"/>
        </w:rPr>
        <w:t>. Provide that:</w:t>
      </w:r>
    </w:p>
    <w:p>
      <w:pPr>
        <w:spacing w:after="0" w:line="98" w:lineRule="exact"/>
        <w:rPr>
          <w:rFonts w:ascii="Arial" w:cs="Arial" w:eastAsia="Arial" w:hAnsi="Arial"/>
          <w:sz w:val="22"/>
          <w:szCs w:val="22"/>
          <w:color w:val="auto"/>
        </w:rPr>
      </w:pPr>
    </w:p>
    <w:p>
      <w:pPr>
        <w:jc w:val="both"/>
        <w:ind w:left="1620" w:right="460" w:hanging="324"/>
        <w:spacing w:after="0" w:line="253" w:lineRule="auto"/>
        <w:tabs>
          <w:tab w:leader="none" w:pos="1620" w:val="left"/>
        </w:tabs>
        <w:numPr>
          <w:ilvl w:val="3"/>
          <w:numId w:val="53"/>
        </w:numPr>
        <w:rPr>
          <w:rFonts w:ascii="Arial" w:cs="Arial" w:eastAsia="Arial" w:hAnsi="Arial"/>
          <w:sz w:val="22"/>
          <w:szCs w:val="22"/>
          <w:color w:val="auto"/>
        </w:rPr>
      </w:pPr>
      <w:r>
        <w:rPr>
          <w:rFonts w:ascii="Arial" w:cs="Arial" w:eastAsia="Arial" w:hAnsi="Arial"/>
          <w:sz w:val="22"/>
          <w:szCs w:val="22"/>
          <w:color w:val="auto"/>
        </w:rPr>
        <w:t>any and all Stock Rights not already exercisable in full shall Accelerate with respect to all or a portion of the shares for which such Stock Rights are not then exercisable prior to or upon the consummation of the Corporate Transaction; and/or</w:t>
      </w:r>
    </w:p>
    <w:p>
      <w:pPr>
        <w:spacing w:after="0" w:line="50" w:lineRule="exact"/>
        <w:rPr>
          <w:rFonts w:ascii="Arial" w:cs="Arial" w:eastAsia="Arial" w:hAnsi="Arial"/>
          <w:sz w:val="22"/>
          <w:szCs w:val="22"/>
          <w:color w:val="auto"/>
        </w:rPr>
      </w:pPr>
    </w:p>
    <w:p>
      <w:pPr>
        <w:jc w:val="both"/>
        <w:ind w:left="1620" w:right="40" w:hanging="324"/>
        <w:spacing w:after="0" w:line="265" w:lineRule="auto"/>
        <w:tabs>
          <w:tab w:leader="none" w:pos="1620" w:val="left"/>
        </w:tabs>
        <w:numPr>
          <w:ilvl w:val="3"/>
          <w:numId w:val="53"/>
        </w:numPr>
        <w:rPr>
          <w:rFonts w:ascii="Arial" w:cs="Arial" w:eastAsia="Arial" w:hAnsi="Arial"/>
          <w:sz w:val="21"/>
          <w:szCs w:val="21"/>
          <w:color w:val="auto"/>
        </w:rPr>
      </w:pPr>
      <w:r>
        <w:rPr>
          <w:rFonts w:ascii="Arial" w:cs="Arial" w:eastAsia="Arial" w:hAnsi="Arial"/>
          <w:sz w:val="21"/>
          <w:szCs w:val="21"/>
          <w:color w:val="auto"/>
        </w:rPr>
        <w:t>any Risk of Forfeiture applicable to Restricted Stock and Restricted Stock Units which is not based on achievement of Performance Goals or other business objectives shall lapse upon consummation of the Corporate Transaction with respect to all or a portion of the Restricted Stock and Restricted Stock Units then subject to such Risk of Forfeiture.</w:t>
      </w:r>
    </w:p>
    <w:p>
      <w:pPr>
        <w:spacing w:after="0" w:line="53" w:lineRule="exact"/>
        <w:rPr>
          <w:rFonts w:ascii="Arial" w:cs="Arial" w:eastAsia="Arial" w:hAnsi="Arial"/>
          <w:sz w:val="21"/>
          <w:szCs w:val="21"/>
          <w:color w:val="auto"/>
        </w:rPr>
      </w:pPr>
    </w:p>
    <w:p>
      <w:pPr>
        <w:ind w:left="980" w:right="220" w:hanging="332"/>
        <w:spacing w:after="0" w:line="297" w:lineRule="auto"/>
        <w:tabs>
          <w:tab w:leader="none" w:pos="980" w:val="left"/>
        </w:tabs>
        <w:numPr>
          <w:ilvl w:val="2"/>
          <w:numId w:val="53"/>
        </w:numPr>
        <w:rPr>
          <w:rFonts w:ascii="Arial" w:cs="Arial" w:eastAsia="Arial" w:hAnsi="Arial"/>
          <w:sz w:val="19"/>
          <w:szCs w:val="19"/>
          <w:color w:val="auto"/>
        </w:rPr>
      </w:pPr>
      <w:r>
        <w:rPr>
          <w:rFonts w:ascii="Arial" w:cs="Arial" w:eastAsia="Arial" w:hAnsi="Arial"/>
          <w:sz w:val="19"/>
          <w:szCs w:val="19"/>
          <w:u w:val="single" w:color="auto"/>
          <w:color w:val="auto"/>
        </w:rPr>
        <w:t>Achievement of Performance Goals</w:t>
      </w:r>
      <w:r>
        <w:rPr>
          <w:rFonts w:ascii="Arial" w:cs="Arial" w:eastAsia="Arial" w:hAnsi="Arial"/>
          <w:sz w:val="19"/>
          <w:szCs w:val="19"/>
          <w:color w:val="auto"/>
        </w:rPr>
        <w:t>. Provide that all outstanding Awards of Restricted Stock, Restricted Stock Units, and/or Performance Units conditioned on the achievement of Performance Goals or other business objectives and the target payout opportunities attainable under outstanding Performance Units shall be deemed to have been satisfied as of the effective date of the Corporate Transaction as to (i) none of, (ii) all of or (iii) a pro rata number of shares based on the assumed achievement of all</w:t>
      </w:r>
    </w:p>
    <w:p>
      <w:pPr>
        <w:sectPr>
          <w:pgSz w:w="11900" w:h="16838" w:orient="portrait"/>
          <w:cols w:equalWidth="0" w:num="1">
            <w:col w:w="10240"/>
          </w:cols>
          <w:pgMar w:left="1300" w:top="1440" w:right="359" w:bottom="1440" w:gutter="0" w:footer="0" w:header="0"/>
        </w:sectPr>
      </w:pPr>
    </w:p>
    <w:bookmarkStart w:id="67" w:name="page68"/>
    <w:bookmarkEnd w:id="67"/>
    <w:p>
      <w:pPr>
        <w:spacing w:after="0" w:line="83" w:lineRule="exact"/>
        <w:rPr>
          <w:sz w:val="20"/>
          <w:szCs w:val="20"/>
          <w:color w:val="auto"/>
        </w:rPr>
      </w:pPr>
    </w:p>
    <w:p>
      <w:pPr>
        <w:ind w:left="1094" w:right="280"/>
        <w:spacing w:after="0" w:line="302" w:lineRule="auto"/>
        <w:rPr>
          <w:sz w:val="20"/>
          <w:szCs w:val="20"/>
          <w:color w:val="auto"/>
        </w:rPr>
      </w:pPr>
      <w:r>
        <w:rPr>
          <w:rFonts w:ascii="Arial" w:cs="Arial" w:eastAsia="Arial" w:hAnsi="Arial"/>
          <w:sz w:val="19"/>
          <w:szCs w:val="19"/>
          <w:color w:val="auto"/>
        </w:rPr>
        <w:t>relevant Performance Goals or other business objectives and the length of time within the Restriction Period or Performance Period which has elapsed prior to the Corporate Transaction. All such Awards of Performance Units and Restricted Stock Units shall be paid to the extent earned to Participants in accordance with their terms within 30 days following the effective date of the Corporate Transaction.</w:t>
      </w:r>
    </w:p>
    <w:p>
      <w:pPr>
        <w:spacing w:after="0" w:line="7" w:lineRule="exact"/>
        <w:rPr>
          <w:sz w:val="20"/>
          <w:szCs w:val="20"/>
          <w:color w:val="auto"/>
        </w:rPr>
      </w:pPr>
    </w:p>
    <w:p>
      <w:pPr>
        <w:ind w:left="1094" w:right="40" w:hanging="332"/>
        <w:spacing w:after="0" w:line="289" w:lineRule="auto"/>
        <w:tabs>
          <w:tab w:leader="none" w:pos="1094"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Cash Payments to Holders of Stock Rights</w:t>
      </w:r>
      <w:r>
        <w:rPr>
          <w:rFonts w:ascii="Arial" w:cs="Arial" w:eastAsia="Arial" w:hAnsi="Arial"/>
          <w:sz w:val="19"/>
          <w:szCs w:val="19"/>
          <w:color w:val="auto"/>
        </w:rPr>
        <w:t>. Provide for cash payments, net of applicable tax withholdings, to be made to holders of Stock Rights equal to the excess, if any, of (A) the acquisition price times the number of shares of Stock subject to a Stock Right (to the extent the exercise price does not exceed the acquisition price) over (B) the aggregate exercise price for all such shares of Stock subject to the Stock Right, in exchange for the termination of such Stock Right; provided, that if the acquisition price does not exceed the exercise price of any such Stock Right, the Committee may cancel that Stock Right without the payment of any consideration therefor prior to or upon the Corporate Transaction. For this purpose, "acquisition price" means the amount of cash, and market value of any other consideration, received in payment for a share of Stock surrendered in a Corporate Transaction.</w:t>
      </w:r>
    </w:p>
    <w:p>
      <w:pPr>
        <w:spacing w:after="0" w:line="35" w:lineRule="exact"/>
        <w:rPr>
          <w:rFonts w:ascii="Arial" w:cs="Arial" w:eastAsia="Arial" w:hAnsi="Arial"/>
          <w:sz w:val="19"/>
          <w:szCs w:val="19"/>
          <w:color w:val="auto"/>
        </w:rPr>
      </w:pPr>
    </w:p>
    <w:p>
      <w:pPr>
        <w:jc w:val="both"/>
        <w:ind w:left="1094" w:hanging="332"/>
        <w:spacing w:after="0" w:line="253" w:lineRule="auto"/>
        <w:tabs>
          <w:tab w:leader="none" w:pos="109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Conversion of Stock Rights upon Liquidation or Dissolution</w:t>
      </w:r>
      <w:r>
        <w:rPr>
          <w:rFonts w:ascii="Arial" w:cs="Arial" w:eastAsia="Arial" w:hAnsi="Arial"/>
          <w:sz w:val="22"/>
          <w:szCs w:val="22"/>
          <w:color w:val="auto"/>
          <w:highlight w:val="white"/>
        </w:rPr>
        <w:t>. Provide that, in connection with a liquidation</w:t>
      </w:r>
      <w:r>
        <w:rPr>
          <w:rFonts w:ascii="Arial" w:cs="Arial" w:eastAsia="Arial" w:hAnsi="Arial"/>
          <w:sz w:val="22"/>
          <w:szCs w:val="22"/>
          <w:color w:val="auto"/>
        </w:rPr>
        <w:t xml:space="preserve"> or dissolution of the Company, Stock Rights shall convert into the right to receive liquidation proceeds net of the exercise price thereof and any applicable tax withholdings.</w:t>
      </w:r>
    </w:p>
    <w:p>
      <w:pPr>
        <w:spacing w:after="0" w:line="64" w:lineRule="exact"/>
        <w:rPr>
          <w:sz w:val="20"/>
          <w:szCs w:val="20"/>
          <w:color w:val="auto"/>
        </w:rPr>
      </w:pPr>
    </w:p>
    <w:p>
      <w:pPr>
        <w:ind w:left="754"/>
        <w:spacing w:after="0"/>
        <w:rPr>
          <w:sz w:val="20"/>
          <w:szCs w:val="20"/>
          <w:color w:val="auto"/>
        </w:rPr>
      </w:pPr>
      <w:r>
        <w:rPr>
          <w:rFonts w:ascii="Arial" w:cs="Arial" w:eastAsia="Arial" w:hAnsi="Arial"/>
          <w:sz w:val="22"/>
          <w:szCs w:val="22"/>
          <w:color w:val="auto"/>
        </w:rPr>
        <w:t>7.  Any combination of the foregoing.</w:t>
      </w:r>
    </w:p>
    <w:p>
      <w:pPr>
        <w:spacing w:after="0" w:line="85" w:lineRule="exact"/>
        <w:rPr>
          <w:sz w:val="20"/>
          <w:szCs w:val="20"/>
          <w:color w:val="auto"/>
        </w:rPr>
      </w:pPr>
    </w:p>
    <w:p>
      <w:pPr>
        <w:ind w:left="434" w:right="180"/>
        <w:spacing w:after="0" w:line="288" w:lineRule="auto"/>
        <w:rPr>
          <w:sz w:val="20"/>
          <w:szCs w:val="20"/>
          <w:color w:val="auto"/>
        </w:rPr>
      </w:pPr>
      <w:r>
        <w:rPr>
          <w:rFonts w:ascii="Arial" w:cs="Arial" w:eastAsia="Arial" w:hAnsi="Arial"/>
          <w:sz w:val="19"/>
          <w:szCs w:val="19"/>
          <w:color w:val="auto"/>
        </w:rPr>
        <w:t>None of the foregoing shall apply, however, (i) in the case of an Award Agreement, employment agreement or policy or plan adopted by the Board or the Committee that requires other or additional terms upon a Corporate Transaction (or similar event) and, which, by its terms, takes precedence over the provisions of this Section 7, or</w:t>
      </w:r>
    </w:p>
    <w:p>
      <w:pPr>
        <w:spacing w:after="0" w:line="1" w:lineRule="exact"/>
        <w:rPr>
          <w:sz w:val="20"/>
          <w:szCs w:val="20"/>
          <w:color w:val="auto"/>
        </w:rPr>
      </w:pPr>
    </w:p>
    <w:p>
      <w:pPr>
        <w:ind w:left="434" w:right="20" w:firstLine="4"/>
        <w:spacing w:after="0" w:line="246" w:lineRule="auto"/>
        <w:tabs>
          <w:tab w:leader="none" w:pos="752" w:val="left"/>
        </w:tabs>
        <w:numPr>
          <w:ilvl w:val="1"/>
          <w:numId w:val="55"/>
        </w:numPr>
        <w:rPr>
          <w:rFonts w:ascii="Arial" w:cs="Arial" w:eastAsia="Arial" w:hAnsi="Arial"/>
          <w:sz w:val="22"/>
          <w:szCs w:val="22"/>
          <w:color w:val="auto"/>
        </w:rPr>
      </w:pPr>
      <w:r>
        <w:rPr>
          <w:rFonts w:ascii="Arial" w:cs="Arial" w:eastAsia="Arial" w:hAnsi="Arial"/>
          <w:sz w:val="22"/>
          <w:szCs w:val="22"/>
          <w:color w:val="auto"/>
        </w:rPr>
        <w:t>if specifically prohibited under applicable laws, or by the rules and regulations of any governing governmental agencies or national securities exchanges on which the Stock is listed.</w:t>
      </w:r>
    </w:p>
    <w:p>
      <w:pPr>
        <w:spacing w:after="0" w:line="70" w:lineRule="exact"/>
        <w:rPr>
          <w:rFonts w:ascii="Arial" w:cs="Arial" w:eastAsia="Arial" w:hAnsi="Arial"/>
          <w:sz w:val="22"/>
          <w:szCs w:val="22"/>
          <w:color w:val="auto"/>
        </w:rPr>
      </w:pPr>
    </w:p>
    <w:p>
      <w:pPr>
        <w:ind w:left="434" w:right="20" w:hanging="434"/>
        <w:spacing w:after="0" w:line="289" w:lineRule="auto"/>
        <w:tabs>
          <w:tab w:leader="none" w:pos="43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Assumption and Substitution of Awards</w:t>
      </w:r>
      <w:r>
        <w:rPr>
          <w:rFonts w:ascii="Arial" w:cs="Arial" w:eastAsia="Arial" w:hAnsi="Arial"/>
          <w:sz w:val="19"/>
          <w:szCs w:val="19"/>
          <w:color w:val="auto"/>
        </w:rPr>
        <w:t xml:space="preserve"> </w:t>
      </w:r>
      <w:r>
        <w:rPr>
          <w:rFonts w:ascii="Arial" w:cs="Arial" w:eastAsia="Arial" w:hAnsi="Arial"/>
          <w:sz w:val="19"/>
          <w:szCs w:val="19"/>
          <w:color w:val="auto"/>
          <w:highlight w:val="white"/>
        </w:rPr>
        <w:t>. For purposes of Section 7.4(a)(i) above, an Award shall be considered</w:t>
      </w:r>
      <w:r>
        <w:rPr>
          <w:rFonts w:ascii="Arial" w:cs="Arial" w:eastAsia="Arial" w:hAnsi="Arial"/>
          <w:sz w:val="19"/>
          <w:szCs w:val="19"/>
          <w:color w:val="auto"/>
        </w:rPr>
        <w:t xml:space="preserve"> assumed, or a substantially equivalent award shall be considered to have been provided in substitution therefor, if following consummation of the Corporate Transaction the Award is assumed and/or exchanged or replaced with another award issued by the acquiring or succeeding entity (or an affiliate thereof) that confers the right to purchase or receive the value of, for each share of Stock subject to the Award immediately prior to the consummation of the Corporate Transaction, the consideration (whether cash, securities or other property) received as a result of the Corporate Transaction by holders of Stock for each share of Stock held immediately prior to the consummation of the Corporate Transaction (and if holders were offered a choice of consideration, the type of consideration chosen by the holders of a majority of</w:t>
      </w:r>
    </w:p>
    <w:p>
      <w:pPr>
        <w:sectPr>
          <w:pgSz w:w="11900" w:h="16838" w:orient="portrait"/>
          <w:cols w:equalWidth="0" w:num="1">
            <w:col w:w="10334"/>
          </w:cols>
          <w:pgMar w:left="1186" w:top="1440" w:right="379" w:bottom="1440" w:gutter="0" w:footer="0" w:header="0"/>
        </w:sectPr>
      </w:pPr>
    </w:p>
    <w:bookmarkStart w:id="68" w:name="page69"/>
    <w:bookmarkEnd w:id="68"/>
    <w:p>
      <w:pPr>
        <w:spacing w:after="0" w:line="83" w:lineRule="exact"/>
        <w:rPr>
          <w:sz w:val="20"/>
          <w:szCs w:val="20"/>
          <w:color w:val="auto"/>
        </w:rPr>
      </w:pPr>
    </w:p>
    <w:p>
      <w:pPr>
        <w:ind w:left="968" w:right="40"/>
        <w:spacing w:after="0" w:line="261" w:lineRule="auto"/>
        <w:rPr>
          <w:sz w:val="20"/>
          <w:szCs w:val="20"/>
          <w:color w:val="auto"/>
        </w:rPr>
      </w:pPr>
      <w:r>
        <w:rPr>
          <w:rFonts w:ascii="Arial" w:cs="Arial" w:eastAsia="Arial" w:hAnsi="Arial"/>
          <w:sz w:val="21"/>
          <w:szCs w:val="21"/>
          <w:color w:val="auto"/>
        </w:rPr>
        <w:t>the outstanding shares of Stock); provided, however, that if the consideration received as a result of the Corporate Transaction is not solely common stock (or its equivalent) of the acquiring or succeeding entity (or an affiliate thereof), the Committee may provide for the consideration to be received upon the exercise of Award to consist of or be based on solely common stock (or its equivalent) of the acquiring or succeeding entity (or an affiliate thereof) equivalent in value to the per share consideration received by holders of outstanding shares of Stock as a result of the Corporate Transaction.</w:t>
      </w:r>
    </w:p>
    <w:p>
      <w:pPr>
        <w:spacing w:after="0" w:line="44" w:lineRule="exact"/>
        <w:rPr>
          <w:sz w:val="20"/>
          <w:szCs w:val="20"/>
          <w:color w:val="auto"/>
        </w:rPr>
      </w:pPr>
    </w:p>
    <w:p>
      <w:pPr>
        <w:ind w:left="968" w:right="100" w:hanging="494"/>
        <w:spacing w:after="0" w:line="259" w:lineRule="auto"/>
        <w:tabs>
          <w:tab w:leader="none" w:pos="968"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Related Matters</w:t>
      </w:r>
      <w:r>
        <w:rPr>
          <w:rFonts w:ascii="Arial" w:cs="Arial" w:eastAsia="Arial" w:hAnsi="Arial"/>
          <w:sz w:val="21"/>
          <w:szCs w:val="21"/>
          <w:color w:val="auto"/>
        </w:rPr>
        <w:t xml:space="preserve"> . In taking any of the actions permitted under this Section 7.4, the Committee shall not be obligated to treat all Awards, all Awards held by a Participant, or all Awards of the same type, identically. Any determinations required to carry out the foregoing provisions of this Section 7.4, including, but not limited to, the market value of other consideration received by holders of Stock in a Corporate Transaction and whether substantially equivalent awards have been substituted, shall be made by the Committee acting in its sole and absolute discretion. In connection with any action or actions taken by the Committee in respect of Awards and in connection with a Transaction, the Committee may require such acknowledgements of satisfaction and releases from Participants as it may determine.</w:t>
      </w:r>
    </w:p>
    <w:p>
      <w:pPr>
        <w:spacing w:after="0" w:line="177" w:lineRule="exact"/>
        <w:rPr>
          <w:rFonts w:ascii="Arial" w:cs="Arial" w:eastAsia="Arial" w:hAnsi="Arial"/>
          <w:sz w:val="21"/>
          <w:szCs w:val="21"/>
          <w:color w:val="auto"/>
        </w:rPr>
      </w:pPr>
    </w:p>
    <w:p>
      <w:pPr>
        <w:ind w:left="328" w:hanging="328"/>
        <w:spacing w:after="0"/>
        <w:tabs>
          <w:tab w:leader="none" w:pos="328"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Awards</w:t>
      </w:r>
    </w:p>
    <w:p>
      <w:pPr>
        <w:spacing w:after="0" w:line="104" w:lineRule="exact"/>
        <w:rPr>
          <w:rFonts w:ascii="Arial" w:cs="Arial" w:eastAsia="Arial" w:hAnsi="Arial"/>
          <w:sz w:val="22"/>
          <w:szCs w:val="22"/>
          <w:b w:val="1"/>
          <w:bCs w:val="1"/>
          <w:color w:val="auto"/>
        </w:rPr>
      </w:pPr>
    </w:p>
    <w:p>
      <w:pPr>
        <w:ind w:left="328" w:right="80"/>
        <w:spacing w:after="0" w:line="248" w:lineRule="auto"/>
        <w:rPr>
          <w:rFonts w:ascii="Arial" w:cs="Arial" w:eastAsia="Arial" w:hAnsi="Arial"/>
          <w:sz w:val="22"/>
          <w:szCs w:val="22"/>
          <w:b w:val="1"/>
          <w:bCs w:val="1"/>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In General</w:t>
      </w:r>
      <w:r>
        <w:rPr>
          <w:rFonts w:ascii="Arial" w:cs="Arial" w:eastAsia="Arial" w:hAnsi="Arial"/>
          <w:sz w:val="22"/>
          <w:szCs w:val="22"/>
          <w:color w:val="auto"/>
        </w:rPr>
        <w:t>. Awards of Restricted Stock shall be settled in accordance with their terms. All other Awards may be settled in cash, Stock, or other Awards, or a combination thereof, as determined by the Committee at or after grant and subject to any contrary Award Agreement. The Committee may not require settlement of any Award in Stock pursuant to the immediately preceding sentence to the extent issuance of such Stock would be prohibited or unreasonably delayed by reason of any other provision of the Plan.</w:t>
      </w:r>
    </w:p>
    <w:p>
      <w:pPr>
        <w:spacing w:after="0" w:line="70" w:lineRule="exact"/>
        <w:rPr>
          <w:rFonts w:ascii="Arial" w:cs="Arial" w:eastAsia="Arial" w:hAnsi="Arial"/>
          <w:sz w:val="22"/>
          <w:szCs w:val="22"/>
          <w:b w:val="1"/>
          <w:bCs w:val="1"/>
          <w:color w:val="auto"/>
        </w:rPr>
      </w:pPr>
    </w:p>
    <w:p>
      <w:pPr>
        <w:ind w:left="328"/>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Violation of Law</w:t>
      </w:r>
      <w:r>
        <w:rPr>
          <w:rFonts w:ascii="Arial" w:cs="Arial" w:eastAsia="Arial" w:hAnsi="Arial"/>
          <w:sz w:val="21"/>
          <w:szCs w:val="21"/>
          <w:color w:val="auto"/>
          <w:highlight w:val="white"/>
        </w:rPr>
        <w:t>. Notwithstanding any other provision of the Plan or the relevant Award Agreement, if, at any time,</w:t>
      </w:r>
      <w:r>
        <w:rPr>
          <w:rFonts w:ascii="Arial" w:cs="Arial" w:eastAsia="Arial" w:hAnsi="Arial"/>
          <w:sz w:val="21"/>
          <w:szCs w:val="21"/>
          <w:color w:val="auto"/>
        </w:rPr>
        <w:t xml:space="preserve"> in the reasonable opinion of the Company, the issuance of shares of Stock covered by an Award may constitute a violation of law, then the Company may delay such issuance and the delivery of a certificate for such shares until (i) approval shall have been obtained from such governmental agencies, other than the Securities and Exchange Commission, as may be required under any applicable law, rule, or regulation and (ii) in the case where such issuance would constitute a violation of a law administered by or a regulation of the Securities and Exchange Commission, one of the following conditions shall have been satisfied:</w:t>
      </w:r>
    </w:p>
    <w:p>
      <w:pPr>
        <w:spacing w:after="0" w:line="45" w:lineRule="exact"/>
        <w:rPr>
          <w:rFonts w:ascii="Arial" w:cs="Arial" w:eastAsia="Arial" w:hAnsi="Arial"/>
          <w:sz w:val="22"/>
          <w:szCs w:val="22"/>
          <w:b w:val="1"/>
          <w:bCs w:val="1"/>
          <w:color w:val="auto"/>
        </w:rPr>
      </w:pPr>
    </w:p>
    <w:p>
      <w:pPr>
        <w:ind w:left="968" w:hanging="320"/>
        <w:spacing w:after="0"/>
        <w:tabs>
          <w:tab w:leader="none" w:pos="968" w:val="left"/>
        </w:tabs>
        <w:numPr>
          <w:ilvl w:val="2"/>
          <w:numId w:val="58"/>
        </w:numPr>
        <w:rPr>
          <w:rFonts w:ascii="Arial" w:cs="Arial" w:eastAsia="Arial" w:hAnsi="Arial"/>
          <w:sz w:val="21"/>
          <w:szCs w:val="21"/>
          <w:color w:val="auto"/>
        </w:rPr>
      </w:pPr>
      <w:r>
        <w:rPr>
          <w:rFonts w:ascii="Arial" w:cs="Arial" w:eastAsia="Arial" w:hAnsi="Arial"/>
          <w:sz w:val="21"/>
          <w:szCs w:val="21"/>
          <w:color w:val="auto"/>
        </w:rPr>
        <w:t>the shares are at the time of the issue of such shares effectively registered under the Securities Act; or</w:t>
      </w:r>
    </w:p>
    <w:p>
      <w:pPr>
        <w:spacing w:after="0" w:line="109" w:lineRule="exact"/>
        <w:rPr>
          <w:rFonts w:ascii="Arial" w:cs="Arial" w:eastAsia="Arial" w:hAnsi="Arial"/>
          <w:sz w:val="21"/>
          <w:szCs w:val="21"/>
          <w:color w:val="auto"/>
        </w:rPr>
      </w:pPr>
    </w:p>
    <w:p>
      <w:pPr>
        <w:ind w:left="968" w:right="60" w:hanging="320"/>
        <w:spacing w:after="0" w:line="271" w:lineRule="auto"/>
        <w:tabs>
          <w:tab w:leader="none" w:pos="968" w:val="left"/>
        </w:tabs>
        <w:numPr>
          <w:ilvl w:val="2"/>
          <w:numId w:val="58"/>
        </w:numPr>
        <w:rPr>
          <w:rFonts w:ascii="Arial" w:cs="Arial" w:eastAsia="Arial" w:hAnsi="Arial"/>
          <w:sz w:val="21"/>
          <w:szCs w:val="21"/>
          <w:color w:val="auto"/>
        </w:rPr>
      </w:pPr>
      <w:r>
        <w:rPr>
          <w:rFonts w:ascii="Arial" w:cs="Arial" w:eastAsia="Arial" w:hAnsi="Arial"/>
          <w:sz w:val="21"/>
          <w:szCs w:val="21"/>
          <w:color w:val="auto"/>
        </w:rPr>
        <w:t>the Company shall have determined, on such basis as it deems appropriate (including an opinion of counsel in form and substance satisfactory to the Company) that the sale, transfer, assignment, pledge, encumbrance or other disposition of such shares or such beneficial interest, as the case may be, does not</w:t>
      </w:r>
    </w:p>
    <w:p>
      <w:pPr>
        <w:sectPr>
          <w:pgSz w:w="11900" w:h="16838" w:orient="portrait"/>
          <w:cols w:equalWidth="0" w:num="1">
            <w:col w:w="10868"/>
          </w:cols>
          <w:pgMar w:left="652" w:top="1440" w:right="379" w:bottom="1440" w:gutter="0" w:footer="0" w:header="0"/>
        </w:sectPr>
      </w:pPr>
    </w:p>
    <w:bookmarkStart w:id="69" w:name="page70"/>
    <w:bookmarkEnd w:id="69"/>
    <w:p>
      <w:pPr>
        <w:spacing w:after="0" w:line="8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require registration under the Securities Act or any applicable State securities laws.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make all reasonable efforts to bring about the occurrence of said events.</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Corporate Restrictions on Rights in Stock</w:t>
      </w:r>
      <w:r>
        <w:rPr>
          <w:rFonts w:ascii="Arial" w:cs="Arial" w:eastAsia="Arial" w:hAnsi="Arial"/>
          <w:sz w:val="19"/>
          <w:szCs w:val="19"/>
          <w:color w:val="auto"/>
          <w:highlight w:val="white"/>
        </w:rPr>
        <w:t>. Any Stock to be issued pursuant to Awards granted under the Plan shall</w:t>
      </w:r>
      <w:r>
        <w:rPr>
          <w:rFonts w:ascii="Arial" w:cs="Arial" w:eastAsia="Arial" w:hAnsi="Arial"/>
          <w:sz w:val="19"/>
          <w:szCs w:val="19"/>
          <w:color w:val="auto"/>
        </w:rPr>
        <w:t xml:space="preserve"> be subject to all restrictions upon the transfer thereof which may be now or hereafter imposed by the charter, certificate or articles, or by laws, of the Company. Whenever Stock is to be issued pursuant to an Award, if the Committee so directs at or after grant, the Company shall be under no obligation to issue such shares until such time, if ever, as the recipient of the Award (and any person who exercises any Option, in whole or in part), shall have become a party to and bound by the Stockholders' Agreement, if any. In the event of any conflict between the provisions of this Plan and the provisions of the Stockholders' Agreement, the provisions of the Stockholders' Agreement shall control, but insofar as possible the provisions of the Plan and such Agreement shall be construed so as to give full force and effect to all such provisions.</w:t>
      </w:r>
    </w:p>
    <w:p>
      <w:pPr>
        <w:spacing w:after="0" w:line="34"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Investment Representations</w:t>
      </w:r>
      <w:r>
        <w:rPr>
          <w:rFonts w:ascii="Arial" w:cs="Arial" w:eastAsia="Arial" w:hAnsi="Arial"/>
          <w:sz w:val="19"/>
          <w:szCs w:val="19"/>
          <w:color w:val="auto"/>
          <w:highlight w:val="white"/>
        </w:rPr>
        <w:t>. The Company shall be under no obligation to issue any shares covered by any Award</w:t>
      </w:r>
      <w:r>
        <w:rPr>
          <w:rFonts w:ascii="Arial" w:cs="Arial" w:eastAsia="Arial" w:hAnsi="Arial"/>
          <w:sz w:val="19"/>
          <w:szCs w:val="19"/>
          <w:color w:val="auto"/>
        </w:rPr>
        <w:t xml:space="preserve">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the Securities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21"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Registration</w:t>
      </w:r>
      <w:r>
        <w:rPr>
          <w:rFonts w:ascii="Arial" w:cs="Arial" w:eastAsia="Arial" w:hAnsi="Arial"/>
          <w:sz w:val="19"/>
          <w:szCs w:val="19"/>
          <w:color w:val="auto"/>
          <w:highlight w:val="white"/>
        </w:rPr>
        <w:t>. If the Company shall deem it necessary or desirable to register under the Securities Act or other</w:t>
      </w:r>
      <w:r>
        <w:rPr>
          <w:rFonts w:ascii="Arial" w:cs="Arial" w:eastAsia="Arial" w:hAnsi="Arial"/>
          <w:sz w:val="19"/>
          <w:szCs w:val="19"/>
          <w:color w:val="auto"/>
        </w:rPr>
        <w:t xml:space="preserve">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w:t>
      </w:r>
    </w:p>
    <w:p>
      <w:pPr>
        <w:sectPr>
          <w:pgSz w:w="11900" w:h="16838" w:orient="portrait"/>
          <w:cols w:equalWidth="0" w:num="1">
            <w:col w:w="10560"/>
          </w:cols>
          <w:pgMar w:left="980" w:top="1440" w:right="359" w:bottom="1440" w:gutter="0" w:footer="0" w:header="0"/>
        </w:sectPr>
      </w:pPr>
    </w:p>
    <w:bookmarkStart w:id="70" w:name="page71"/>
    <w:bookmarkEnd w:id="70"/>
    <w:p>
      <w:pPr>
        <w:spacing w:after="0" w:line="83" w:lineRule="exact"/>
        <w:rPr>
          <w:sz w:val="20"/>
          <w:szCs w:val="20"/>
          <w:color w:val="auto"/>
        </w:rPr>
      </w:pPr>
    </w:p>
    <w:p>
      <w:pPr>
        <w:ind w:left="4"/>
        <w:spacing w:after="0" w:line="285" w:lineRule="auto"/>
        <w:rPr>
          <w:sz w:val="20"/>
          <w:szCs w:val="20"/>
          <w:color w:val="auto"/>
        </w:rPr>
      </w:pPr>
      <w:r>
        <w:rPr>
          <w:rFonts w:ascii="Arial" w:cs="Arial" w:eastAsia="Arial" w:hAnsi="Arial"/>
          <w:sz w:val="19"/>
          <w:szCs w:val="19"/>
          <w:color w:val="auto"/>
        </w:rPr>
        <w:t>shares of Stock during the period not to exceed 180 days commencing on the effective date of the registration statement relating to the underwritten public offering of securities. Without limiting the generality of the foregoing provisions of this Section 8.5,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w:t>
      </w:r>
    </w:p>
    <w:p>
      <w:pPr>
        <w:ind w:left="4" w:right="480" w:hanging="4"/>
        <w:spacing w:after="0" w:line="259" w:lineRule="auto"/>
        <w:tabs>
          <w:tab w:leader="none" w:pos="310" w:val="left"/>
        </w:tabs>
        <w:numPr>
          <w:ilvl w:val="0"/>
          <w:numId w:val="59"/>
        </w:numPr>
        <w:rPr>
          <w:rFonts w:ascii="Arial" w:cs="Arial" w:eastAsia="Arial" w:hAnsi="Arial"/>
          <w:sz w:val="21"/>
          <w:szCs w:val="21"/>
          <w:color w:val="auto"/>
        </w:rPr>
      </w:pPr>
      <w:r>
        <w:rPr>
          <w:rFonts w:ascii="Arial" w:cs="Arial" w:eastAsia="Arial" w:hAnsi="Arial"/>
          <w:sz w:val="21"/>
          <w:szCs w:val="21"/>
          <w:color w:val="auto"/>
        </w:rPr>
        <w:t>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47" w:lineRule="exact"/>
        <w:rPr>
          <w:sz w:val="20"/>
          <w:szCs w:val="20"/>
          <w:color w:val="auto"/>
        </w:rPr>
      </w:pPr>
    </w:p>
    <w:p>
      <w:pPr>
        <w:ind w:left="4" w:right="40"/>
        <w:spacing w:after="0" w:line="290"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Placement of Legends; Stop Orders; etc</w:t>
      </w:r>
      <w:r>
        <w:rPr>
          <w:rFonts w:ascii="Arial" w:cs="Arial" w:eastAsia="Arial" w:hAnsi="Arial"/>
          <w:sz w:val="19"/>
          <w:szCs w:val="19"/>
          <w:color w:val="auto"/>
        </w:rPr>
        <w:t>. Each share of Stock to be issued pursuant to Awards granted under the Plan may bear a reference to the investment representations made in accordance with Section 8.4 in addition to any other applicable restrictions under the Plan, the terms of the Award and, if applicable, to the fact that no registration statement has been filed with the Securities and Exchange Commission in respect to such shares of Stock. All certificates for shares of Stock or other securities delivered under the Plan shall be subject to such stop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such certificates to make appropriate reference to such restrictions.</w:t>
      </w:r>
    </w:p>
    <w:p>
      <w:pPr>
        <w:spacing w:after="0" w:line="34" w:lineRule="exact"/>
        <w:rPr>
          <w:sz w:val="20"/>
          <w:szCs w:val="20"/>
          <w:color w:val="auto"/>
        </w:rPr>
      </w:pPr>
    </w:p>
    <w:p>
      <w:pPr>
        <w:ind w:left="4"/>
        <w:spacing w:after="0" w:line="287"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Tax Withholding</w:t>
      </w:r>
      <w:r>
        <w:rPr>
          <w:rFonts w:ascii="Arial" w:cs="Arial" w:eastAsia="Arial" w:hAnsi="Arial"/>
          <w:sz w:val="19"/>
          <w:szCs w:val="19"/>
          <w:color w:val="auto"/>
        </w:rPr>
        <w:t>. Whenever shares of Stock are issued or to be issued pursuant to Awards granted under the Plan, the Company shall have the right to require the recipient to remit to the Company an amount sufficient to satisfy federal, state, local or other withholding tax requirements if, when, and to the extent required by law (whether so required to secure for the Company an otherwise available tax deduction or otherwise)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recipient of an Award. However, in such cases Participants may elect, subject to the approval of the Committee, acting in its sole discretion, to satisfy an applicable withholding requirement, in whole or in part, by having the Company withhold shares to satisfy their tax obligations. Participants may only elect to have shares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w:t>
      </w:r>
    </w:p>
    <w:p>
      <w:pPr>
        <w:spacing w:after="0" w:line="37" w:lineRule="exact"/>
        <w:rPr>
          <w:sz w:val="20"/>
          <w:szCs w:val="20"/>
          <w:color w:val="auto"/>
        </w:rPr>
      </w:pPr>
    </w:p>
    <w:p>
      <w:pPr>
        <w:ind w:left="4" w:right="880"/>
        <w:spacing w:after="0" w:line="263"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Company Charter and By-Laws; Other Company Policies</w:t>
      </w:r>
      <w:r>
        <w:rPr>
          <w:rFonts w:ascii="Arial" w:cs="Arial" w:eastAsia="Arial" w:hAnsi="Arial"/>
          <w:sz w:val="22"/>
          <w:szCs w:val="22"/>
          <w:color w:val="auto"/>
        </w:rPr>
        <w:t>. This Plan and all Awards granted under the Plan (including the exercise, settlement or exchange of an Award) are</w:t>
      </w:r>
    </w:p>
    <w:p>
      <w:pPr>
        <w:sectPr>
          <w:pgSz w:w="11900" w:h="16838" w:orient="portrait"/>
          <w:cols w:equalWidth="0" w:num="1">
            <w:col w:w="10584"/>
          </w:cols>
          <w:pgMar w:left="976" w:top="1440" w:right="339" w:bottom="1440" w:gutter="0" w:footer="0" w:header="0"/>
        </w:sectPr>
      </w:pPr>
    </w:p>
    <w:bookmarkStart w:id="71" w:name="page72"/>
    <w:bookmarkEnd w:id="71"/>
    <w:p>
      <w:pPr>
        <w:spacing w:after="0" w:line="83" w:lineRule="exact"/>
        <w:rPr>
          <w:sz w:val="20"/>
          <w:szCs w:val="20"/>
          <w:color w:val="auto"/>
        </w:rPr>
      </w:pPr>
    </w:p>
    <w:p>
      <w:pPr>
        <w:ind w:left="328" w:right="120"/>
        <w:spacing w:after="0" w:line="247" w:lineRule="auto"/>
        <w:rPr>
          <w:sz w:val="20"/>
          <w:szCs w:val="20"/>
          <w:color w:val="auto"/>
        </w:rPr>
      </w:pPr>
      <w:r>
        <w:rPr>
          <w:rFonts w:ascii="Arial" w:cs="Arial" w:eastAsia="Arial" w:hAnsi="Arial"/>
          <w:sz w:val="22"/>
          <w:szCs w:val="22"/>
          <w:color w:val="auto"/>
        </w:rPr>
        <w:t>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w:t>
      </w:r>
    </w:p>
    <w:p>
      <w:pPr>
        <w:spacing w:after="0" w:line="52" w:lineRule="exact"/>
        <w:rPr>
          <w:sz w:val="20"/>
          <w:szCs w:val="20"/>
          <w:color w:val="auto"/>
        </w:rPr>
      </w:pPr>
    </w:p>
    <w:p>
      <w:pPr>
        <w:ind w:left="328" w:hanging="328"/>
        <w:spacing w:after="0"/>
        <w:tabs>
          <w:tab w:leader="none" w:pos="328"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Reservation of Stock</w:t>
      </w:r>
    </w:p>
    <w:p>
      <w:pPr>
        <w:spacing w:after="0" w:line="104" w:lineRule="exact"/>
        <w:rPr>
          <w:rFonts w:ascii="Arial" w:cs="Arial" w:eastAsia="Arial" w:hAnsi="Arial"/>
          <w:sz w:val="22"/>
          <w:szCs w:val="22"/>
          <w:b w:val="1"/>
          <w:bCs w:val="1"/>
          <w:color w:val="auto"/>
        </w:rPr>
      </w:pPr>
    </w:p>
    <w:p>
      <w:pPr>
        <w:ind w:left="328" w:right="30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60" w:lineRule="exact"/>
        <w:rPr>
          <w:rFonts w:ascii="Arial" w:cs="Arial" w:eastAsia="Arial" w:hAnsi="Arial"/>
          <w:sz w:val="22"/>
          <w:szCs w:val="22"/>
          <w:b w:val="1"/>
          <w:bCs w:val="1"/>
          <w:color w:val="auto"/>
        </w:rPr>
      </w:pPr>
    </w:p>
    <w:p>
      <w:pPr>
        <w:ind w:left="328" w:hanging="328"/>
        <w:spacing w:after="0"/>
        <w:tabs>
          <w:tab w:leader="none" w:pos="328"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Rights in Stock; No Special Service Rights</w:t>
      </w:r>
    </w:p>
    <w:p>
      <w:pPr>
        <w:spacing w:after="0" w:line="90" w:lineRule="exact"/>
        <w:rPr>
          <w:rFonts w:ascii="Arial" w:cs="Arial" w:eastAsia="Arial" w:hAnsi="Arial"/>
          <w:sz w:val="22"/>
          <w:szCs w:val="22"/>
          <w:b w:val="1"/>
          <w:bCs w:val="1"/>
          <w:color w:val="auto"/>
        </w:rPr>
      </w:pPr>
    </w:p>
    <w:p>
      <w:pPr>
        <w:ind w:left="328"/>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A Participant shall not be deemed for any purpose to be a stockholder of the Company with respect to any of the shares of Stock subject to an Award, unless and until a certificate shall have been issued therefor and delivered to the Participant or his agent, or if uncertificated shares are to be issued, until such shares have been registered in the name of the Participant on the books of the transfer agent and registrar of the Stock.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 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292" w:lineRule="exact"/>
        <w:rPr>
          <w:rFonts w:ascii="Arial" w:cs="Arial" w:eastAsia="Arial" w:hAnsi="Arial"/>
          <w:sz w:val="22"/>
          <w:szCs w:val="22"/>
          <w:b w:val="1"/>
          <w:bCs w:val="1"/>
          <w:color w:val="auto"/>
        </w:rPr>
      </w:pPr>
    </w:p>
    <w:p>
      <w:pPr>
        <w:ind w:left="308" w:hanging="308"/>
        <w:spacing w:after="0"/>
        <w:tabs>
          <w:tab w:leader="none" w:pos="308"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Unfunded Status of Plan</w:t>
      </w:r>
    </w:p>
    <w:p>
      <w:pPr>
        <w:spacing w:after="0" w:line="104" w:lineRule="exact"/>
        <w:rPr>
          <w:rFonts w:ascii="Arial" w:cs="Arial" w:eastAsia="Arial" w:hAnsi="Arial"/>
          <w:sz w:val="22"/>
          <w:szCs w:val="22"/>
          <w:b w:val="1"/>
          <w:bCs w:val="1"/>
          <w:color w:val="auto"/>
        </w:rPr>
      </w:pPr>
    </w:p>
    <w:p>
      <w:pPr>
        <w:ind w:left="328" w:right="260"/>
        <w:spacing w:after="0" w:line="292" w:lineRule="auto"/>
        <w:rPr>
          <w:rFonts w:ascii="Arial" w:cs="Arial" w:eastAsia="Arial" w:hAnsi="Arial"/>
          <w:sz w:val="22"/>
          <w:szCs w:val="22"/>
          <w:b w:val="1"/>
          <w:bCs w:val="1"/>
          <w:color w:val="auto"/>
        </w:rPr>
      </w:pPr>
      <w:r>
        <w:rPr>
          <w:rFonts w:ascii="Arial" w:cs="Arial" w:eastAsia="Arial" w:hAnsi="Arial"/>
          <w:sz w:val="19"/>
          <w:szCs w:val="19"/>
          <w:color w:val="auto"/>
        </w:rPr>
        <w:t xml:space="preserve">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 that the existence of such trusts or other arrangements is consistent with the unfunded status of the Plan.</w:t>
      </w:r>
    </w:p>
    <w:p>
      <w:pPr>
        <w:sectPr>
          <w:pgSz w:w="11900" w:h="16838" w:orient="portrait"/>
          <w:cols w:equalWidth="0" w:num="1">
            <w:col w:w="10868"/>
          </w:cols>
          <w:pgMar w:left="652" w:top="1440" w:right="379" w:bottom="1440" w:gutter="0" w:footer="0" w:header="0"/>
        </w:sectPr>
      </w:pPr>
    </w:p>
    <w:bookmarkStart w:id="72" w:name="page73"/>
    <w:bookmarkEnd w:id="72"/>
    <w:p>
      <w:pPr>
        <w:spacing w:after="0" w:line="77" w:lineRule="exact"/>
        <w:rPr>
          <w:sz w:val="20"/>
          <w:szCs w:val="20"/>
          <w:color w:val="auto"/>
        </w:rPr>
      </w:pPr>
    </w:p>
    <w:p>
      <w:pPr>
        <w:ind w:left="328" w:hanging="328"/>
        <w:spacing w:after="0"/>
        <w:tabs>
          <w:tab w:leader="none" w:pos="32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Nonexclusivity of the Plan</w:t>
      </w:r>
    </w:p>
    <w:p>
      <w:pPr>
        <w:spacing w:after="0" w:line="90" w:lineRule="exact"/>
        <w:rPr>
          <w:rFonts w:ascii="Arial" w:cs="Arial" w:eastAsia="Arial" w:hAnsi="Arial"/>
          <w:sz w:val="22"/>
          <w:szCs w:val="22"/>
          <w:b w:val="1"/>
          <w:bCs w:val="1"/>
          <w:color w:val="auto"/>
        </w:rPr>
      </w:pPr>
    </w:p>
    <w:p>
      <w:pPr>
        <w:ind w:left="328" w:right="120"/>
        <w:spacing w:after="0" w:line="302" w:lineRule="auto"/>
        <w:rPr>
          <w:rFonts w:ascii="Arial" w:cs="Arial" w:eastAsia="Arial" w:hAnsi="Arial"/>
          <w:sz w:val="22"/>
          <w:szCs w:val="22"/>
          <w:b w:val="1"/>
          <w:bCs w:val="1"/>
          <w:color w:val="auto"/>
        </w:rPr>
      </w:pPr>
      <w:r>
        <w:rPr>
          <w:rFonts w:ascii="Arial" w:cs="Arial" w:eastAsia="Arial" w:hAnsi="Arial"/>
          <w:sz w:val="19"/>
          <w:szCs w:val="19"/>
          <w:color w:val="auto"/>
        </w:rPr>
        <w:t>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14" w:lineRule="exact"/>
        <w:rPr>
          <w:rFonts w:ascii="Arial" w:cs="Arial" w:eastAsia="Arial" w:hAnsi="Arial"/>
          <w:sz w:val="22"/>
          <w:szCs w:val="22"/>
          <w:b w:val="1"/>
          <w:bCs w:val="1"/>
          <w:color w:val="auto"/>
        </w:rPr>
      </w:pPr>
    </w:p>
    <w:p>
      <w:pPr>
        <w:ind w:left="328" w:hanging="328"/>
        <w:spacing w:after="0"/>
        <w:tabs>
          <w:tab w:leader="none" w:pos="32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and Amendment of the Plan</w:t>
      </w:r>
    </w:p>
    <w:p>
      <w:pPr>
        <w:spacing w:after="0" w:line="104" w:lineRule="exact"/>
        <w:rPr>
          <w:rFonts w:ascii="Arial" w:cs="Arial" w:eastAsia="Arial" w:hAnsi="Arial"/>
          <w:sz w:val="22"/>
          <w:szCs w:val="22"/>
          <w:b w:val="1"/>
          <w:bCs w:val="1"/>
          <w:color w:val="auto"/>
        </w:rPr>
      </w:pPr>
    </w:p>
    <w:p>
      <w:pPr>
        <w:ind w:left="328"/>
        <w:spacing w:after="0" w:line="248" w:lineRule="auto"/>
        <w:rPr>
          <w:rFonts w:ascii="Arial" w:cs="Arial" w:eastAsia="Arial" w:hAnsi="Arial"/>
          <w:sz w:val="22"/>
          <w:szCs w:val="22"/>
          <w:b w:val="1"/>
          <w:bCs w:val="1"/>
          <w:color w:val="auto"/>
        </w:rPr>
      </w:pPr>
      <w:r>
        <w:rPr>
          <w:rFonts w:ascii="Arial" w:cs="Arial" w:eastAsia="Arial" w:hAnsi="Arial"/>
          <w:sz w:val="22"/>
          <w:szCs w:val="22"/>
          <w:color w:val="auto"/>
        </w:rPr>
        <w:t>The Independent Board may at any time terminate the Plan or make such modifications of the Plan as it shall deem advisable. Unless the Independent Board otherwise expressly provides, no amendment of the Plan shall affect the terms of any Award outstanding on the date of such amendment. In any case, no termination or amendment of the Plan may, without the consent of any recipient of an Award granted hereunder, adversely affect the rights of the recipient under such Award.</w:t>
      </w:r>
    </w:p>
    <w:p>
      <w:pPr>
        <w:spacing w:after="0" w:line="56" w:lineRule="exact"/>
        <w:rPr>
          <w:rFonts w:ascii="Arial" w:cs="Arial" w:eastAsia="Arial" w:hAnsi="Arial"/>
          <w:sz w:val="22"/>
          <w:szCs w:val="22"/>
          <w:b w:val="1"/>
          <w:bCs w:val="1"/>
          <w:color w:val="auto"/>
        </w:rPr>
      </w:pPr>
    </w:p>
    <w:p>
      <w:pPr>
        <w:ind w:left="328" w:right="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The Committee may amend the terms of any Award theretofore granted, prospectively or retroactively, provided that the Award as amended is consistent with the terms of the Plan, but no such amendment shall impair the rights of the recipient of such Award without his or her consent.</w:t>
      </w:r>
    </w:p>
    <w:p>
      <w:pPr>
        <w:spacing w:after="0" w:line="57" w:lineRule="exact"/>
        <w:rPr>
          <w:rFonts w:ascii="Arial" w:cs="Arial" w:eastAsia="Arial" w:hAnsi="Arial"/>
          <w:sz w:val="22"/>
          <w:szCs w:val="22"/>
          <w:b w:val="1"/>
          <w:bCs w:val="1"/>
          <w:color w:val="auto"/>
        </w:rPr>
      </w:pPr>
    </w:p>
    <w:p>
      <w:pPr>
        <w:ind w:left="328" w:hanging="328"/>
        <w:spacing w:after="0"/>
        <w:tabs>
          <w:tab w:leader="none" w:pos="32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Notices and Other Communications</w:t>
      </w:r>
    </w:p>
    <w:p>
      <w:pPr>
        <w:spacing w:after="0" w:line="104" w:lineRule="exact"/>
        <w:rPr>
          <w:rFonts w:ascii="Arial" w:cs="Arial" w:eastAsia="Arial" w:hAnsi="Arial"/>
          <w:sz w:val="22"/>
          <w:szCs w:val="22"/>
          <w:b w:val="1"/>
          <w:bCs w:val="1"/>
          <w:color w:val="auto"/>
        </w:rPr>
      </w:pPr>
    </w:p>
    <w:p>
      <w:pPr>
        <w:ind w:left="328" w:right="60"/>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Any notice, demand, request or other communication hereunder to any party shall be deemed to be sufficient if contained in a written instrument delivered in person or duly sent by first class registered, certified or overnight mail, postage prepaid, or by electronic mail with a confirmation copy by regular, certified or overnight mail, addressed, as the case may be, (i) if to the recipient of an Award, at his or her residence address last filed with the Company and (ii) if to the Company, at its principal place of business, addressed to the attention of its Chief Financial Officer, or to such other address or electronic mail address, as the case may be, as the addressee may have designated by notice to the addressor. All such notices, requests, demands and other communications shall be deemed to have been received: (i) in the case of personal delivery, on the date of such delivery; and (ii) in all other cases, when received by the addressee in accordance with the foregoing requirements.</w:t>
      </w:r>
    </w:p>
    <w:p>
      <w:pPr>
        <w:spacing w:after="0" w:line="38" w:lineRule="exact"/>
        <w:rPr>
          <w:rFonts w:ascii="Arial" w:cs="Arial" w:eastAsia="Arial" w:hAnsi="Arial"/>
          <w:sz w:val="22"/>
          <w:szCs w:val="22"/>
          <w:b w:val="1"/>
          <w:bCs w:val="1"/>
          <w:color w:val="auto"/>
        </w:rPr>
      </w:pPr>
    </w:p>
    <w:p>
      <w:pPr>
        <w:ind w:left="328" w:hanging="328"/>
        <w:spacing w:after="0"/>
        <w:tabs>
          <w:tab w:leader="none" w:pos="32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No Guarantee of Tax Consequences</w:t>
      </w:r>
    </w:p>
    <w:p>
      <w:pPr>
        <w:spacing w:after="0" w:line="104" w:lineRule="exact"/>
        <w:rPr>
          <w:rFonts w:ascii="Arial" w:cs="Arial" w:eastAsia="Arial" w:hAnsi="Arial"/>
          <w:sz w:val="22"/>
          <w:szCs w:val="22"/>
          <w:b w:val="1"/>
          <w:bCs w:val="1"/>
          <w:color w:val="auto"/>
        </w:rPr>
      </w:pPr>
    </w:p>
    <w:p>
      <w:pPr>
        <w:ind w:left="328" w:right="20"/>
        <w:spacing w:after="0" w:line="302" w:lineRule="auto"/>
        <w:rPr>
          <w:rFonts w:ascii="Arial" w:cs="Arial" w:eastAsia="Arial" w:hAnsi="Arial"/>
          <w:sz w:val="22"/>
          <w:szCs w:val="22"/>
          <w:b w:val="1"/>
          <w:bCs w:val="1"/>
          <w:color w:val="auto"/>
        </w:rPr>
      </w:pPr>
      <w:r>
        <w:rPr>
          <w:rFonts w:ascii="Arial" w:cs="Arial" w:eastAsia="Arial" w:hAnsi="Arial"/>
          <w:sz w:val="19"/>
          <w:szCs w:val="19"/>
          <w:color w:val="auto"/>
        </w:rPr>
        <w:t>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the provisions and penalties of Section 409A of the Code, pertaining to non-qualified plans of deferred compensation, will or will not apply.</w:t>
      </w:r>
    </w:p>
    <w:p>
      <w:pPr>
        <w:spacing w:after="0" w:line="14" w:lineRule="exact"/>
        <w:rPr>
          <w:rFonts w:ascii="Arial" w:cs="Arial" w:eastAsia="Arial" w:hAnsi="Arial"/>
          <w:sz w:val="22"/>
          <w:szCs w:val="22"/>
          <w:b w:val="1"/>
          <w:bCs w:val="1"/>
          <w:color w:val="auto"/>
        </w:rPr>
      </w:pPr>
    </w:p>
    <w:p>
      <w:pPr>
        <w:ind w:left="328" w:hanging="328"/>
        <w:spacing w:after="0"/>
        <w:tabs>
          <w:tab w:leader="none" w:pos="32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Administrative Provisions</w:t>
      </w:r>
    </w:p>
    <w:p>
      <w:pPr>
        <w:spacing w:after="0" w:line="90" w:lineRule="exact"/>
        <w:rPr>
          <w:rFonts w:ascii="Arial" w:cs="Arial" w:eastAsia="Arial" w:hAnsi="Arial"/>
          <w:sz w:val="22"/>
          <w:szCs w:val="22"/>
          <w:b w:val="1"/>
          <w:bCs w:val="1"/>
          <w:color w:val="auto"/>
        </w:rPr>
      </w:pPr>
    </w:p>
    <w:p>
      <w:pPr>
        <w:ind w:left="328" w:right="72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Nothing contained in the Plan shall require the issuance or delivery of certificates for any period during which the Company has elected to maintain or caused to be maintained the</w:t>
      </w:r>
    </w:p>
    <w:p>
      <w:pPr>
        <w:sectPr>
          <w:pgSz w:w="11900" w:h="16838" w:orient="portrait"/>
          <w:cols w:equalWidth="0" w:num="1">
            <w:col w:w="10888"/>
          </w:cols>
          <w:pgMar w:left="652" w:top="1440" w:right="359" w:bottom="1440" w:gutter="0" w:footer="0" w:header="0"/>
        </w:sectPr>
      </w:pPr>
    </w:p>
    <w:bookmarkStart w:id="73" w:name="page74"/>
    <w:bookmarkEnd w:id="73"/>
    <w:p>
      <w:pPr>
        <w:spacing w:after="0" w:line="83" w:lineRule="exact"/>
        <w:rPr>
          <w:sz w:val="20"/>
          <w:szCs w:val="20"/>
          <w:color w:val="auto"/>
        </w:rPr>
      </w:pPr>
    </w:p>
    <w:p>
      <w:pPr>
        <w:ind w:left="328" w:right="100"/>
        <w:spacing w:after="0" w:line="294" w:lineRule="auto"/>
        <w:rPr>
          <w:sz w:val="20"/>
          <w:szCs w:val="20"/>
          <w:color w:val="auto"/>
        </w:rPr>
      </w:pPr>
      <w:r>
        <w:rPr>
          <w:rFonts w:ascii="Arial" w:cs="Arial" w:eastAsia="Arial" w:hAnsi="Arial"/>
          <w:sz w:val="19"/>
          <w:szCs w:val="19"/>
          <w:color w:val="auto"/>
        </w:rPr>
        <w:t>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w:t>
      </w:r>
    </w:p>
    <w:p>
      <w:pPr>
        <w:spacing w:after="0" w:line="8" w:lineRule="exact"/>
        <w:rPr>
          <w:sz w:val="20"/>
          <w:szCs w:val="20"/>
          <w:color w:val="auto"/>
        </w:rPr>
      </w:pPr>
    </w:p>
    <w:p>
      <w:pPr>
        <w:ind w:left="328" w:hanging="328"/>
        <w:spacing w:after="0"/>
        <w:tabs>
          <w:tab w:leader="none" w:pos="328"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04" w:lineRule="exact"/>
        <w:rPr>
          <w:rFonts w:ascii="Arial" w:cs="Arial" w:eastAsia="Arial" w:hAnsi="Arial"/>
          <w:sz w:val="22"/>
          <w:szCs w:val="22"/>
          <w:b w:val="1"/>
          <w:bCs w:val="1"/>
          <w:color w:val="auto"/>
        </w:rPr>
      </w:pPr>
    </w:p>
    <w:p>
      <w:pPr>
        <w:ind w:left="328"/>
        <w:spacing w:after="0" w:line="290" w:lineRule="auto"/>
        <w:rPr>
          <w:rFonts w:ascii="Arial" w:cs="Arial" w:eastAsia="Arial" w:hAnsi="Arial"/>
          <w:sz w:val="22"/>
          <w:szCs w:val="22"/>
          <w:b w:val="1"/>
          <w:bCs w:val="1"/>
          <w:color w:val="auto"/>
        </w:rPr>
      </w:pPr>
      <w:r>
        <w:rPr>
          <w:rFonts w:ascii="Arial" w:cs="Arial" w:eastAsia="Arial" w:hAnsi="Arial"/>
          <w:sz w:val="19"/>
          <w:szCs w:val="19"/>
          <w:color w:val="auto"/>
        </w:rPr>
        <w:t>It is intended that all Awards shall be granted and maintained on a basis which ensures they are exempt from, or otherwise compliant with, the requirements of Section 409A of the Code and the Plan shall be governed, interpreted and enforced consistent with such intent. Neither the Committee nor the Company, nor any of its Affiliates or its or their officers, employees, agents, or representatives, shall have any liability or responsibility for any adverse federal, state or local tax consequences and penalty taxes which may result the grant or settlement of any Award on a basis contrary to the provisions of Section 409A of the Code or comparable provisions of any applicable state or local income tax laws. The Plan and all Award Agreements and actions taken thereunder otherwise shall be governed, interpreted and enforced in accordance with the laws of the state of California, without regard to the conflict of laws principles thereof.</w:t>
      </w:r>
    </w:p>
    <w:p>
      <w:pPr>
        <w:sectPr>
          <w:pgSz w:w="11900" w:h="16838" w:orient="portrait"/>
          <w:cols w:equalWidth="0" w:num="1">
            <w:col w:w="10888"/>
          </w:cols>
          <w:pgMar w:left="652" w:top="1440" w:right="359" w:bottom="1440" w:gutter="0" w:footer="0" w:header="0"/>
        </w:sectPr>
      </w:pPr>
    </w:p>
    <w:bookmarkStart w:id="74" w:name="page75"/>
    <w:bookmarkEnd w:id="74"/>
    <w:p>
      <w:pPr>
        <w:spacing w:after="0" w:line="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8X8,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NEW EMPLOYEE INDUCEMENT INCENTIVE PLAN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July 27, 2020</w:t>
      </w:r>
    </w:p>
    <w:p>
      <w:pPr>
        <w:spacing w:after="0" w:line="98"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Purposes</w:t>
      </w:r>
    </w:p>
    <w:p>
      <w:pPr>
        <w:spacing w:after="0" w:line="104" w:lineRule="exact"/>
        <w:rPr>
          <w:sz w:val="20"/>
          <w:szCs w:val="20"/>
          <w:color w:val="auto"/>
        </w:rPr>
      </w:pPr>
    </w:p>
    <w:p>
      <w:pPr>
        <w:ind w:right="20" w:firstLine="270"/>
        <w:spacing w:after="0" w:line="30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General Purpose</w:t>
      </w:r>
      <w:r>
        <w:rPr>
          <w:rFonts w:ascii="Arial" w:cs="Arial" w:eastAsia="Arial" w:hAnsi="Arial"/>
          <w:sz w:val="19"/>
          <w:szCs w:val="19"/>
          <w:color w:val="auto"/>
        </w:rPr>
        <w:t>. The Company, by means of the Plan, seeks to retain the services of persons not previously an employee or director of the Company, or following a bona fide period of non-employment, as an inducement material to the individual's entering into employment with the Company within the meaning of Rule 5635(c)(4) of the Nasdaq Listing Rules, and to provide incentives for such persons to exert maximum efforts for the success of the Company and its Affiliates.</w:t>
      </w:r>
    </w:p>
    <w:p>
      <w:pPr>
        <w:spacing w:after="0" w:line="7" w:lineRule="exact"/>
        <w:rPr>
          <w:sz w:val="20"/>
          <w:szCs w:val="20"/>
          <w:color w:val="auto"/>
        </w:rPr>
      </w:pPr>
    </w:p>
    <w:p>
      <w:pPr>
        <w:ind w:right="20" w:firstLine="270"/>
        <w:spacing w:after="0" w:line="31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Available Awards</w:t>
      </w:r>
      <w:r>
        <w:rPr>
          <w:rFonts w:ascii="Arial" w:cs="Arial" w:eastAsia="Arial" w:hAnsi="Arial"/>
          <w:sz w:val="19"/>
          <w:szCs w:val="19"/>
          <w:color w:val="auto"/>
        </w:rPr>
        <w:t>. The purpose of the Plan is to provide a means by which eligible recipients of Awards may be given an opportunity to benefit from increases in value of the Common Stock through the granting of the following Stock Awards: Options, Restricted Stock, Restricted Stock Units, Stock Appreciation Rights, Performance Units and Stock Grants.</w:t>
      </w:r>
    </w:p>
    <w:p>
      <w:pPr>
        <w:spacing w:after="0" w:line="6"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As used in this Plan, the following terms shall have the following meanings:</w:t>
      </w:r>
    </w:p>
    <w:p>
      <w:pPr>
        <w:spacing w:after="0" w:line="79" w:lineRule="exact"/>
        <w:rPr>
          <w:sz w:val="20"/>
          <w:szCs w:val="20"/>
          <w:color w:val="auto"/>
        </w:rPr>
      </w:pPr>
    </w:p>
    <w:p>
      <w:pPr>
        <w:ind w:right="200" w:firstLine="270"/>
        <w:spacing w:after="0" w:line="295"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color w:val="auto"/>
        </w:rPr>
        <w:t>Accelerate</w:t>
      </w:r>
      <w:r>
        <w:rPr>
          <w:rFonts w:ascii="Arial" w:cs="Arial" w:eastAsia="Arial" w:hAnsi="Arial"/>
          <w:sz w:val="19"/>
          <w:szCs w:val="19"/>
          <w:color w:val="auto"/>
        </w:rPr>
        <w:t xml:space="preserve">, </w:t>
      </w:r>
      <w:r>
        <w:rPr>
          <w:rFonts w:ascii="Arial" w:cs="Arial" w:eastAsia="Arial" w:hAnsi="Arial"/>
          <w:sz w:val="19"/>
          <w:szCs w:val="19"/>
          <w:b w:val="1"/>
          <w:bCs w:val="1"/>
          <w:color w:val="auto"/>
        </w:rPr>
        <w:t>Accelerated</w:t>
      </w:r>
      <w:r>
        <w:rPr>
          <w:rFonts w:ascii="Arial" w:cs="Arial" w:eastAsia="Arial" w:hAnsi="Arial"/>
          <w:sz w:val="19"/>
          <w:szCs w:val="19"/>
          <w:color w:val="auto"/>
        </w:rPr>
        <w:t xml:space="preserve">, and </w:t>
      </w:r>
      <w:r>
        <w:rPr>
          <w:rFonts w:ascii="Arial" w:cs="Arial" w:eastAsia="Arial" w:hAnsi="Arial"/>
          <w:sz w:val="19"/>
          <w:szCs w:val="19"/>
          <w:b w:val="1"/>
          <w:bCs w:val="1"/>
          <w:color w:val="auto"/>
        </w:rPr>
        <w:t>Acceleration</w:t>
      </w:r>
      <w:r>
        <w:rPr>
          <w:rFonts w:ascii="Arial" w:cs="Arial" w:eastAsia="Arial" w:hAnsi="Arial"/>
          <w:sz w:val="19"/>
          <w:szCs w:val="19"/>
          <w:color w:val="auto"/>
        </w:rPr>
        <w:t xml:space="preserve"> means: (a) when used with respect to a Stock Right, that as of the time of reference the Stock Right will become exercisable with respect to some or all of the shares of Stock for which it was not then otherwise exercisable by its terms; (b) when used with respect to Restricted Stock or Restricted Stock Units, that the Risk of Forfeiture otherwise applicable to the Stock or Units shall expire with respect to some or all of the shares of Restricted Stock or Units then still otherwise subject to the Risk of Forfeiture; and (c) when used with respect to Performance Units, that the applicable Performance Goals or other business objectives shall be deemed to have been met as to some or all of the Units.</w:t>
      </w:r>
    </w:p>
    <w:p>
      <w:pPr>
        <w:spacing w:after="0" w:line="22" w:lineRule="exact"/>
        <w:rPr>
          <w:sz w:val="20"/>
          <w:szCs w:val="20"/>
          <w:color w:val="auto"/>
        </w:rPr>
      </w:pPr>
    </w:p>
    <w:p>
      <w:pPr>
        <w:ind w:right="680" w:firstLine="270"/>
        <w:spacing w:after="0" w:line="269"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Affiliate</w:t>
      </w:r>
      <w:r>
        <w:rPr>
          <w:rFonts w:ascii="Arial" w:cs="Arial" w:eastAsia="Arial" w:hAnsi="Arial"/>
          <w:sz w:val="22"/>
          <w:szCs w:val="22"/>
          <w:color w:val="auto"/>
        </w:rPr>
        <w:t xml:space="preserve"> means any corporation, partnership, limited liability company, business trust, or other entity controlling, controlled by or under common control with the Company.</w:t>
      </w:r>
    </w:p>
    <w:p>
      <w:pPr>
        <w:spacing w:after="0" w:line="40" w:lineRule="exact"/>
        <w:rPr>
          <w:sz w:val="20"/>
          <w:szCs w:val="20"/>
          <w:color w:val="auto"/>
        </w:rPr>
      </w:pPr>
    </w:p>
    <w:p>
      <w:pPr>
        <w:ind w:right="820" w:firstLine="270"/>
        <w:spacing w:after="0" w:line="269"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Award</w:t>
      </w:r>
      <w:r>
        <w:rPr>
          <w:rFonts w:ascii="Arial" w:cs="Arial" w:eastAsia="Arial" w:hAnsi="Arial"/>
          <w:sz w:val="22"/>
          <w:szCs w:val="22"/>
          <w:color w:val="auto"/>
        </w:rPr>
        <w:t xml:space="preserve"> means any grant or sale pursuant to the Plan of Options, Stock Appreciation Rights, Performance Units, Restricted Stock, Restricted Stock Units or Stock Grants.</w:t>
      </w:r>
    </w:p>
    <w:p>
      <w:pPr>
        <w:spacing w:after="0" w:line="27" w:lineRule="exact"/>
        <w:rPr>
          <w:sz w:val="20"/>
          <w:szCs w:val="20"/>
          <w:color w:val="auto"/>
        </w:rPr>
      </w:pPr>
    </w:p>
    <w:p>
      <w:pPr>
        <w:ind w:right="40" w:firstLine="270"/>
        <w:spacing w:after="0" w:line="269"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color w:val="auto"/>
        </w:rPr>
        <w:t>Award Agreement</w:t>
      </w:r>
      <w:r>
        <w:rPr>
          <w:rFonts w:ascii="Arial" w:cs="Arial" w:eastAsia="Arial" w:hAnsi="Arial"/>
          <w:sz w:val="22"/>
          <w:szCs w:val="22"/>
          <w:color w:val="auto"/>
        </w:rPr>
        <w:t xml:space="preserve"> means an agreement between the Company and the recipient of an Award, or other notice of grant of an Award, setting forth the terms and conditions of the Award.</w:t>
      </w:r>
    </w:p>
    <w:p>
      <w:pPr>
        <w:spacing w:after="0" w:line="40"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Company's Board of Directors.</w:t>
      </w:r>
    </w:p>
    <w:p>
      <w:pPr>
        <w:spacing w:after="0" w:line="98" w:lineRule="exact"/>
        <w:rPr>
          <w:sz w:val="20"/>
          <w:szCs w:val="20"/>
          <w:color w:val="auto"/>
        </w:rPr>
      </w:pPr>
    </w:p>
    <w:p>
      <w:pPr>
        <w:ind w:right="20" w:firstLine="270"/>
        <w:spacing w:after="0" w:line="269"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color w:val="auto"/>
        </w:rPr>
        <w:t>Code</w:t>
      </w:r>
      <w:r>
        <w:rPr>
          <w:rFonts w:ascii="Arial" w:cs="Arial" w:eastAsia="Arial" w:hAnsi="Arial"/>
          <w:sz w:val="22"/>
          <w:szCs w:val="22"/>
          <w:color w:val="auto"/>
        </w:rPr>
        <w:t xml:space="preserve"> means the Internal Revenue Code of 1986, as amended from time to time, or any successor statute thereto, and any regulations issued from time to time thereunder.</w:t>
      </w:r>
    </w:p>
    <w:p>
      <w:pPr>
        <w:spacing w:after="0" w:line="27" w:lineRule="exact"/>
        <w:rPr>
          <w:sz w:val="20"/>
          <w:szCs w:val="20"/>
          <w:color w:val="auto"/>
        </w:rPr>
      </w:pPr>
    </w:p>
    <w:p>
      <w:pPr>
        <w:jc w:val="both"/>
        <w:ind w:right="100" w:firstLine="270"/>
        <w:spacing w:after="0" w:line="256"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b w:val="1"/>
          <w:bCs w:val="1"/>
          <w:color w:val="auto"/>
        </w:rPr>
        <w:t>Committee</w:t>
      </w:r>
      <w:r>
        <w:rPr>
          <w:rFonts w:ascii="Arial" w:cs="Arial" w:eastAsia="Arial" w:hAnsi="Arial"/>
          <w:sz w:val="22"/>
          <w:szCs w:val="22"/>
          <w:color w:val="auto"/>
        </w:rPr>
        <w:t xml:space="preserve"> means the Compensation Committee of the Board, which in general is responsible for the administration of the Plan, as provided in Section 4 of the Plan. For any period during which no such committee is in existence, "Committee" shall mean the Independent</w:t>
      </w:r>
    </w:p>
    <w:p>
      <w:pPr>
        <w:sectPr>
          <w:pgSz w:w="11900" w:h="16838" w:orient="portrait"/>
          <w:cols w:equalWidth="0" w:num="1">
            <w:col w:w="11240"/>
          </w:cols>
          <w:pgMar w:left="320" w:top="1440" w:right="339" w:bottom="1440" w:gutter="0" w:footer="0" w:header="0"/>
        </w:sectPr>
      </w:pPr>
    </w:p>
    <w:bookmarkStart w:id="75" w:name="page76"/>
    <w:bookmarkEnd w:id="75"/>
    <w:p>
      <w:pPr>
        <w:spacing w:after="0" w:line="83" w:lineRule="exact"/>
        <w:rPr>
          <w:sz w:val="20"/>
          <w:szCs w:val="20"/>
          <w:color w:val="auto"/>
        </w:rPr>
      </w:pPr>
    </w:p>
    <w:p>
      <w:pPr>
        <w:ind w:right="960"/>
        <w:spacing w:after="0" w:line="263" w:lineRule="auto"/>
        <w:rPr>
          <w:sz w:val="20"/>
          <w:szCs w:val="20"/>
          <w:color w:val="auto"/>
        </w:rPr>
      </w:pPr>
      <w:r>
        <w:rPr>
          <w:rFonts w:ascii="Arial" w:cs="Arial" w:eastAsia="Arial" w:hAnsi="Arial"/>
          <w:sz w:val="22"/>
          <w:szCs w:val="22"/>
          <w:color w:val="auto"/>
        </w:rPr>
        <w:t>Board, and all authority and responsibility assigned to the Committee under the Plan shall be exercised, if at all, by the Independent Board.</w:t>
      </w:r>
    </w:p>
    <w:p>
      <w:pPr>
        <w:spacing w:after="0" w:line="34"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8x8, Inc., a corporation organized under the laws of the State of Delaware.</w:t>
      </w:r>
    </w:p>
    <w:p>
      <w:pPr>
        <w:spacing w:after="0" w:line="98" w:lineRule="exact"/>
        <w:rPr>
          <w:sz w:val="20"/>
          <w:szCs w:val="20"/>
          <w:color w:val="auto"/>
        </w:rPr>
      </w:pPr>
    </w:p>
    <w:p>
      <w:pPr>
        <w:ind w:right="40" w:firstLine="270"/>
        <w:spacing w:after="0" w:line="295"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b w:val="1"/>
          <w:bCs w:val="1"/>
          <w:color w:val="auto"/>
        </w:rPr>
        <w:t>Corporate Transaction</w:t>
      </w:r>
      <w:r>
        <w:rPr>
          <w:rFonts w:ascii="Arial" w:cs="Arial" w:eastAsia="Arial" w:hAnsi="Arial"/>
          <w:sz w:val="19"/>
          <w:szCs w:val="19"/>
          <w:color w:val="auto"/>
        </w:rPr>
        <w:t xml:space="preserve"> means any (1) merger or consolidation of the Company with or into another entity as a result of which the Stock of the Company is converted into or exchanged for the right to receive cash, securities or other property or is cancelled, (2) sale or exchange of all of the Stock of the Company for cash, securities or other property, (3) sale, transfer, or other disposition of all or substantially all of the Company's assets to one or more other persons in a single transaction or series of related transactions or (4) liquidation or dissolution of the Company; except, in the case of clauses (1) and (2), for a transaction the principal purpose of which is to change the state in which the Company is incorporated.</w:t>
      </w:r>
    </w:p>
    <w:p>
      <w:pPr>
        <w:spacing w:after="0" w:line="22"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means the date on which this Plan has been approved by the Board, including the Independent Board.</w:t>
      </w:r>
    </w:p>
    <w:p>
      <w:pPr>
        <w:spacing w:after="0" w:line="85" w:lineRule="exact"/>
        <w:rPr>
          <w:sz w:val="20"/>
          <w:szCs w:val="20"/>
          <w:color w:val="auto"/>
        </w:rPr>
      </w:pPr>
    </w:p>
    <w:p>
      <w:pPr>
        <w:ind w:left="280"/>
        <w:spacing w:after="0"/>
        <w:tabs>
          <w:tab w:leader="none" w:pos="8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b w:val="1"/>
          <w:bCs w:val="1"/>
          <w:color w:val="auto"/>
        </w:rPr>
        <w:t xml:space="preserve">Exchange Act </w:t>
      </w:r>
      <w:r>
        <w:rPr>
          <w:rFonts w:ascii="Arial" w:cs="Arial" w:eastAsia="Arial" w:hAnsi="Arial"/>
          <w:sz w:val="19"/>
          <w:szCs w:val="19"/>
          <w:color w:val="auto"/>
        </w:rPr>
        <w:t>means the Securities Exchange Act of 1934, as amended.</w:t>
      </w:r>
    </w:p>
    <w:p>
      <w:pPr>
        <w:spacing w:after="0" w:line="98"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 xml:space="preserve">Grant Date </w:t>
      </w:r>
      <w:r>
        <w:rPr>
          <w:rFonts w:ascii="Arial" w:cs="Arial" w:eastAsia="Arial" w:hAnsi="Arial"/>
          <w:sz w:val="19"/>
          <w:szCs w:val="19"/>
          <w:color w:val="auto"/>
        </w:rPr>
        <w:t>means the date as of which an Option is granted, as determined under Section 6.1(a).</w:t>
      </w:r>
    </w:p>
    <w:p>
      <w:pPr>
        <w:spacing w:after="0" w:line="98" w:lineRule="exact"/>
        <w:rPr>
          <w:sz w:val="20"/>
          <w:szCs w:val="20"/>
          <w:color w:val="auto"/>
        </w:rPr>
      </w:pPr>
    </w:p>
    <w:p>
      <w:pPr>
        <w:ind w:right="460" w:firstLine="270"/>
        <w:spacing w:after="0" w:line="269"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b w:val="1"/>
          <w:bCs w:val="1"/>
          <w:color w:val="auto"/>
        </w:rPr>
        <w:t>Independent Board</w:t>
      </w:r>
      <w:r>
        <w:rPr>
          <w:rFonts w:ascii="Arial" w:cs="Arial" w:eastAsia="Arial" w:hAnsi="Arial"/>
          <w:sz w:val="22"/>
          <w:szCs w:val="22"/>
          <w:color w:val="auto"/>
        </w:rPr>
        <w:t xml:space="preserve"> means a majority of the independent directors on the Board. "</w:t>
      </w:r>
      <w:r>
        <w:rPr>
          <w:rFonts w:ascii="Arial" w:cs="Arial" w:eastAsia="Arial" w:hAnsi="Arial"/>
          <w:sz w:val="22"/>
          <w:szCs w:val="22"/>
          <w:b w:val="1"/>
          <w:bCs w:val="1"/>
          <w:color w:val="auto"/>
        </w:rPr>
        <w:t>Independent director</w:t>
      </w:r>
      <w:r>
        <w:rPr>
          <w:rFonts w:ascii="Arial" w:cs="Arial" w:eastAsia="Arial" w:hAnsi="Arial"/>
          <w:sz w:val="22"/>
          <w:szCs w:val="22"/>
          <w:color w:val="auto"/>
        </w:rPr>
        <w:t>" has the meaning given under Rule 5605(a)(2) of the Nasdaq Listing Rules.</w:t>
      </w:r>
    </w:p>
    <w:p>
      <w:pPr>
        <w:spacing w:after="0" w:line="27" w:lineRule="exact"/>
        <w:rPr>
          <w:sz w:val="20"/>
          <w:szCs w:val="20"/>
          <w:color w:val="auto"/>
        </w:rPr>
      </w:pPr>
    </w:p>
    <w:p>
      <w:pPr>
        <w:ind w:firstLine="270"/>
        <w:spacing w:after="0" w:line="293"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b w:val="1"/>
          <w:bCs w:val="1"/>
          <w:color w:val="auto"/>
        </w:rPr>
        <w:t>Market Value</w:t>
      </w:r>
      <w:r>
        <w:rPr>
          <w:rFonts w:ascii="Arial" w:cs="Arial" w:eastAsia="Arial" w:hAnsi="Arial"/>
          <w:sz w:val="19"/>
          <w:szCs w:val="19"/>
          <w:color w:val="auto"/>
        </w:rPr>
        <w:t xml:space="preserve"> means the value of a share of Stock on a particular date determined by such methods or procedures as may be established by the Committee. Unless otherwise determined by the Committee, the Market Value of Stock as of any date is: (a) the closing price for the Stock as reported on the NASDAQ Global Market (or on any other national securities exchange on which the Stock is then listed) for that date or, if no closing price is reported for that date, the closing price on the next preceding date for which a closing price was reported; or (b)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w:t>
      </w:r>
    </w:p>
    <w:p>
      <w:pPr>
        <w:spacing w:after="0" w:line="23"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 xml:space="preserve">Option </w:t>
      </w:r>
      <w:r>
        <w:rPr>
          <w:rFonts w:ascii="Arial" w:cs="Arial" w:eastAsia="Arial" w:hAnsi="Arial"/>
          <w:sz w:val="19"/>
          <w:szCs w:val="19"/>
          <w:color w:val="auto"/>
        </w:rPr>
        <w:t>means an option to purchase shares of Stock.</w:t>
      </w:r>
    </w:p>
    <w:p>
      <w:pPr>
        <w:spacing w:after="0" w:line="98"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b w:val="1"/>
          <w:bCs w:val="1"/>
          <w:color w:val="auto"/>
        </w:rPr>
        <w:t xml:space="preserve">Optionee </w:t>
      </w:r>
      <w:r>
        <w:rPr>
          <w:rFonts w:ascii="Arial" w:cs="Arial" w:eastAsia="Arial" w:hAnsi="Arial"/>
          <w:sz w:val="19"/>
          <w:szCs w:val="19"/>
          <w:color w:val="auto"/>
        </w:rPr>
        <w:t>means a Participant to whom an Option shall have been granted under the Plan.</w:t>
      </w:r>
    </w:p>
    <w:p>
      <w:pPr>
        <w:spacing w:after="0" w:line="85"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any holder of an outstanding Award under the Plan.</w:t>
      </w:r>
    </w:p>
    <w:p>
      <w:pPr>
        <w:spacing w:after="0" w:line="98" w:lineRule="exact"/>
        <w:rPr>
          <w:sz w:val="20"/>
          <w:szCs w:val="20"/>
          <w:color w:val="auto"/>
        </w:rPr>
      </w:pPr>
    </w:p>
    <w:p>
      <w:pPr>
        <w:ind w:right="20" w:firstLine="270"/>
        <w:spacing w:after="0" w:line="295" w:lineRule="auto"/>
        <w:rPr>
          <w:sz w:val="20"/>
          <w:szCs w:val="20"/>
          <w:color w:val="auto"/>
        </w:rPr>
      </w:pPr>
      <w:r>
        <w:rPr>
          <w:rFonts w:ascii="Arial" w:cs="Arial" w:eastAsia="Arial" w:hAnsi="Arial"/>
          <w:sz w:val="19"/>
          <w:szCs w:val="19"/>
          <w:color w:val="auto"/>
        </w:rPr>
        <w:t xml:space="preserve">2.18 </w:t>
      </w:r>
      <w:r>
        <w:rPr>
          <w:rFonts w:ascii="Arial" w:cs="Arial" w:eastAsia="Arial" w:hAnsi="Arial"/>
          <w:sz w:val="19"/>
          <w:szCs w:val="19"/>
          <w:b w:val="1"/>
          <w:bCs w:val="1"/>
          <w:color w:val="auto"/>
        </w:rPr>
        <w:t>Performance Criteria</w:t>
      </w:r>
      <w:r>
        <w:rPr>
          <w:rFonts w:ascii="Arial" w:cs="Arial" w:eastAsia="Arial" w:hAnsi="Arial"/>
          <w:sz w:val="19"/>
          <w:szCs w:val="19"/>
          <w:color w:val="auto"/>
        </w:rPr>
        <w:t xml:space="preserve"> means the criteria that the Committee selects for purposes of establishing the Performance Goal or Performance Goals for a Participant for a Performance Period. The Performance Criteria used to establish Performance Goals are limited to: (i) cash flow (before or after dividends), (ii) earnings per share (including, without limitation, earnings before interest, taxes, depreciation and amortization), (iii) stock price, (iv) return on equity, (v) stockholder return or total stockholder return, (vi) return on capital (including, without limitation, return on total capital or return on invested capital), (vii) return on investment, (viii) return on assets or net assets, (ix) market capitalization, (x) economic value added, (xi) debt leverage (debt</w:t>
      </w:r>
    </w:p>
    <w:p>
      <w:pPr>
        <w:sectPr>
          <w:pgSz w:w="11900" w:h="16838" w:orient="portrait"/>
          <w:cols w:equalWidth="0" w:num="1">
            <w:col w:w="11220"/>
          </w:cols>
          <w:pgMar w:left="320" w:top="1440" w:right="359" w:bottom="1440" w:gutter="0" w:footer="0" w:header="0"/>
        </w:sectPr>
      </w:pPr>
    </w:p>
    <w:bookmarkStart w:id="76" w:name="page77"/>
    <w:bookmarkEnd w:id="76"/>
    <w:p>
      <w:pPr>
        <w:spacing w:after="0" w:line="83"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to capital), (xii) revenue, (xiii) sales or net sales, (xiv) backlog, (xv) income, pre-tax income or net income, (xvi) operating income or pre-tax profit, (xvii) operating profit, net operating profit or economic profit, (xviii) gross margin, operating margin or profit margin, (xix) return on operating revenue or return on operating assets, (xx) cash from operations, (xxi) operating ratio,</w:t>
      </w:r>
    </w:p>
    <w:p>
      <w:pPr>
        <w:spacing w:after="0" w:line="1" w:lineRule="exact"/>
        <w:rPr>
          <w:sz w:val="20"/>
          <w:szCs w:val="20"/>
          <w:color w:val="auto"/>
        </w:rPr>
      </w:pPr>
    </w:p>
    <w:p>
      <w:pPr>
        <w:ind w:right="520" w:firstLine="8"/>
        <w:spacing w:after="0" w:line="246" w:lineRule="auto"/>
        <w:tabs>
          <w:tab w:leader="none" w:pos="534" w:val="left"/>
        </w:tabs>
        <w:numPr>
          <w:ilvl w:val="0"/>
          <w:numId w:val="65"/>
        </w:numPr>
        <w:rPr>
          <w:rFonts w:ascii="Arial" w:cs="Arial" w:eastAsia="Arial" w:hAnsi="Arial"/>
          <w:sz w:val="22"/>
          <w:szCs w:val="22"/>
          <w:color w:val="auto"/>
        </w:rPr>
      </w:pPr>
      <w:r>
        <w:rPr>
          <w:rFonts w:ascii="Arial" w:cs="Arial" w:eastAsia="Arial" w:hAnsi="Arial"/>
          <w:sz w:val="22"/>
          <w:szCs w:val="22"/>
          <w:color w:val="auto"/>
        </w:rPr>
        <w:t>operating revenue, (xxiii) market share improvement, (xxiv) general and administrative expenses and (xxv) customer service.</w:t>
      </w:r>
    </w:p>
    <w:p>
      <w:pPr>
        <w:spacing w:after="0" w:line="51" w:lineRule="exact"/>
        <w:rPr>
          <w:sz w:val="20"/>
          <w:szCs w:val="20"/>
          <w:color w:val="auto"/>
        </w:rPr>
      </w:pPr>
    </w:p>
    <w:p>
      <w:pPr>
        <w:ind w:right="60" w:firstLine="270"/>
        <w:spacing w:after="0" w:line="286" w:lineRule="auto"/>
        <w:rPr>
          <w:sz w:val="20"/>
          <w:szCs w:val="20"/>
          <w:color w:val="auto"/>
        </w:rPr>
      </w:pPr>
      <w:r>
        <w:rPr>
          <w:rFonts w:ascii="Arial" w:cs="Arial" w:eastAsia="Arial" w:hAnsi="Arial"/>
          <w:sz w:val="19"/>
          <w:szCs w:val="19"/>
          <w:color w:val="auto"/>
        </w:rPr>
        <w:t xml:space="preserve">2.19 </w:t>
      </w:r>
      <w:r>
        <w:rPr>
          <w:rFonts w:ascii="Arial" w:cs="Arial" w:eastAsia="Arial" w:hAnsi="Arial"/>
          <w:sz w:val="19"/>
          <w:szCs w:val="19"/>
          <w:b w:val="1"/>
          <w:bCs w:val="1"/>
          <w:color w:val="auto"/>
        </w:rPr>
        <w:t>Performance Goals</w:t>
      </w:r>
      <w:r>
        <w:rPr>
          <w:rFonts w:ascii="Arial" w:cs="Arial" w:eastAsia="Arial" w:hAnsi="Arial"/>
          <w:sz w:val="19"/>
          <w:szCs w:val="19"/>
          <w:color w:val="auto"/>
        </w:rPr>
        <w:t xml:space="preserve"> means, for a Performance Period, the written goal or goals established by the Committee for the Performance Period based upon one or more of the Performance Criteria. The Performance Goals may be expressed in terms of overall Company performance or the performance of a division, business unit, subsidiary, or an individual, either individually, alternatively or in any combination, applied to either the Company as a whole or to a business unit or Affiliate,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The Committee will objectively define the manner of calculating the Performance Goal or Goals it selects to use for such Performance Period for such Participant, including whether or to what extent there shall not be taken into account any of the following events that occurs during a performance period: (i) asset write-downs, (ii) litigation, claims, judgments or settlements, (iii) the effect of changes in tax law, accounting principles or other such laws or provisions affecting reported results, (iv) accruals for reorganization and restructuring programs and (v) any extraordinary, unusual, non-recurring or non-comparable items (A) as described in Accounting Standard Codification Section 225-20 (or its successor provisions), (B) as described in management's discussion and analysis of financial condition and results of operations appearing in the Company's annual report to stockholders for the applicable year, or (C) publicly announced by the Company in a press release or conference call relating to the Company's results of operations or financial condition for a completed quarterly or annual fiscal period.</w:t>
      </w:r>
    </w:p>
    <w:p>
      <w:pPr>
        <w:spacing w:after="0" w:line="293" w:lineRule="exact"/>
        <w:rPr>
          <w:sz w:val="20"/>
          <w:szCs w:val="20"/>
          <w:color w:val="auto"/>
        </w:rPr>
      </w:pPr>
    </w:p>
    <w:p>
      <w:pPr>
        <w:ind w:right="80" w:firstLine="270"/>
        <w:spacing w:after="0" w:line="274" w:lineRule="auto"/>
        <w:rPr>
          <w:sz w:val="20"/>
          <w:szCs w:val="20"/>
          <w:color w:val="auto"/>
        </w:rPr>
      </w:pPr>
      <w:r>
        <w:rPr>
          <w:rFonts w:ascii="Arial" w:cs="Arial" w:eastAsia="Arial" w:hAnsi="Arial"/>
          <w:sz w:val="21"/>
          <w:szCs w:val="21"/>
          <w:color w:val="auto"/>
        </w:rPr>
        <w:t xml:space="preserve">2.20 </w:t>
      </w:r>
      <w:r>
        <w:rPr>
          <w:rFonts w:ascii="Arial" w:cs="Arial" w:eastAsia="Arial" w:hAnsi="Arial"/>
          <w:sz w:val="21"/>
          <w:szCs w:val="21"/>
          <w:b w:val="1"/>
          <w:bCs w:val="1"/>
          <w:color w:val="auto"/>
        </w:rPr>
        <w:t>Performance Period</w:t>
      </w:r>
      <w:r>
        <w:rPr>
          <w:rFonts w:ascii="Arial" w:cs="Arial" w:eastAsia="Arial" w:hAnsi="Arial"/>
          <w:sz w:val="21"/>
          <w:szCs w:val="21"/>
          <w:color w:val="auto"/>
        </w:rPr>
        <w:t xml:space="preserve"> means the one or more periods, which may be of varying and overlapping durations, selected by the Committee, over which the attainment of one or more Performance Goals or other business objectives will be measured for purposes of determining a Participant's right to, and the payment of, a Performance Unit.</w:t>
      </w:r>
    </w:p>
    <w:p>
      <w:pPr>
        <w:spacing w:after="0" w:line="37" w:lineRule="exact"/>
        <w:rPr>
          <w:sz w:val="20"/>
          <w:szCs w:val="20"/>
          <w:color w:val="auto"/>
        </w:rPr>
      </w:pPr>
    </w:p>
    <w:p>
      <w:pPr>
        <w:ind w:firstLine="270"/>
        <w:spacing w:after="0" w:line="326"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b w:val="1"/>
          <w:bCs w:val="1"/>
          <w:color w:val="auto"/>
        </w:rPr>
        <w:t>Performance Unit</w:t>
      </w:r>
      <w:r>
        <w:rPr>
          <w:rFonts w:ascii="Arial" w:cs="Arial" w:eastAsia="Arial" w:hAnsi="Arial"/>
          <w:sz w:val="19"/>
          <w:szCs w:val="19"/>
          <w:color w:val="auto"/>
        </w:rPr>
        <w:t xml:space="preserve"> means a right granted to a Participant under Section 6.5, to receive cash, Stock or other Awards, the payment of which is contingent on achieving Performance Goals or other business objectives established by the Committee.</w:t>
      </w:r>
    </w:p>
    <w:p>
      <w:pPr>
        <w:ind w:right="60" w:firstLine="270"/>
        <w:spacing w:after="0" w:line="269"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b w:val="1"/>
          <w:bCs w:val="1"/>
          <w:color w:val="auto"/>
        </w:rPr>
        <w:t>Plan</w:t>
      </w:r>
      <w:r>
        <w:rPr>
          <w:rFonts w:ascii="Arial" w:cs="Arial" w:eastAsia="Arial" w:hAnsi="Arial"/>
          <w:sz w:val="22"/>
          <w:szCs w:val="22"/>
          <w:color w:val="auto"/>
        </w:rPr>
        <w:t xml:space="preserve"> means this Amended and Restated 2013 New Employee Inducement Incentive Plan of the Company, as amended from time to time, and including any attachments or addenda hereto.</w:t>
      </w:r>
    </w:p>
    <w:p>
      <w:pPr>
        <w:spacing w:after="0" w:line="40"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b w:val="1"/>
          <w:bCs w:val="1"/>
          <w:color w:val="auto"/>
        </w:rPr>
        <w:t xml:space="preserve">Restricted Stock </w:t>
      </w:r>
      <w:r>
        <w:rPr>
          <w:rFonts w:ascii="Arial" w:cs="Arial" w:eastAsia="Arial" w:hAnsi="Arial"/>
          <w:sz w:val="19"/>
          <w:szCs w:val="19"/>
          <w:color w:val="auto"/>
        </w:rPr>
        <w:t>means a grant or sale of shares of Stock to a Participant subject to a Risk of Forfeiture.</w:t>
      </w:r>
    </w:p>
    <w:p>
      <w:pPr>
        <w:spacing w:after="0" w:line="98" w:lineRule="exact"/>
        <w:rPr>
          <w:sz w:val="20"/>
          <w:szCs w:val="20"/>
          <w:color w:val="auto"/>
        </w:rPr>
      </w:pPr>
    </w:p>
    <w:p>
      <w:pPr>
        <w:ind w:right="20" w:firstLine="270"/>
        <w:spacing w:after="0" w:line="269"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b w:val="1"/>
          <w:bCs w:val="1"/>
          <w:color w:val="auto"/>
        </w:rPr>
        <w:t>Restricted Stock Units</w:t>
      </w:r>
      <w:r>
        <w:rPr>
          <w:rFonts w:ascii="Arial" w:cs="Arial" w:eastAsia="Arial" w:hAnsi="Arial"/>
          <w:sz w:val="22"/>
          <w:szCs w:val="22"/>
          <w:color w:val="auto"/>
        </w:rPr>
        <w:t xml:space="preserve"> means rights to receive shares of Stock at the close of a Restriction Period, subject to a Risk of Forfeiture.</w:t>
      </w:r>
    </w:p>
    <w:p>
      <w:pPr>
        <w:sectPr>
          <w:pgSz w:w="11900" w:h="16838" w:orient="portrait"/>
          <w:cols w:equalWidth="0" w:num="1">
            <w:col w:w="11180"/>
          </w:cols>
          <w:pgMar w:left="320" w:top="1440" w:right="399" w:bottom="1440" w:gutter="0" w:footer="0" w:header="0"/>
        </w:sectPr>
      </w:pPr>
    </w:p>
    <w:bookmarkStart w:id="77" w:name="page78"/>
    <w:bookmarkEnd w:id="77"/>
    <w:p>
      <w:pPr>
        <w:spacing w:after="0" w:line="77" w:lineRule="exact"/>
        <w:rPr>
          <w:sz w:val="20"/>
          <w:szCs w:val="20"/>
          <w:color w:val="auto"/>
        </w:rPr>
      </w:pPr>
    </w:p>
    <w:p>
      <w:pPr>
        <w:ind w:right="80" w:firstLine="270"/>
        <w:spacing w:after="0" w:line="256"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b w:val="1"/>
          <w:bCs w:val="1"/>
          <w:color w:val="auto"/>
        </w:rPr>
        <w:t>Restriction Period</w:t>
      </w:r>
      <w:r>
        <w:rPr>
          <w:rFonts w:ascii="Arial" w:cs="Arial" w:eastAsia="Arial" w:hAnsi="Arial"/>
          <w:sz w:val="22"/>
          <w:szCs w:val="22"/>
          <w:color w:val="auto"/>
        </w:rPr>
        <w:t xml:space="preserve"> means the period of time, established by the Committee in connection with an Award of Restricted Stock or Restricted Stock Units, during which the shares of Restricted Stock or Restricted Stock Units are subject to a Risk of Forfeiture described in the applicable Award Agreement.</w:t>
      </w:r>
    </w:p>
    <w:p>
      <w:pPr>
        <w:spacing w:after="0" w:line="41" w:lineRule="exact"/>
        <w:rPr>
          <w:sz w:val="20"/>
          <w:szCs w:val="20"/>
          <w:color w:val="auto"/>
        </w:rPr>
      </w:pPr>
    </w:p>
    <w:p>
      <w:pPr>
        <w:jc w:val="both"/>
        <w:ind w:right="500" w:firstLine="270"/>
        <w:spacing w:after="0" w:line="274" w:lineRule="auto"/>
        <w:rPr>
          <w:sz w:val="20"/>
          <w:szCs w:val="20"/>
          <w:color w:val="auto"/>
        </w:rPr>
      </w:pPr>
      <w:r>
        <w:rPr>
          <w:rFonts w:ascii="Arial" w:cs="Arial" w:eastAsia="Arial" w:hAnsi="Arial"/>
          <w:sz w:val="21"/>
          <w:szCs w:val="21"/>
          <w:color w:val="auto"/>
        </w:rPr>
        <w:t xml:space="preserve">2.26 </w:t>
      </w:r>
      <w:r>
        <w:rPr>
          <w:rFonts w:ascii="Arial" w:cs="Arial" w:eastAsia="Arial" w:hAnsi="Arial"/>
          <w:sz w:val="21"/>
          <w:szCs w:val="21"/>
          <w:b w:val="1"/>
          <w:bCs w:val="1"/>
          <w:color w:val="auto"/>
        </w:rPr>
        <w:t>Risk of Forfeiture</w:t>
      </w:r>
      <w:r>
        <w:rPr>
          <w:rFonts w:ascii="Arial" w:cs="Arial" w:eastAsia="Arial" w:hAnsi="Arial"/>
          <w:sz w:val="21"/>
          <w:szCs w:val="21"/>
          <w:color w:val="auto"/>
        </w:rPr>
        <w:t xml:space="preserve"> means a limitation on the right of the Participant to retain Restricted Stock or Restricted Stock Units, including a right in the Company to reacquire shares of Restricted Stock at less than their then Market Value, arising because of the occurrence or non-occurrence of specified events or conditions.</w:t>
      </w:r>
    </w:p>
    <w:p>
      <w:pPr>
        <w:spacing w:after="0" w:line="37"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b w:val="1"/>
          <w:bCs w:val="1"/>
          <w:color w:val="auto"/>
        </w:rPr>
        <w:t xml:space="preserve">Securities Act </w:t>
      </w:r>
      <w:r>
        <w:rPr>
          <w:rFonts w:ascii="Arial" w:cs="Arial" w:eastAsia="Arial" w:hAnsi="Arial"/>
          <w:sz w:val="19"/>
          <w:szCs w:val="19"/>
          <w:color w:val="auto"/>
        </w:rPr>
        <w:t>means the Securities Act of 1933, as amended.</w:t>
      </w:r>
    </w:p>
    <w:p>
      <w:pPr>
        <w:spacing w:after="0" w:line="98"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b w:val="1"/>
          <w:bCs w:val="1"/>
          <w:color w:val="auto"/>
        </w:rPr>
        <w:t xml:space="preserve">SEC </w:t>
      </w:r>
      <w:r>
        <w:rPr>
          <w:rFonts w:ascii="Arial" w:cs="Arial" w:eastAsia="Arial" w:hAnsi="Arial"/>
          <w:sz w:val="19"/>
          <w:szCs w:val="19"/>
          <w:color w:val="auto"/>
        </w:rPr>
        <w:t>means the Securities and Exchange Commission.</w:t>
      </w:r>
    </w:p>
    <w:p>
      <w:pPr>
        <w:spacing w:after="0" w:line="85" w:lineRule="exact"/>
        <w:rPr>
          <w:sz w:val="20"/>
          <w:szCs w:val="20"/>
          <w:color w:val="auto"/>
        </w:rPr>
      </w:pPr>
    </w:p>
    <w:p>
      <w:pPr>
        <w:ind w:right="880" w:firstLine="270"/>
        <w:spacing w:after="0" w:line="269" w:lineRule="auto"/>
        <w:rPr>
          <w:sz w:val="20"/>
          <w:szCs w:val="20"/>
          <w:color w:val="auto"/>
        </w:rPr>
      </w:pPr>
      <w:r>
        <w:rPr>
          <w:rFonts w:ascii="Arial" w:cs="Arial" w:eastAsia="Arial" w:hAnsi="Arial"/>
          <w:sz w:val="22"/>
          <w:szCs w:val="22"/>
          <w:color w:val="auto"/>
        </w:rPr>
        <w:t xml:space="preserve">2.29 </w:t>
      </w:r>
      <w:r>
        <w:rPr>
          <w:rFonts w:ascii="Arial" w:cs="Arial" w:eastAsia="Arial" w:hAnsi="Arial"/>
          <w:sz w:val="22"/>
          <w:szCs w:val="22"/>
          <w:b w:val="1"/>
          <w:bCs w:val="1"/>
          <w:color w:val="auto"/>
        </w:rPr>
        <w:t>Stock</w:t>
      </w:r>
      <w:r>
        <w:rPr>
          <w:rFonts w:ascii="Arial" w:cs="Arial" w:eastAsia="Arial" w:hAnsi="Arial"/>
          <w:sz w:val="22"/>
          <w:szCs w:val="22"/>
          <w:color w:val="auto"/>
        </w:rPr>
        <w:t xml:space="preserve"> means common stock, par value $0.001 per share, of the Company, and such other securities as may be substituted for Stock pursuant to Section 7.</w:t>
      </w:r>
    </w:p>
    <w:p>
      <w:pPr>
        <w:spacing w:after="0" w:line="40" w:lineRule="exact"/>
        <w:rPr>
          <w:sz w:val="20"/>
          <w:szCs w:val="20"/>
          <w:color w:val="auto"/>
        </w:rPr>
      </w:pPr>
    </w:p>
    <w:p>
      <w:pPr>
        <w:ind w:right="600" w:firstLine="270"/>
        <w:spacing w:after="0" w:line="269" w:lineRule="auto"/>
        <w:rPr>
          <w:sz w:val="20"/>
          <w:szCs w:val="20"/>
          <w:color w:val="auto"/>
        </w:rPr>
      </w:pPr>
      <w:r>
        <w:rPr>
          <w:rFonts w:ascii="Arial" w:cs="Arial" w:eastAsia="Arial" w:hAnsi="Arial"/>
          <w:sz w:val="22"/>
          <w:szCs w:val="22"/>
          <w:color w:val="auto"/>
        </w:rPr>
        <w:t xml:space="preserve">2.30 </w:t>
      </w:r>
      <w:r>
        <w:rPr>
          <w:rFonts w:ascii="Arial" w:cs="Arial" w:eastAsia="Arial" w:hAnsi="Arial"/>
          <w:sz w:val="22"/>
          <w:szCs w:val="22"/>
          <w:b w:val="1"/>
          <w:bCs w:val="1"/>
          <w:color w:val="auto"/>
        </w:rPr>
        <w:t>Stock Appreciation Right</w:t>
      </w:r>
      <w:r>
        <w:rPr>
          <w:rFonts w:ascii="Arial" w:cs="Arial" w:eastAsia="Arial" w:hAnsi="Arial"/>
          <w:sz w:val="22"/>
          <w:szCs w:val="22"/>
          <w:color w:val="auto"/>
        </w:rPr>
        <w:t xml:space="preserve"> means a right to receive any excess in the Market Value of shares of Stock (except as otherwise provided in Section 6.2(c)) over a specified exercise price.</w:t>
      </w:r>
    </w:p>
    <w:p>
      <w:pPr>
        <w:spacing w:after="0" w:line="40"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b w:val="1"/>
          <w:bCs w:val="1"/>
          <w:color w:val="auto"/>
        </w:rPr>
        <w:t xml:space="preserve">Stock Grant </w:t>
      </w:r>
      <w:r>
        <w:rPr>
          <w:rFonts w:ascii="Arial" w:cs="Arial" w:eastAsia="Arial" w:hAnsi="Arial"/>
          <w:sz w:val="19"/>
          <w:szCs w:val="19"/>
          <w:color w:val="auto"/>
        </w:rPr>
        <w:t>means the grant of shares of Stock not subject to restrictions or other forfeiture conditions.</w:t>
      </w:r>
    </w:p>
    <w:p>
      <w:pPr>
        <w:spacing w:after="0" w:line="85" w:lineRule="exact"/>
        <w:rPr>
          <w:sz w:val="20"/>
          <w:szCs w:val="20"/>
          <w:color w:val="auto"/>
        </w:rPr>
      </w:pPr>
    </w:p>
    <w:p>
      <w:pPr>
        <w:ind w:left="280"/>
        <w:spacing w:after="0"/>
        <w:tabs>
          <w:tab w:leader="none" w:pos="86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b w:val="1"/>
          <w:bCs w:val="1"/>
          <w:color w:val="auto"/>
        </w:rPr>
        <w:t xml:space="preserve">Stock Right </w:t>
      </w:r>
      <w:r>
        <w:rPr>
          <w:rFonts w:ascii="Arial" w:cs="Arial" w:eastAsia="Arial" w:hAnsi="Arial"/>
          <w:sz w:val="19"/>
          <w:szCs w:val="19"/>
          <w:color w:val="auto"/>
        </w:rPr>
        <w:t>means an Award in the form of an Option or a Stock Appreciation Right.</w:t>
      </w:r>
    </w:p>
    <w:p>
      <w:pPr>
        <w:spacing w:after="0" w:line="98" w:lineRule="exact"/>
        <w:rPr>
          <w:sz w:val="20"/>
          <w:szCs w:val="20"/>
          <w:color w:val="auto"/>
        </w:rPr>
      </w:pPr>
    </w:p>
    <w:p>
      <w:pPr>
        <w:ind w:right="20" w:firstLine="270"/>
        <w:spacing w:after="0" w:line="274" w:lineRule="auto"/>
        <w:rPr>
          <w:sz w:val="20"/>
          <w:szCs w:val="20"/>
          <w:color w:val="auto"/>
        </w:rPr>
      </w:pPr>
      <w:r>
        <w:rPr>
          <w:rFonts w:ascii="Arial" w:cs="Arial" w:eastAsia="Arial" w:hAnsi="Arial"/>
          <w:sz w:val="21"/>
          <w:szCs w:val="21"/>
          <w:color w:val="auto"/>
        </w:rPr>
        <w:t xml:space="preserve">2.33 </w:t>
      </w:r>
      <w:r>
        <w:rPr>
          <w:rFonts w:ascii="Arial" w:cs="Arial" w:eastAsia="Arial" w:hAnsi="Arial"/>
          <w:sz w:val="21"/>
          <w:szCs w:val="21"/>
          <w:b w:val="1"/>
          <w:bCs w:val="1"/>
          <w:color w:val="auto"/>
        </w:rPr>
        <w:t>Stockholders' Agreement</w:t>
      </w:r>
      <w:r>
        <w:rPr>
          <w:rFonts w:ascii="Arial" w:cs="Arial" w:eastAsia="Arial" w:hAnsi="Arial"/>
          <w:sz w:val="21"/>
          <w:szCs w:val="21"/>
          <w:color w:val="auto"/>
        </w:rPr>
        <w:t xml:space="preserve"> means any agreement by and among the holders of at least a majority of the outstanding voting securities of the Company and setting forth, among other provisions, restrictions upon the transfer of shares of Stock or on the exercise of rights appurtenant thereto (including, but not limited to, voting rights).</w:t>
      </w:r>
    </w:p>
    <w:p>
      <w:pPr>
        <w:spacing w:after="0" w:line="37"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 Term of the Plan</w:t>
      </w:r>
    </w:p>
    <w:p>
      <w:pPr>
        <w:spacing w:after="0" w:line="91"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Number of Shares</w:t>
      </w:r>
      <w:r>
        <w:rPr>
          <w:rFonts w:ascii="Arial" w:cs="Arial" w:eastAsia="Arial" w:hAnsi="Arial"/>
          <w:sz w:val="19"/>
          <w:szCs w:val="19"/>
          <w:color w:val="auto"/>
        </w:rPr>
        <w:t>. Effective as of July 22, 2016:</w:t>
      </w:r>
    </w:p>
    <w:p>
      <w:pPr>
        <w:spacing w:after="0" w:line="98" w:lineRule="exact"/>
        <w:rPr>
          <w:sz w:val="20"/>
          <w:szCs w:val="20"/>
          <w:color w:val="auto"/>
        </w:rPr>
      </w:pPr>
    </w:p>
    <w:p>
      <w:pPr>
        <w:ind w:left="940" w:hanging="284"/>
        <w:spacing w:after="0"/>
        <w:tabs>
          <w:tab w:leader="none" w:pos="9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 additional Awards may be granted under the Plan;</w:t>
      </w:r>
    </w:p>
    <w:p>
      <w:pPr>
        <w:spacing w:after="0" w:line="98" w:lineRule="exact"/>
        <w:rPr>
          <w:rFonts w:ascii="Arial" w:cs="Arial" w:eastAsia="Arial" w:hAnsi="Arial"/>
          <w:sz w:val="22"/>
          <w:szCs w:val="22"/>
          <w:color w:val="auto"/>
        </w:rPr>
      </w:pPr>
    </w:p>
    <w:p>
      <w:pPr>
        <w:ind w:left="960" w:hanging="304"/>
        <w:spacing w:after="0"/>
        <w:tabs>
          <w:tab w:leader="none" w:pos="9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 shares of Stock may be issued under the Plan other than pursuant to outstanding Awards; and</w:t>
      </w:r>
    </w:p>
    <w:p>
      <w:pPr>
        <w:spacing w:after="0" w:line="84" w:lineRule="exact"/>
        <w:rPr>
          <w:rFonts w:ascii="Arial" w:cs="Arial" w:eastAsia="Arial" w:hAnsi="Arial"/>
          <w:sz w:val="22"/>
          <w:szCs w:val="22"/>
          <w:color w:val="auto"/>
        </w:rPr>
      </w:pPr>
    </w:p>
    <w:p>
      <w:pPr>
        <w:jc w:val="both"/>
        <w:ind w:left="660" w:hanging="4"/>
        <w:spacing w:after="0" w:line="302" w:lineRule="auto"/>
        <w:tabs>
          <w:tab w:leader="none" w:pos="95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number of shares of Stock reserved for issuance under the Plan is equal to the maximum number of shares issuable pursuant to Awards outstanding as of such date, assuming the exercisability of all outstanding Stock Rights, the expiration of all Risks of Forfeiture applicable to outstanding Restricted Stock and Restricted Stock Units, and the satisfaction of all Performance Goals or other business objectives applicable to outstanding Performance Units.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number of shares reserved for issuance pursuant to the Plan shall be reduced from time to time as and to the extent that (i) shares are issued pursuant to, or in settlement of, outstanding Awards or (ii) outstanding Awards expire, terminate, are forfeited or cancelled.</w:t>
      </w:r>
    </w:p>
    <w:p>
      <w:pPr>
        <w:spacing w:after="0" w:line="64"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Shares of Stock issued pursuant to the Plan may be either authorized but unissued shares or shares held by the Company in its treasury.</w:t>
      </w:r>
    </w:p>
    <w:p>
      <w:pPr>
        <w:sectPr>
          <w:pgSz w:w="11900" w:h="16838" w:orient="portrait"/>
          <w:cols w:equalWidth="0" w:num="1">
            <w:col w:w="11220"/>
          </w:cols>
          <w:pgMar w:left="320" w:top="1440" w:right="359" w:bottom="1440" w:gutter="0" w:footer="0" w:header="0"/>
        </w:sectPr>
      </w:pPr>
    </w:p>
    <w:bookmarkStart w:id="78" w:name="page79"/>
    <w:bookmarkEnd w:id="78"/>
    <w:p>
      <w:pPr>
        <w:spacing w:after="0" w:line="83" w:lineRule="exact"/>
        <w:rPr>
          <w:sz w:val="20"/>
          <w:szCs w:val="20"/>
          <w:color w:val="auto"/>
        </w:rPr>
      </w:pPr>
    </w:p>
    <w:p>
      <w:pPr>
        <w:ind w:right="600" w:firstLine="270"/>
        <w:spacing w:after="0" w:line="32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Term</w:t>
      </w:r>
      <w:r>
        <w:rPr>
          <w:rFonts w:ascii="Arial" w:cs="Arial" w:eastAsia="Arial" w:hAnsi="Arial"/>
          <w:sz w:val="19"/>
          <w:szCs w:val="19"/>
          <w:color w:val="auto"/>
        </w:rPr>
        <w:t>. Effective as of July 22, 2016, no additional Awards may be granted under the Plan. For avoidance of doubt, Awards outstanding as of July 22, 2016 shall continue to be subject to the provisions of the Plan from and after such date.</w:t>
      </w:r>
    </w:p>
    <w:p>
      <w:pPr>
        <w:spacing w:after="0" w:line="2"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104"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In all events the Plan shall be administered by the Independent Board or Committee in compliance with Rule 5635(c)(4) (and any successor thereto) of the Listing Rules of the NASDAQ Stock Market LLC ("Nasdaq"). The grant of any Award under the Plan must be approved by a majority of the members of the Board (each of whom is an "independent director" as defined in the Nasdaq Listing Rules) or by the Company's independent compensation committee (as intended under the Nasdaq Listing Rules). The Plan shall be administered by the Committee, provided, however, that at any time and on any one or more occasions the Independent Board may itself exercise any of the powers and responsibilities assigned the Committee under the Plan and when so acting shall have the benefit of all of the provisions of the Plan pertaining to the Committee's exercise of its authorities hereunder. Subject to the provisions of the Plan, the Committee shall have complete authority, in its discretion, to make or to select the manner of making all determinations with respect to each Award to be granted by the Company under the Plan, including the new employee to receive the Award and the form of Award. All Awards of Stock or which otherwise entitle the Award recipient to acquire any shares of Stock shall be made from the authorized but unissued shares of Stock of the Company. The Committee, or the Independent Board, shall determine in its sole discretion how many shares of Stock to issue under this Plan in the aggregate. In making its determinations, the Committee may take into account the nature of the services to be rendered by the new employees, their potential contributions to the success of the Company and its Affiliates, and such other factors as the Committee in its discretion shall deem relevant. Subject to the provisions of the Plan, the Committee shall also have complete authority to:</w:t>
      </w:r>
    </w:p>
    <w:p>
      <w:pPr>
        <w:spacing w:after="0" w:line="1" w:lineRule="exact"/>
        <w:rPr>
          <w:sz w:val="20"/>
          <w:szCs w:val="20"/>
          <w:color w:val="auto"/>
        </w:rPr>
      </w:pPr>
    </w:p>
    <w:p>
      <w:pPr>
        <w:ind w:firstLine="8"/>
        <w:spacing w:after="0" w:line="284" w:lineRule="auto"/>
        <w:tabs>
          <w:tab w:leader="none" w:pos="294"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Participant's termination of employment or other association with the Company on any of the foregoing, and (vi) 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Participant's termination of employment or other association with the Company;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and (g) make all other determinations necessary or advisable for the administration of the Plan. The Committee's determinations made in good faith on matters referred to in the Plan shall be final, binding and</w:t>
      </w:r>
    </w:p>
    <w:p>
      <w:pPr>
        <w:sectPr>
          <w:pgSz w:w="11900" w:h="16838" w:orient="portrait"/>
          <w:cols w:equalWidth="0" w:num="1">
            <w:col w:w="11220"/>
          </w:cols>
          <w:pgMar w:left="320" w:top="1440" w:right="359" w:bottom="1440" w:gutter="0" w:footer="0" w:header="0"/>
        </w:sectPr>
      </w:pPr>
    </w:p>
    <w:bookmarkStart w:id="79" w:name="page80"/>
    <w:bookmarkEnd w:id="79"/>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conclusive on all persons having or claiming any interest under the Plan or an Award made pursuant hereto.</w:t>
      </w:r>
    </w:p>
    <w:p>
      <w:pPr>
        <w:spacing w:after="0" w:line="79"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Authorization of Grants</w:t>
      </w:r>
    </w:p>
    <w:p>
      <w:pPr>
        <w:spacing w:after="0" w:line="104" w:lineRule="exact"/>
        <w:rPr>
          <w:sz w:val="20"/>
          <w:szCs w:val="20"/>
          <w:color w:val="auto"/>
        </w:rPr>
      </w:pPr>
    </w:p>
    <w:p>
      <w:pPr>
        <w:ind w:right="60" w:firstLine="270"/>
        <w:spacing w:after="0" w:line="24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Eligibility</w:t>
      </w:r>
      <w:r>
        <w:rPr>
          <w:rFonts w:ascii="Arial" w:cs="Arial" w:eastAsia="Arial" w:hAnsi="Arial"/>
          <w:sz w:val="22"/>
          <w:szCs w:val="22"/>
          <w:color w:val="auto"/>
        </w:rPr>
        <w:t>. Persons eligible for Awards shall consist of employees whose potential contribution, in the judgment of the Committee, will benefit the future success of the Company and/or an Affiliate. Offers of Awards may be made prior to the commencement of employment with the Company or an Affiliate, but Awards may be granted only effective on or after the commencement of such employment to persons not previously an employee or director of the Company, or following a bona fide period of non-employment, as an inducement material to the individual's entering into employment with the Company within the meaning of Rule 5635(c)(4) of the Nasdaq Listing Rules (or applicable replacement rules or regulations). In addition, notwithstanding any other provision of the Plan to the contrary, all Awards must be granted either by the Independent Board or the Committee.</w:t>
      </w:r>
    </w:p>
    <w:p>
      <w:pPr>
        <w:spacing w:after="0" w:line="72" w:lineRule="exact"/>
        <w:rPr>
          <w:sz w:val="20"/>
          <w:szCs w:val="20"/>
          <w:color w:val="auto"/>
        </w:rPr>
      </w:pPr>
    </w:p>
    <w:p>
      <w:pPr>
        <w:ind w:right="20" w:firstLine="270"/>
        <w:spacing w:after="0" w:line="247"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General Terms of Awards</w:t>
      </w:r>
      <w:r>
        <w:rPr>
          <w:rFonts w:ascii="Arial" w:cs="Arial" w:eastAsia="Arial" w:hAnsi="Arial"/>
          <w:sz w:val="22"/>
          <w:szCs w:val="22"/>
          <w:color w:val="auto"/>
        </w:rPr>
        <w:t>. Each grant of an Award shall be subject to all applicable terms and conditions of the Plan (including but not limited to any specific terms and conditions applicable to that type of Award set out in the following Section), and such other terms and conditions, not inconsistent with the terms of the Plan, as the Committee may prescribe. No prospective Participant shall have any rights with respect to an Award, unless and until such Participant has executed an Award agreement evidencing the Award, delivered a fully executed copy thereof to the Company, and otherwise complied with the applicable terms and conditions of such Award.</w:t>
      </w:r>
    </w:p>
    <w:p>
      <w:pPr>
        <w:spacing w:after="0" w:line="58"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Effect of Termination of Employment, Disability or Death</w:t>
      </w:r>
      <w:r>
        <w:rPr>
          <w:rFonts w:ascii="Arial" w:cs="Arial" w:eastAsia="Arial" w:hAnsi="Arial"/>
          <w:sz w:val="19"/>
          <w:szCs w:val="19"/>
          <w:color w:val="auto"/>
        </w:rPr>
        <w:t>.</w:t>
      </w:r>
    </w:p>
    <w:p>
      <w:pPr>
        <w:spacing w:after="0" w:line="98" w:lineRule="exact"/>
        <w:rPr>
          <w:sz w:val="20"/>
          <w:szCs w:val="20"/>
          <w:color w:val="auto"/>
        </w:rPr>
      </w:pPr>
    </w:p>
    <w:p>
      <w:pPr>
        <w:ind w:left="660" w:right="120" w:firstLine="266"/>
        <w:spacing w:after="0" w:line="285" w:lineRule="auto"/>
        <w:tabs>
          <w:tab w:leader="none" w:pos="1386"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Unless the Committee shall provide otherwise with respect to any Award, if the Participant's employment or other association with the Company and its Affiliates ends for any reason other than by total disability or death, including because of an Affiliate ceasing to be an Affiliate, (a) any outstanding Stock Right of the Participant shall cease to be exercisable in any respect not later than 90 days following that event and, for the period it remains exercisable following that event, shall be exercisable only to the extent exercisable at the date of that event, and</w:t>
      </w:r>
    </w:p>
    <w:p>
      <w:pPr>
        <w:spacing w:after="0" w:line="3" w:lineRule="exact"/>
        <w:rPr>
          <w:rFonts w:ascii="Arial" w:cs="Arial" w:eastAsia="Arial" w:hAnsi="Arial"/>
          <w:sz w:val="19"/>
          <w:szCs w:val="19"/>
          <w:color w:val="auto"/>
        </w:rPr>
      </w:pPr>
    </w:p>
    <w:p>
      <w:pPr>
        <w:ind w:left="660" w:hanging="4"/>
        <w:spacing w:after="0" w:line="286" w:lineRule="auto"/>
        <w:tabs>
          <w:tab w:leader="none" w:pos="966"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director. Military or sick leave or other bona fide leave approved by the Company shall not be deemed a termination of employment or other association, provided that it does not exceed the longer of six (6) months or the period during which the absent Participant's reemployment rights, if any, are either guaranteed by statute or by contract or permitted by Company policy. To the extent consistent with applicable law, the Committee may provide that Awards continue to vest for some or all of the period of any such leave, or that their vesting shall be tolled during any such leave and only recommence upon the Participant's return from leave, if ever.</w:t>
      </w:r>
    </w:p>
    <w:p>
      <w:pPr>
        <w:sectPr>
          <w:pgSz w:w="11900" w:h="16838" w:orient="portrait"/>
          <w:cols w:equalWidth="0" w:num="1">
            <w:col w:w="11220"/>
          </w:cols>
          <w:pgMar w:left="320" w:top="1440" w:right="359" w:bottom="1440" w:gutter="0" w:footer="0" w:header="0"/>
        </w:sectPr>
      </w:pPr>
    </w:p>
    <w:bookmarkStart w:id="80" w:name="page81"/>
    <w:bookmarkEnd w:id="80"/>
    <w:p>
      <w:pPr>
        <w:spacing w:after="0" w:line="83" w:lineRule="exact"/>
        <w:rPr>
          <w:sz w:val="20"/>
          <w:szCs w:val="20"/>
          <w:color w:val="auto"/>
        </w:rPr>
      </w:pPr>
    </w:p>
    <w:p>
      <w:pPr>
        <w:jc w:val="both"/>
        <w:ind w:left="660" w:right="100" w:firstLine="266"/>
        <w:spacing w:after="0" w:line="248" w:lineRule="auto"/>
        <w:tabs>
          <w:tab w:leader="none" w:pos="139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Disability of Participant</w:t>
      </w:r>
      <w:r>
        <w:rPr>
          <w:rFonts w:ascii="Arial" w:cs="Arial" w:eastAsia="Arial" w:hAnsi="Arial"/>
          <w:sz w:val="22"/>
          <w:szCs w:val="22"/>
          <w:color w:val="auto"/>
        </w:rPr>
        <w:t>. If a Participant's employment or other association with the Company and its Affiliates ends due to disability (as defined in Section 22(e)(3) of the Code), any outstanding Stock Right may be exercised at any time within six months following the date of termination of service, but only to the extent of the accrued right to exercise at the time of termination of service, subject to the condition that no Stock Right shall be exercised after its expiration in accordance with its terms.</w:t>
      </w:r>
    </w:p>
    <w:p>
      <w:pPr>
        <w:spacing w:after="0" w:line="56" w:lineRule="exact"/>
        <w:rPr>
          <w:rFonts w:ascii="Arial" w:cs="Arial" w:eastAsia="Arial" w:hAnsi="Arial"/>
          <w:sz w:val="22"/>
          <w:szCs w:val="22"/>
          <w:color w:val="auto"/>
        </w:rPr>
      </w:pPr>
    </w:p>
    <w:p>
      <w:pPr>
        <w:ind w:left="660" w:firstLine="266"/>
        <w:spacing w:after="0" w:line="259" w:lineRule="auto"/>
        <w:tabs>
          <w:tab w:leader="none" w:pos="1386"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Death of Participant</w:t>
      </w:r>
      <w:r>
        <w:rPr>
          <w:rFonts w:ascii="Arial" w:cs="Arial" w:eastAsia="Arial" w:hAnsi="Arial"/>
          <w:sz w:val="21"/>
          <w:szCs w:val="21"/>
          <w:color w:val="auto"/>
        </w:rPr>
        <w:t>. In the event of the death during the Option period, or period during which the Stock Appreciation Right may be exercised, of a Participant who is at the time of his or her death an employee, director or consultant and whose services had not ceased or been terminated (as determined with regard to the second sentence of Section 5.3(a))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 result of the Participant's death, but only to the extent of the accrued right to exercise at the time of death, subject to the condition that no Stock Right shall be exercised after its expiration in accordance with its terms.</w:t>
      </w:r>
    </w:p>
    <w:p>
      <w:pPr>
        <w:spacing w:after="0" w:line="62" w:lineRule="exact"/>
        <w:rPr>
          <w:sz w:val="20"/>
          <w:szCs w:val="20"/>
          <w:color w:val="auto"/>
        </w:rPr>
      </w:pPr>
    </w:p>
    <w:p>
      <w:pPr>
        <w:ind w:right="20" w:firstLine="270"/>
        <w:spacing w:after="0" w:line="286"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 xml:space="preserve">. Except as otherwise provided in this Section 5.4, Awards shall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an Option or shares of Restricted Stock, provide that such Award may be transferred by the recipient to a family member; provided, however, that any such transfer is without payment of any consideration whatsoever and that no transfer shall be valid unless first approved by the Committee, acting in its sole discretion. For this purpose, " </w:t>
      </w:r>
      <w:r>
        <w:rPr>
          <w:rFonts w:ascii="Arial" w:cs="Arial" w:eastAsia="Arial" w:hAnsi="Arial"/>
          <w:sz w:val="19"/>
          <w:szCs w:val="19"/>
          <w:b w:val="1"/>
          <w:bCs w:val="1"/>
          <w:color w:val="auto"/>
        </w:rPr>
        <w:t>family member</w:t>
      </w:r>
      <w:r>
        <w:rPr>
          <w:rFonts w:ascii="Arial" w:cs="Arial" w:eastAsia="Arial" w:hAnsi="Arial"/>
          <w:sz w:val="19"/>
          <w:szCs w:val="19"/>
          <w:color w:val="auto"/>
        </w:rPr>
        <w:t xml:space="preserve"> " means any child, stepchild, grandchild, parent, grandparent, stepparent, spouse, former spouse, sibling, niece, nephew, mother-in-law, father-in-law, son-in-law, daughter-in-law, brother-in-law, or sister-in-law, including adoptive relationships, any person sharing the employee's household (other than a tenant or employee),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5.3 hereof or in the Award Agreement shall continue to be applied with respect to the original Participant, following which the Awards shall be exercisable by the transferee only to the extent, and for the periods specified in the Award Agreement or Section 5.3, as applicable.</w:t>
      </w:r>
    </w:p>
    <w:p>
      <w:pPr>
        <w:spacing w:after="0" w:line="291"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Specific Terms of Awards</w:t>
      </w:r>
    </w:p>
    <w:p>
      <w:pPr>
        <w:spacing w:after="0" w:line="90" w:lineRule="exact"/>
        <w:rPr>
          <w:rFonts w:ascii="Arial" w:cs="Arial" w:eastAsia="Arial" w:hAnsi="Arial"/>
          <w:sz w:val="22"/>
          <w:szCs w:val="22"/>
          <w:b w:val="1"/>
          <w:bCs w:val="1"/>
          <w:color w:val="auto"/>
        </w:rPr>
      </w:pPr>
    </w:p>
    <w:p>
      <w:pPr>
        <w:ind w:left="280"/>
        <w:spacing w:after="0"/>
        <w:rPr>
          <w:rFonts w:ascii="Arial" w:cs="Arial" w:eastAsia="Arial" w:hAnsi="Arial"/>
          <w:sz w:val="22"/>
          <w:szCs w:val="22"/>
          <w:b w:val="1"/>
          <w:bCs w:val="1"/>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98" w:lineRule="exact"/>
        <w:rPr>
          <w:rFonts w:ascii="Arial" w:cs="Arial" w:eastAsia="Arial" w:hAnsi="Arial"/>
          <w:sz w:val="22"/>
          <w:szCs w:val="22"/>
          <w:b w:val="1"/>
          <w:bCs w:val="1"/>
          <w:color w:val="auto"/>
        </w:rPr>
      </w:pPr>
    </w:p>
    <w:p>
      <w:pPr>
        <w:ind w:left="660" w:right="500" w:firstLine="266"/>
        <w:spacing w:after="0" w:line="263" w:lineRule="auto"/>
        <w:tabs>
          <w:tab w:leader="none" w:pos="1386"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Date of Grant</w:t>
      </w:r>
      <w:r>
        <w:rPr>
          <w:rFonts w:ascii="Arial" w:cs="Arial" w:eastAsia="Arial" w:hAnsi="Arial"/>
          <w:sz w:val="22"/>
          <w:szCs w:val="22"/>
          <w:color w:val="auto"/>
        </w:rPr>
        <w:t>. The granting of an Option shall take place at the time that legally effective action to grant the award is taken by the Committee or the Independent Board.</w:t>
      </w:r>
    </w:p>
    <w:p>
      <w:pPr>
        <w:spacing w:after="0" w:line="53" w:lineRule="exact"/>
        <w:rPr>
          <w:rFonts w:ascii="Arial" w:cs="Arial" w:eastAsia="Arial" w:hAnsi="Arial"/>
          <w:sz w:val="22"/>
          <w:szCs w:val="22"/>
          <w:color w:val="auto"/>
        </w:rPr>
      </w:pPr>
    </w:p>
    <w:p>
      <w:pPr>
        <w:ind w:left="660" w:right="100" w:firstLine="266"/>
        <w:spacing w:after="0" w:line="343" w:lineRule="auto"/>
        <w:tabs>
          <w:tab w:leader="none" w:pos="139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price at which shares of Stock may be acquired under each Option shall be the Market Value of Stock on the Grant Date, except as provided otherwise by the Committee upon the grant of the Option.</w:t>
      </w:r>
    </w:p>
    <w:p>
      <w:pPr>
        <w:sectPr>
          <w:pgSz w:w="11900" w:h="16838" w:orient="portrait"/>
          <w:cols w:equalWidth="0" w:num="1">
            <w:col w:w="11220"/>
          </w:cols>
          <w:pgMar w:left="320" w:top="1440" w:right="359" w:bottom="1440" w:gutter="0" w:footer="0" w:header="0"/>
        </w:sectPr>
      </w:pPr>
    </w:p>
    <w:bookmarkStart w:id="81" w:name="page82"/>
    <w:bookmarkEnd w:id="81"/>
    <w:p>
      <w:pPr>
        <w:spacing w:after="0" w:line="83" w:lineRule="exact"/>
        <w:rPr>
          <w:sz w:val="20"/>
          <w:szCs w:val="20"/>
          <w:color w:val="auto"/>
        </w:rPr>
      </w:pPr>
    </w:p>
    <w:p>
      <w:pPr>
        <w:ind w:left="660" w:right="700" w:firstLine="266"/>
        <w:spacing w:after="0" w:line="263" w:lineRule="auto"/>
        <w:tabs>
          <w:tab w:leader="none" w:pos="138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Option Period</w:t>
      </w:r>
      <w:r>
        <w:rPr>
          <w:rFonts w:ascii="Arial" w:cs="Arial" w:eastAsia="Arial" w:hAnsi="Arial"/>
          <w:sz w:val="22"/>
          <w:szCs w:val="22"/>
          <w:color w:val="auto"/>
        </w:rPr>
        <w:t>. No Option may be exercised on or after the tenth anniversary of the Grant Date, except as provided otherwise by the Committee upon the grant of the Option.</w:t>
      </w:r>
    </w:p>
    <w:p>
      <w:pPr>
        <w:spacing w:after="0" w:line="39" w:lineRule="exact"/>
        <w:rPr>
          <w:rFonts w:ascii="Arial" w:cs="Arial" w:eastAsia="Arial" w:hAnsi="Arial"/>
          <w:sz w:val="22"/>
          <w:szCs w:val="22"/>
          <w:color w:val="auto"/>
        </w:rPr>
      </w:pPr>
    </w:p>
    <w:p>
      <w:pPr>
        <w:ind w:left="660" w:right="400" w:firstLine="266"/>
        <w:spacing w:after="0" w:line="312" w:lineRule="auto"/>
        <w:tabs>
          <w:tab w:leader="none" w:pos="139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color w:val="auto"/>
        </w:rPr>
        <w:t>. An Option may be immediately exercisable or become exercisable in such installments, cumulative or non-cumulative, as the Committee may determine. In the case of an Option not otherwise immediately exercisable in full, the Committee may Accelerate such Option in whole or in part at any time.</w:t>
      </w:r>
    </w:p>
    <w:p>
      <w:pPr>
        <w:spacing w:after="0" w:line="11" w:lineRule="exact"/>
        <w:rPr>
          <w:rFonts w:ascii="Arial" w:cs="Arial" w:eastAsia="Arial" w:hAnsi="Arial"/>
          <w:sz w:val="19"/>
          <w:szCs w:val="19"/>
          <w:color w:val="auto"/>
        </w:rPr>
      </w:pPr>
    </w:p>
    <w:p>
      <w:pPr>
        <w:ind w:left="660" w:firstLine="266"/>
        <w:spacing w:after="0" w:line="261" w:lineRule="auto"/>
        <w:tabs>
          <w:tab w:leader="none" w:pos="1386"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An Option may be exercised by the Optionee giving written notice, in the manner provided in Section 14,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w:t>
      </w:r>
    </w:p>
    <w:p>
      <w:pPr>
        <w:spacing w:after="0" w:line="57" w:lineRule="exact"/>
        <w:rPr>
          <w:rFonts w:ascii="Arial" w:cs="Arial" w:eastAsia="Arial" w:hAnsi="Arial"/>
          <w:sz w:val="21"/>
          <w:szCs w:val="21"/>
          <w:color w:val="auto"/>
        </w:rPr>
      </w:pPr>
    </w:p>
    <w:p>
      <w:pPr>
        <w:ind w:left="1300" w:right="100" w:firstLine="4"/>
        <w:spacing w:after="0" w:line="263" w:lineRule="auto"/>
        <w:tabs>
          <w:tab w:leader="none" w:pos="1558" w:val="left"/>
        </w:tabs>
        <w:numPr>
          <w:ilvl w:val="1"/>
          <w:numId w:val="75"/>
        </w:numPr>
        <w:rPr>
          <w:rFonts w:ascii="Arial" w:cs="Arial" w:eastAsia="Arial" w:hAnsi="Arial"/>
          <w:sz w:val="22"/>
          <w:szCs w:val="22"/>
          <w:color w:val="auto"/>
        </w:rPr>
      </w:pPr>
      <w:r>
        <w:rPr>
          <w:rFonts w:ascii="Arial" w:cs="Arial" w:eastAsia="Arial" w:hAnsi="Arial"/>
          <w:sz w:val="22"/>
          <w:szCs w:val="22"/>
          <w:color w:val="auto"/>
        </w:rPr>
        <w:t>by delivery to the Company of shares of Stock having a Market Value equal to the exercise price of the shares to be purchased, or</w:t>
      </w:r>
    </w:p>
    <w:p>
      <w:pPr>
        <w:spacing w:after="0" w:line="39" w:lineRule="exact"/>
        <w:rPr>
          <w:rFonts w:ascii="Arial" w:cs="Arial" w:eastAsia="Arial" w:hAnsi="Arial"/>
          <w:sz w:val="22"/>
          <w:szCs w:val="22"/>
          <w:color w:val="auto"/>
        </w:rPr>
      </w:pPr>
    </w:p>
    <w:p>
      <w:pPr>
        <w:ind w:left="1300" w:right="60" w:firstLine="4"/>
        <w:spacing w:after="0" w:line="250" w:lineRule="auto"/>
        <w:tabs>
          <w:tab w:leader="none" w:pos="1618" w:val="left"/>
        </w:tabs>
        <w:numPr>
          <w:ilvl w:val="1"/>
          <w:numId w:val="75"/>
        </w:numPr>
        <w:rPr>
          <w:rFonts w:ascii="Arial" w:cs="Arial" w:eastAsia="Arial" w:hAnsi="Arial"/>
          <w:sz w:val="22"/>
          <w:szCs w:val="22"/>
          <w:color w:val="auto"/>
        </w:rPr>
      </w:pPr>
      <w:r>
        <w:rPr>
          <w:rFonts w:ascii="Arial" w:cs="Arial" w:eastAsia="Arial" w:hAnsi="Arial"/>
          <w:sz w:val="22"/>
          <w:szCs w:val="22"/>
          <w:color w:val="auto"/>
        </w:rPr>
        <w:t>by surrender of the Option as to all or part of the shares of Stock for which the Option is then exercisable in exchange for shares of Stock having an aggregate Market Value equal to the difference between (1) the aggregate Market Value of the surrendered portion of the Option, and (2) the aggregate exercise price under the Option for the surrendered portion of the Option, or</w:t>
      </w:r>
    </w:p>
    <w:p>
      <w:pPr>
        <w:spacing w:after="0" w:line="66" w:lineRule="exact"/>
        <w:rPr>
          <w:rFonts w:ascii="Arial" w:cs="Arial" w:eastAsia="Arial" w:hAnsi="Arial"/>
          <w:sz w:val="22"/>
          <w:szCs w:val="22"/>
          <w:color w:val="auto"/>
        </w:rPr>
      </w:pPr>
    </w:p>
    <w:p>
      <w:pPr>
        <w:ind w:left="1300" w:right="120" w:firstLine="4"/>
        <w:spacing w:after="0" w:line="253" w:lineRule="auto"/>
        <w:tabs>
          <w:tab w:leader="none" w:pos="1678" w:val="left"/>
        </w:tabs>
        <w:numPr>
          <w:ilvl w:val="1"/>
          <w:numId w:val="75"/>
        </w:numPr>
        <w:rPr>
          <w:rFonts w:ascii="Arial" w:cs="Arial" w:eastAsia="Arial" w:hAnsi="Arial"/>
          <w:sz w:val="22"/>
          <w:szCs w:val="22"/>
          <w:color w:val="auto"/>
        </w:rPr>
      </w:pPr>
      <w:r>
        <w:rPr>
          <w:rFonts w:ascii="Arial" w:cs="Arial" w:eastAsia="Arial" w:hAnsi="Arial"/>
          <w:sz w:val="22"/>
          <w:szCs w:val="22"/>
          <w:color w:val="auto"/>
        </w:rPr>
        <w:t>unless prohibited by applicable law, by delivery to the Company of the Optionee's executed promissory note in the principal amount equal to the exercise price of the shares of Stock to be purchased and otherwise in such form as the Committee shall have approved, or</w:t>
      </w:r>
    </w:p>
    <w:p>
      <w:pPr>
        <w:spacing w:after="0" w:line="63" w:lineRule="exact"/>
        <w:rPr>
          <w:rFonts w:ascii="Arial" w:cs="Arial" w:eastAsia="Arial" w:hAnsi="Arial"/>
          <w:sz w:val="22"/>
          <w:szCs w:val="22"/>
          <w:color w:val="auto"/>
        </w:rPr>
      </w:pPr>
    </w:p>
    <w:p>
      <w:pPr>
        <w:ind w:left="1680" w:hanging="376"/>
        <w:spacing w:after="0"/>
        <w:tabs>
          <w:tab w:leader="none" w:pos="16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by delivery of any other lawful means of consideration which the Committee may approve.</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agent a certificate or certificates or book-entry authorization and instruction to the Company's transfer agent and registrar for the number of shares then being purchased. Such shares of Stock shall be fully paid and nonassessable. In its reasonable discretion, the Committee may suspend or halt Option exercises for such length of time as the Committee deems reasonably necessary under circumstances in which such suspension or halt is considered to be in the best interests of the Company.</w:t>
      </w:r>
    </w:p>
    <w:p>
      <w:pPr>
        <w:spacing w:after="0" w:line="35"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Stock Appreciation Rights</w:t>
      </w:r>
      <w:r>
        <w:rPr>
          <w:rFonts w:ascii="Arial" w:cs="Arial" w:eastAsia="Arial" w:hAnsi="Arial"/>
          <w:sz w:val="19"/>
          <w:szCs w:val="19"/>
          <w:color w:val="auto"/>
        </w:rPr>
        <w:t>.</w:t>
      </w:r>
    </w:p>
    <w:p>
      <w:pPr>
        <w:sectPr>
          <w:pgSz w:w="11900" w:h="16838" w:orient="portrait"/>
          <w:cols w:equalWidth="0" w:num="1">
            <w:col w:w="11160"/>
          </w:cols>
          <w:pgMar w:left="320" w:top="1440" w:right="419" w:bottom="1440" w:gutter="0" w:footer="0" w:header="0"/>
        </w:sectPr>
      </w:pPr>
    </w:p>
    <w:bookmarkStart w:id="82" w:name="page83"/>
    <w:bookmarkEnd w:id="82"/>
    <w:p>
      <w:pPr>
        <w:spacing w:after="0" w:line="83" w:lineRule="exact"/>
        <w:rPr>
          <w:sz w:val="20"/>
          <w:szCs w:val="20"/>
          <w:color w:val="auto"/>
        </w:rPr>
      </w:pPr>
    </w:p>
    <w:p>
      <w:pPr>
        <w:jc w:val="both"/>
        <w:ind w:left="380" w:right="380" w:firstLine="266"/>
        <w:spacing w:after="0" w:line="250" w:lineRule="auto"/>
        <w:tabs>
          <w:tab w:leader="none" w:pos="110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Tandem or Stand-Alone</w:t>
      </w:r>
      <w:r>
        <w:rPr>
          <w:rFonts w:ascii="Arial" w:cs="Arial" w:eastAsia="Arial" w:hAnsi="Arial"/>
          <w:sz w:val="22"/>
          <w:szCs w:val="22"/>
          <w:color w:val="auto"/>
        </w:rPr>
        <w:t>. Stock Appreciation Rights may be granted in tandem with an Option (at or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w:t>
      </w:r>
    </w:p>
    <w:p>
      <w:pPr>
        <w:spacing w:after="0" w:line="52" w:lineRule="exact"/>
        <w:rPr>
          <w:rFonts w:ascii="Arial" w:cs="Arial" w:eastAsia="Arial" w:hAnsi="Arial"/>
          <w:sz w:val="22"/>
          <w:szCs w:val="22"/>
          <w:color w:val="auto"/>
        </w:rPr>
      </w:pPr>
    </w:p>
    <w:p>
      <w:pPr>
        <w:ind w:left="380" w:right="160" w:firstLine="266"/>
        <w:spacing w:after="0" w:line="253" w:lineRule="auto"/>
        <w:tabs>
          <w:tab w:leader="none" w:pos="111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Stock Appreciation Rights shall have an exercise price of not less than the Market Value of the Stock on the date of award, or in the case of Stock Appreciation Rights in tandem with Options, the exercise price of the related Option.</w:t>
      </w:r>
    </w:p>
    <w:p>
      <w:pPr>
        <w:spacing w:after="0" w:line="63" w:lineRule="exact"/>
        <w:rPr>
          <w:rFonts w:ascii="Arial" w:cs="Arial" w:eastAsia="Arial" w:hAnsi="Arial"/>
          <w:sz w:val="22"/>
          <w:szCs w:val="22"/>
          <w:color w:val="auto"/>
        </w:rPr>
      </w:pPr>
    </w:p>
    <w:p>
      <w:pPr>
        <w:ind w:left="380" w:right="40" w:firstLine="266"/>
        <w:spacing w:after="0" w:line="246" w:lineRule="auto"/>
        <w:tabs>
          <w:tab w:leader="none" w:pos="110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Other Terms</w:t>
      </w:r>
      <w:r>
        <w:rPr>
          <w:rFonts w:ascii="Arial" w:cs="Arial" w:eastAsia="Arial" w:hAnsi="Arial"/>
          <w:sz w:val="22"/>
          <w:szCs w:val="22"/>
          <w:color w:val="auto"/>
        </w:rPr>
        <w:t>. Except as the Committee may deem inappropriate or inapplicable in the circumstances, Stock Appreciation Rights shall be subject to terms and conditions substantially similar to those applicable to an Option. In addition, a Stock Appreciation Right related to an Option which can only be exercised during limited periods following a Corporate Transaction may entitle the Participant to receive an amount based upon the highest price paid or offered for Stock in any transaction relating to the Corporate Transaction or paid during the 30-day period immediately preceding the occurrence of the Corporate Transaction in any transaction reported in the stock market in which the Stock is normally traded.</w:t>
      </w:r>
    </w:p>
    <w:p>
      <w:pPr>
        <w:spacing w:after="0" w:line="75"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Restricted Stock</w:t>
      </w:r>
      <w:r>
        <w:rPr>
          <w:rFonts w:ascii="Arial" w:cs="Arial" w:eastAsia="Arial" w:hAnsi="Arial"/>
          <w:sz w:val="19"/>
          <w:szCs w:val="19"/>
          <w:color w:val="auto"/>
        </w:rPr>
        <w:t>.</w:t>
      </w:r>
    </w:p>
    <w:p>
      <w:pPr>
        <w:spacing w:after="0" w:line="85" w:lineRule="exact"/>
        <w:rPr>
          <w:sz w:val="20"/>
          <w:szCs w:val="20"/>
          <w:color w:val="auto"/>
        </w:rPr>
      </w:pPr>
    </w:p>
    <w:p>
      <w:pPr>
        <w:ind w:left="380" w:right="320" w:firstLine="266"/>
        <w:spacing w:after="0" w:line="263" w:lineRule="auto"/>
        <w:tabs>
          <w:tab w:leader="none" w:pos="110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Shares of Restricted Stock shall be issued under the Plan for such consideration, in cash, other property or services, or any combination thereof, as is determined by the Committee.</w:t>
      </w:r>
    </w:p>
    <w:p>
      <w:pPr>
        <w:spacing w:after="0" w:line="53" w:lineRule="exact"/>
        <w:rPr>
          <w:rFonts w:ascii="Arial" w:cs="Arial" w:eastAsia="Arial" w:hAnsi="Arial"/>
          <w:sz w:val="22"/>
          <w:szCs w:val="22"/>
          <w:color w:val="auto"/>
        </w:rPr>
      </w:pPr>
    </w:p>
    <w:p>
      <w:pPr>
        <w:ind w:left="380" w:right="80" w:firstLine="266"/>
        <w:spacing w:after="0" w:line="294" w:lineRule="auto"/>
        <w:tabs>
          <w:tab w:leader="none" w:pos="111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Issuance of Certificates</w:t>
      </w:r>
      <w:r>
        <w:rPr>
          <w:rFonts w:ascii="Arial" w:cs="Arial" w:eastAsia="Arial" w:hAnsi="Arial"/>
          <w:sz w:val="19"/>
          <w:szCs w:val="19"/>
          <w:color w:val="auto"/>
        </w:rPr>
        <w:t>. Each Participant receiving a Restricted Stock Award, subject to subsection (c) below, shall be issued a stock certificate in respect of such shares of Restricted Stock, or if issued in uncertificated form, shall be registered in the name of the Participant on the books of the Company's transfer agent and registrar. Such certificate or uncertificated shares shall be registered in the name of such Participant, and, if applicable, the certificate or the books of the Company's transfer agent and registrar shall bear an appropriate legend referring to the terms, conditions, and restrictions applicable to such Award substantially in the following form:</w:t>
      </w:r>
    </w:p>
    <w:p>
      <w:pPr>
        <w:spacing w:after="0" w:line="28" w:lineRule="exact"/>
        <w:rPr>
          <w:sz w:val="20"/>
          <w:szCs w:val="20"/>
          <w:color w:val="auto"/>
        </w:rPr>
      </w:pPr>
    </w:p>
    <w:p>
      <w:pPr>
        <w:jc w:val="both"/>
        <w:ind w:left="1680" w:right="160"/>
        <w:spacing w:after="0" w:line="265" w:lineRule="auto"/>
        <w:rPr>
          <w:sz w:val="20"/>
          <w:szCs w:val="20"/>
          <w:color w:val="auto"/>
        </w:rPr>
      </w:pPr>
      <w:r>
        <w:rPr>
          <w:rFonts w:ascii="Arial" w:cs="Arial" w:eastAsia="Arial" w:hAnsi="Arial"/>
          <w:sz w:val="21"/>
          <w:szCs w:val="21"/>
          <w:color w:val="auto"/>
        </w:rPr>
        <w:t>The shares evidenced by this certificate are subject to the terms and conditions of the 8x8, Inc. 2013 New Employee Inducement Incentive Plan and an Award Agreement entered into by the registered owner and 8x8, Inc., copies of which will be furnished by the Company to the holder of the shares evidenced by this certificate upon written request and without charge.</w:t>
      </w:r>
    </w:p>
    <w:p>
      <w:pPr>
        <w:spacing w:after="0" w:line="40" w:lineRule="exact"/>
        <w:rPr>
          <w:sz w:val="20"/>
          <w:szCs w:val="20"/>
          <w:color w:val="auto"/>
        </w:rPr>
      </w:pPr>
    </w:p>
    <w:p>
      <w:pPr>
        <w:ind w:left="380" w:firstLine="266"/>
        <w:spacing w:after="0" w:line="250" w:lineRule="auto"/>
        <w:tabs>
          <w:tab w:leader="none" w:pos="110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Escrow of Shares</w:t>
      </w:r>
      <w:r>
        <w:rPr>
          <w:rFonts w:ascii="Arial" w:cs="Arial" w:eastAsia="Arial" w:hAnsi="Arial"/>
          <w:sz w:val="22"/>
          <w:szCs w:val="22"/>
          <w:color w:val="auto"/>
        </w:rPr>
        <w:t>.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66" w:lineRule="exact"/>
        <w:rPr>
          <w:rFonts w:ascii="Arial" w:cs="Arial" w:eastAsia="Arial" w:hAnsi="Arial"/>
          <w:sz w:val="22"/>
          <w:szCs w:val="22"/>
          <w:color w:val="auto"/>
        </w:rPr>
      </w:pPr>
    </w:p>
    <w:p>
      <w:pPr>
        <w:ind w:left="380" w:right="180" w:firstLine="266"/>
        <w:spacing w:after="0" w:line="263" w:lineRule="auto"/>
        <w:tabs>
          <w:tab w:leader="none" w:pos="111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Restrictions and Restriction Period</w:t>
      </w:r>
      <w:r>
        <w:rPr>
          <w:rFonts w:ascii="Arial" w:cs="Arial" w:eastAsia="Arial" w:hAnsi="Arial"/>
          <w:sz w:val="22"/>
          <w:szCs w:val="22"/>
          <w:color w:val="auto"/>
        </w:rPr>
        <w:t>. During the Restriction Period applicable to shares of Restricted Stock, such shares shall be subject to limitations on transferability</w:t>
      </w:r>
    </w:p>
    <w:p>
      <w:pPr>
        <w:sectPr>
          <w:pgSz w:w="11900" w:h="16838" w:orient="portrait"/>
          <w:cols w:equalWidth="0" w:num="1">
            <w:col w:w="10940"/>
          </w:cols>
          <w:pgMar w:left="600" w:top="1440" w:right="359" w:bottom="1440" w:gutter="0" w:footer="0" w:header="0"/>
        </w:sectPr>
      </w:pPr>
    </w:p>
    <w:bookmarkStart w:id="83" w:name="page84"/>
    <w:bookmarkEnd w:id="83"/>
    <w:p>
      <w:pPr>
        <w:spacing w:after="0" w:line="83" w:lineRule="exact"/>
        <w:rPr>
          <w:sz w:val="20"/>
          <w:szCs w:val="20"/>
          <w:color w:val="auto"/>
        </w:rPr>
      </w:pPr>
    </w:p>
    <w:p>
      <w:pPr>
        <w:ind w:left="380" w:right="120"/>
        <w:spacing w:after="0" w:line="250" w:lineRule="auto"/>
        <w:rPr>
          <w:sz w:val="20"/>
          <w:szCs w:val="20"/>
          <w:color w:val="auto"/>
        </w:rPr>
      </w:pPr>
      <w:r>
        <w:rPr>
          <w:rFonts w:ascii="Arial" w:cs="Arial" w:eastAsia="Arial" w:hAnsi="Arial"/>
          <w:sz w:val="22"/>
          <w:szCs w:val="22"/>
          <w:color w:val="auto"/>
        </w:rPr>
        <w:t>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53" w:lineRule="exact"/>
        <w:rPr>
          <w:sz w:val="20"/>
          <w:szCs w:val="20"/>
          <w:color w:val="auto"/>
        </w:rPr>
      </w:pPr>
    </w:p>
    <w:p>
      <w:pPr>
        <w:ind w:left="380" w:right="80" w:firstLine="266"/>
        <w:spacing w:after="0" w:line="289" w:lineRule="auto"/>
        <w:tabs>
          <w:tab w:leader="none" w:pos="110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Rights Pending Lapse of Risk of Forfeiture or Forfeiture of Award</w:t>
      </w:r>
      <w:r>
        <w:rPr>
          <w:rFonts w:ascii="Arial" w:cs="Arial" w:eastAsia="Arial" w:hAnsi="Arial"/>
          <w:sz w:val="19"/>
          <w:szCs w:val="19"/>
          <w:color w:val="auto"/>
        </w:rPr>
        <w:t>.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(but any dividends or other distributions payable in shares of Stock or other securities of the Company shall constitute additional Restricted Stock, subject to the same Risk of Forfeiture as the shares of Restricted Stock in respect of which such shares of Stock or other securities are paid). The Committee, as determined at the time of Award, may permit or require the payment of cash dividends to be deferred and, if the Committee so determines, reinvested in additional Restricted Stock to the extent shares of Stock are available under Section 3.1.</w:t>
      </w:r>
    </w:p>
    <w:p>
      <w:pPr>
        <w:spacing w:after="0" w:line="35" w:lineRule="exact"/>
        <w:rPr>
          <w:rFonts w:ascii="Arial" w:cs="Arial" w:eastAsia="Arial" w:hAnsi="Arial"/>
          <w:sz w:val="19"/>
          <w:szCs w:val="19"/>
          <w:color w:val="auto"/>
        </w:rPr>
      </w:pPr>
    </w:p>
    <w:p>
      <w:pPr>
        <w:ind w:left="380" w:firstLine="266"/>
        <w:spacing w:after="0" w:line="287" w:lineRule="auto"/>
        <w:tabs>
          <w:tab w:leader="none" w:pos="1082"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Lapse of Restrictions</w:t>
      </w:r>
      <w:r>
        <w:rPr>
          <w:rFonts w:ascii="Arial" w:cs="Arial" w:eastAsia="Arial" w:hAnsi="Arial"/>
          <w:sz w:val="21"/>
          <w:szCs w:val="21"/>
          <w:color w:val="auto"/>
        </w:rPr>
        <w:t>. If and when the Restriction Period expires without a prior forfeiture of the Restricted Stock, the certificates for such shares shall be delivered to the Participant promptly if not theretofore so delivered.</w:t>
      </w:r>
    </w:p>
    <w:p>
      <w:pPr>
        <w:spacing w:after="0" w:line="30"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Restricted Stock Units</w:t>
      </w:r>
      <w:r>
        <w:rPr>
          <w:rFonts w:ascii="Arial" w:cs="Arial" w:eastAsia="Arial" w:hAnsi="Arial"/>
          <w:sz w:val="19"/>
          <w:szCs w:val="19"/>
          <w:color w:val="auto"/>
        </w:rPr>
        <w:t>.</w:t>
      </w:r>
    </w:p>
    <w:p>
      <w:pPr>
        <w:spacing w:after="0" w:line="85" w:lineRule="exact"/>
        <w:rPr>
          <w:sz w:val="20"/>
          <w:szCs w:val="20"/>
          <w:color w:val="auto"/>
        </w:rPr>
      </w:pPr>
    </w:p>
    <w:p>
      <w:pPr>
        <w:ind w:left="380" w:right="140" w:firstLine="266"/>
        <w:spacing w:after="0" w:line="297" w:lineRule="auto"/>
        <w:tabs>
          <w:tab w:leader="none" w:pos="110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Character</w:t>
      </w:r>
      <w:r>
        <w:rPr>
          <w:rFonts w:ascii="Arial" w:cs="Arial" w:eastAsia="Arial" w:hAnsi="Arial"/>
          <w:sz w:val="19"/>
          <w:szCs w:val="19"/>
          <w:color w:val="auto"/>
        </w:rPr>
        <w:t>. Each Restricted Stock Unit shall entitle the recipient to a share of Stock at a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25" w:lineRule="exact"/>
        <w:rPr>
          <w:rFonts w:ascii="Arial" w:cs="Arial" w:eastAsia="Arial" w:hAnsi="Arial"/>
          <w:sz w:val="19"/>
          <w:szCs w:val="19"/>
          <w:color w:val="auto"/>
        </w:rPr>
      </w:pPr>
    </w:p>
    <w:p>
      <w:pPr>
        <w:ind w:left="380" w:right="120" w:firstLine="266"/>
        <w:spacing w:after="0" w:line="260" w:lineRule="auto"/>
        <w:tabs>
          <w:tab w:leader="none" w:pos="1118"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shall be made in a single lump sum following the close of the applicable Restriction Period unless the applicable Award Agreement provides for a later settlement date in compliance with Section 409A of the Code. At the discretion of the Committee, Participants may be entitled to receive payments equivalent to any dividends declared with respect to Stock referenced in grants of Restricted Stock Units but only following the close of the applicable Restriction Period and then only if the underlying Stock shall have been earned. Unless the Committee shall provide otherwise, any such dividend equivalents shall be paid, if at all, without interest or other earnings.</w:t>
      </w:r>
    </w:p>
    <w:p>
      <w:pPr>
        <w:spacing w:after="0" w:line="5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Performance Units</w:t>
      </w:r>
      <w:r>
        <w:rPr>
          <w:rFonts w:ascii="Arial" w:cs="Arial" w:eastAsia="Arial" w:hAnsi="Arial"/>
          <w:sz w:val="19"/>
          <w:szCs w:val="19"/>
          <w:color w:val="auto"/>
        </w:rPr>
        <w:t>.</w:t>
      </w:r>
    </w:p>
    <w:p>
      <w:pPr>
        <w:spacing w:after="0" w:line="85" w:lineRule="exact"/>
        <w:rPr>
          <w:sz w:val="20"/>
          <w:szCs w:val="20"/>
          <w:color w:val="auto"/>
        </w:rPr>
      </w:pPr>
    </w:p>
    <w:p>
      <w:pPr>
        <w:jc w:val="both"/>
        <w:ind w:left="380" w:right="40" w:firstLine="266"/>
        <w:spacing w:after="0" w:line="253" w:lineRule="auto"/>
        <w:tabs>
          <w:tab w:leader="none" w:pos="110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Character</w:t>
      </w:r>
      <w:r>
        <w:rPr>
          <w:rFonts w:ascii="Arial" w:cs="Arial" w:eastAsia="Arial" w:hAnsi="Arial"/>
          <w:sz w:val="22"/>
          <w:szCs w:val="22"/>
          <w:color w:val="auto"/>
        </w:rPr>
        <w:t>. Each Performance Unit shall entitle the recipient to the value of a specified number of shares of Stock, over the initial value for such number of shares, if any, established by the Committee at the time of grant, at the close of a specified</w:t>
      </w:r>
    </w:p>
    <w:p>
      <w:pPr>
        <w:sectPr>
          <w:pgSz w:w="11900" w:h="16838" w:orient="portrait"/>
          <w:cols w:equalWidth="0" w:num="1">
            <w:col w:w="10960"/>
          </w:cols>
          <w:pgMar w:left="600" w:top="1440" w:right="339" w:bottom="1440" w:gutter="0" w:footer="0" w:header="0"/>
        </w:sectPr>
      </w:pPr>
    </w:p>
    <w:bookmarkStart w:id="84" w:name="page85"/>
    <w:bookmarkEnd w:id="84"/>
    <w:p>
      <w:pPr>
        <w:spacing w:after="0" w:line="83" w:lineRule="exact"/>
        <w:rPr>
          <w:sz w:val="20"/>
          <w:szCs w:val="20"/>
          <w:color w:val="auto"/>
        </w:rPr>
      </w:pPr>
    </w:p>
    <w:p>
      <w:pPr>
        <w:ind w:left="660" w:right="340"/>
        <w:spacing w:after="0" w:line="263" w:lineRule="auto"/>
        <w:rPr>
          <w:sz w:val="20"/>
          <w:szCs w:val="20"/>
          <w:color w:val="auto"/>
        </w:rPr>
      </w:pPr>
      <w:r>
        <w:rPr>
          <w:rFonts w:ascii="Arial" w:cs="Arial" w:eastAsia="Arial" w:hAnsi="Arial"/>
          <w:sz w:val="22"/>
          <w:szCs w:val="22"/>
          <w:color w:val="auto"/>
        </w:rPr>
        <w:t>Performance Period to the extent specified business objectives, including, but not limited to, Performance Goals, shall have been achieved.</w:t>
      </w:r>
    </w:p>
    <w:p>
      <w:pPr>
        <w:spacing w:after="0" w:line="40" w:lineRule="exact"/>
        <w:rPr>
          <w:sz w:val="20"/>
          <w:szCs w:val="20"/>
          <w:color w:val="auto"/>
        </w:rPr>
      </w:pPr>
    </w:p>
    <w:p>
      <w:pPr>
        <w:ind w:left="660" w:firstLine="266"/>
        <w:spacing w:after="0" w:line="294" w:lineRule="auto"/>
        <w:tabs>
          <w:tab w:leader="none" w:pos="139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Earning of Performance Units</w:t>
      </w:r>
      <w:r>
        <w:rPr>
          <w:rFonts w:ascii="Arial" w:cs="Arial" w:eastAsia="Arial" w:hAnsi="Arial"/>
          <w:sz w:val="19"/>
          <w:szCs w:val="19"/>
          <w:color w:val="auto"/>
        </w:rPr>
        <w:t>. The Committee shall set Performance Goals or other business objectives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or other business objectives have been achieved.</w:t>
      </w:r>
    </w:p>
    <w:p>
      <w:pPr>
        <w:spacing w:after="0" w:line="27" w:lineRule="exact"/>
        <w:rPr>
          <w:rFonts w:ascii="Arial" w:cs="Arial" w:eastAsia="Arial" w:hAnsi="Arial"/>
          <w:sz w:val="19"/>
          <w:szCs w:val="19"/>
          <w:color w:val="auto"/>
        </w:rPr>
      </w:pPr>
    </w:p>
    <w:p>
      <w:pPr>
        <w:ind w:left="660" w:firstLine="266"/>
        <w:spacing w:after="0" w:line="290" w:lineRule="auto"/>
        <w:tabs>
          <w:tab w:leader="none" w:pos="138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Form and Timing of Payment</w:t>
      </w:r>
      <w:r>
        <w:rPr>
          <w:rFonts w:ascii="Arial" w:cs="Arial" w:eastAsia="Arial" w:hAnsi="Arial"/>
          <w:sz w:val="19"/>
          <w:szCs w:val="19"/>
          <w:color w:val="auto"/>
        </w:rPr>
        <w:t>. Payment of earned Performance Units shall be made in a single lump sum following the close of the applicable Performance Period. At the discretion of the Committee, Participants may be entitled to receive any dividends declared with respect to Stock which have been earned in connection with grants of Performance Units which have been earned, but not yet distributed to Participants. Subject to compliance with Section 409A of the Code,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 deferral election is required or permitted, the Committee shall establish rules and procedures for such payment deferrals.</w:t>
      </w:r>
    </w:p>
    <w:p>
      <w:pPr>
        <w:spacing w:after="0" w:line="34" w:lineRule="exact"/>
        <w:rPr>
          <w:sz w:val="20"/>
          <w:szCs w:val="20"/>
          <w:color w:val="auto"/>
        </w:rPr>
      </w:pPr>
    </w:p>
    <w:p>
      <w:pPr>
        <w:ind w:right="320" w:firstLine="270"/>
        <w:spacing w:after="0" w:line="271"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Stock Grants</w:t>
      </w:r>
      <w:r>
        <w:rPr>
          <w:rFonts w:ascii="Arial" w:cs="Arial" w:eastAsia="Arial" w:hAnsi="Arial"/>
          <w:sz w:val="21"/>
          <w:szCs w:val="21"/>
          <w:color w:val="auto"/>
        </w:rPr>
        <w:t>. Stock Grants shall be awarded solely in recognition of expected contributions to the success of the Company or its Affiliates, as an inducement to employment, and in such other limited circumstances as the Committee deems appropriate. Stock Grants shall be made without forfeiture conditions of any kind.</w:t>
      </w:r>
    </w:p>
    <w:p>
      <w:pPr>
        <w:spacing w:after="0" w:line="32" w:lineRule="exact"/>
        <w:rPr>
          <w:sz w:val="20"/>
          <w:szCs w:val="20"/>
          <w:color w:val="auto"/>
        </w:rPr>
      </w:pPr>
    </w:p>
    <w:p>
      <w:pPr>
        <w:ind w:firstLine="270"/>
        <w:spacing w:after="0" w:line="289"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Awards to Participants Outside the United States</w:t>
      </w:r>
      <w:r>
        <w:rPr>
          <w:rFonts w:ascii="Arial" w:cs="Arial" w:eastAsia="Arial" w:hAnsi="Arial"/>
          <w:sz w:val="19"/>
          <w:szCs w:val="19"/>
          <w:color w:val="auto"/>
        </w:rPr>
        <w:t>. The Committee may modify the terms of any Award under the Plan, granted to a Participant 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administrating any such modified Award. No such modification, supplement, amendment, restatement or alternative version may increase the share limit of Section 3.1.</w:t>
      </w:r>
    </w:p>
    <w:p>
      <w:pPr>
        <w:spacing w:after="0" w:line="29"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Provisions</w:t>
      </w:r>
    </w:p>
    <w:p>
      <w:pPr>
        <w:spacing w:after="0" w:line="104" w:lineRule="exact"/>
        <w:rPr>
          <w:sz w:val="20"/>
          <w:szCs w:val="20"/>
          <w:color w:val="auto"/>
        </w:rPr>
      </w:pPr>
    </w:p>
    <w:p>
      <w:pPr>
        <w:ind w:right="360" w:firstLine="270"/>
        <w:spacing w:after="0" w:line="25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Adjustment for Corporate Actions</w:t>
      </w:r>
      <w:r>
        <w:rPr>
          <w:rFonts w:ascii="Arial" w:cs="Arial" w:eastAsia="Arial" w:hAnsi="Arial"/>
          <w:sz w:val="22"/>
          <w:szCs w:val="22"/>
          <w:color w:val="auto"/>
        </w:rPr>
        <w:t>. All of the share numbers set forth in the Plan reflect the capital structure of the Company as of the Effective Date. If subsequent to the Effective Date the outstanding shares of Stock (or any other securities covered by the Plan by reason of the prior application of this Section) are increased, decreased, or exchanged for a different number or kind</w:t>
      </w:r>
    </w:p>
    <w:p>
      <w:pPr>
        <w:sectPr>
          <w:pgSz w:w="11900" w:h="16838" w:orient="portrait"/>
          <w:cols w:equalWidth="0" w:num="1">
            <w:col w:w="11200"/>
          </w:cols>
          <w:pgMar w:left="320" w:top="1440" w:right="379" w:bottom="1440" w:gutter="0" w:footer="0" w:header="0"/>
        </w:sectPr>
      </w:pPr>
    </w:p>
    <w:bookmarkStart w:id="85" w:name="page86"/>
    <w:bookmarkEnd w:id="85"/>
    <w:p>
      <w:pPr>
        <w:spacing w:after="0" w:line="83"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of shares or other securities, or if additional shares or new or different shares or other securities are distributed with respect to shares of Stock, as a result of a reorganization, recapitalization, reclassification, stock dividend, stock split, reverse stock split, or other similar distribution with respect to such shares of Stock, an appropriate and proportionate adjustment will be made in (i) the maximum numbers and kinds of shares provided in Section 3.1, (ii) the numbers and kinds of shares or other securities subject to the then outstanding Awards, (iii) the exercise price for each share or other unit of any other securities subject to then outstanding Stock Rights (without change in the aggregate exercise price as to which such Rights remain exercisable), and (iv) the repurchase price of each share of Restricted Stock then subject to a Risk of Forfeiture in the form of a Company repurchase right.</w:t>
      </w:r>
    </w:p>
    <w:p>
      <w:pPr>
        <w:spacing w:after="0" w:line="16" w:lineRule="exact"/>
        <w:rPr>
          <w:sz w:val="20"/>
          <w:szCs w:val="20"/>
          <w:color w:val="auto"/>
        </w:rPr>
      </w:pPr>
    </w:p>
    <w:p>
      <w:pPr>
        <w:ind w:right="120" w:firstLine="270"/>
        <w:spacing w:after="0" w:line="289"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Adjustment of Awards Upon the Occurrence of Certain Unusual or Nonrecurring Events</w:t>
      </w:r>
      <w:r>
        <w:rPr>
          <w:rFonts w:ascii="Arial" w:cs="Arial" w:eastAsia="Arial" w:hAnsi="Arial"/>
          <w:sz w:val="19"/>
          <w:szCs w:val="19"/>
          <w:color w:val="auto"/>
        </w:rPr>
        <w:t>. In the event of any corporate action not specifically covered by the preceding Section, including, but not limited to, an extraordinary cash distribution on Stock, a corporate separation or other reorganization or liquidation, the Committee may make such adjustment of outstanding Awards and their terms, if any, as it, in its sole discretion, may deem equitable and appropriate in the circumstances. The Committee also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35" w:lineRule="exact"/>
        <w:rPr>
          <w:sz w:val="20"/>
          <w:szCs w:val="20"/>
          <w:color w:val="auto"/>
        </w:rPr>
      </w:pPr>
    </w:p>
    <w:p>
      <w:pPr>
        <w:ind w:firstLine="270"/>
        <w:spacing w:after="0" w:line="288"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Related Matters</w:t>
      </w:r>
      <w:r>
        <w:rPr>
          <w:rFonts w:ascii="Arial" w:cs="Arial" w:eastAsia="Arial" w:hAnsi="Arial"/>
          <w:sz w:val="19"/>
          <w:szCs w:val="19"/>
          <w:color w:val="auto"/>
        </w:rPr>
        <w:t>. Any adjustment in Awards made pursuant to Section 7.1 or 7.2 shall be determined and made, if at all, by the Committee, acting in its sole discretion, and shall include any correlative modification of terms, including of Stock Right exercise prices, rates of vesting or exercisability, Risks of Forfeiture, applicable repurchase prices for Restricted Stock, and Performance Goals and other business objectives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7. The Committee, in its discretion, may determine that no fraction of a share of Stock shall be purchasable or deliverable upon exercise, and in that event if any adjustment hereunder of the number of shares of Stock covered by an Award would cause such number to include a fraction of a share of Stock, such number of shares of Stock shall be adjusted to the nearest smaller whole number of shares. No adjustment of an Option exercise price per share pursuant to Sections 7.1 or 7.2 shall result in an exercise price which is less than the par value of the Stock.</w:t>
      </w:r>
    </w:p>
    <w:p>
      <w:pPr>
        <w:spacing w:after="0" w:line="38"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Corporate Transactions</w:t>
      </w:r>
      <w:r>
        <w:rPr>
          <w:rFonts w:ascii="Arial" w:cs="Arial" w:eastAsia="Arial" w:hAnsi="Arial"/>
          <w:sz w:val="19"/>
          <w:szCs w:val="19"/>
          <w:color w:val="auto"/>
        </w:rPr>
        <w:t>.</w:t>
      </w:r>
    </w:p>
    <w:p>
      <w:pPr>
        <w:spacing w:after="0" w:line="85" w:lineRule="exact"/>
        <w:rPr>
          <w:sz w:val="20"/>
          <w:szCs w:val="20"/>
          <w:color w:val="auto"/>
        </w:rPr>
      </w:pPr>
    </w:p>
    <w:p>
      <w:pPr>
        <w:ind w:left="660" w:right="420" w:firstLine="266"/>
        <w:spacing w:after="0" w:line="253" w:lineRule="auto"/>
        <w:tabs>
          <w:tab w:leader="none" w:pos="138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Treatment of Awards in a Corporate Transaction</w:t>
      </w:r>
      <w:r>
        <w:rPr>
          <w:rFonts w:ascii="Arial" w:cs="Arial" w:eastAsia="Arial" w:hAnsi="Arial"/>
          <w:sz w:val="22"/>
          <w:szCs w:val="22"/>
          <w:color w:val="auto"/>
        </w:rPr>
        <w:t>. In a Corporate Transaction, the Committee, in its sole and absolute discretion, may take any one or more of the following actions as to all or any (or any portion of) outstanding Awards.</w:t>
      </w:r>
    </w:p>
    <w:p>
      <w:pPr>
        <w:spacing w:after="0" w:line="63" w:lineRule="exact"/>
        <w:rPr>
          <w:rFonts w:ascii="Arial" w:cs="Arial" w:eastAsia="Arial" w:hAnsi="Arial"/>
          <w:sz w:val="22"/>
          <w:szCs w:val="22"/>
          <w:color w:val="auto"/>
        </w:rPr>
      </w:pPr>
    </w:p>
    <w:p>
      <w:pPr>
        <w:ind w:left="1300" w:right="120" w:firstLine="274"/>
        <w:spacing w:after="0" w:line="253" w:lineRule="auto"/>
        <w:tabs>
          <w:tab w:leader="none" w:pos="199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Assumption and Substitution</w:t>
      </w:r>
      <w:r>
        <w:rPr>
          <w:rFonts w:ascii="Arial" w:cs="Arial" w:eastAsia="Arial" w:hAnsi="Arial"/>
          <w:sz w:val="22"/>
          <w:szCs w:val="22"/>
          <w:color w:val="auto"/>
        </w:rPr>
        <w:t>. Provide that such Awards shall be assumed, or substantially equivalent rights shall be provided in substitution therefor, by the acquiring or succeeding entity (or an affiliate thereof), and that any repurchase or</w:t>
      </w:r>
    </w:p>
    <w:p>
      <w:pPr>
        <w:sectPr>
          <w:pgSz w:w="11900" w:h="16838" w:orient="portrait"/>
          <w:cols w:equalWidth="0" w:num="1">
            <w:col w:w="11220"/>
          </w:cols>
          <w:pgMar w:left="320" w:top="1440" w:right="359" w:bottom="1440" w:gutter="0" w:footer="0" w:header="0"/>
        </w:sectPr>
      </w:pPr>
    </w:p>
    <w:bookmarkStart w:id="86" w:name="page87"/>
    <w:bookmarkEnd w:id="86"/>
    <w:p>
      <w:pPr>
        <w:spacing w:after="0" w:line="83" w:lineRule="exact"/>
        <w:rPr>
          <w:sz w:val="20"/>
          <w:szCs w:val="20"/>
          <w:color w:val="auto"/>
        </w:rPr>
      </w:pPr>
    </w:p>
    <w:p>
      <w:pPr>
        <w:ind w:left="180" w:right="480"/>
        <w:spacing w:after="0" w:line="263" w:lineRule="auto"/>
        <w:rPr>
          <w:sz w:val="20"/>
          <w:szCs w:val="20"/>
          <w:color w:val="auto"/>
        </w:rPr>
      </w:pPr>
      <w:r>
        <w:rPr>
          <w:rFonts w:ascii="Arial" w:cs="Arial" w:eastAsia="Arial" w:hAnsi="Arial"/>
          <w:sz w:val="22"/>
          <w:szCs w:val="22"/>
          <w:color w:val="auto"/>
        </w:rPr>
        <w:t>other rights of the Company under each such Award shall inure to the benefit of such acquiring or succeeding entity (or affiliate thereof).</w:t>
      </w:r>
    </w:p>
    <w:p>
      <w:pPr>
        <w:spacing w:after="0" w:line="40" w:lineRule="exact"/>
        <w:rPr>
          <w:sz w:val="20"/>
          <w:szCs w:val="20"/>
          <w:color w:val="auto"/>
        </w:rPr>
      </w:pPr>
    </w:p>
    <w:p>
      <w:pPr>
        <w:ind w:left="940" w:hanging="486"/>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Termination, Forfeiture and Reacquisition</w:t>
      </w:r>
      <w:r>
        <w:rPr>
          <w:rFonts w:ascii="Arial" w:cs="Arial" w:eastAsia="Arial" w:hAnsi="Arial"/>
          <w:sz w:val="22"/>
          <w:szCs w:val="22"/>
          <w:color w:val="auto"/>
        </w:rPr>
        <w:t>. Upon written notice to the holders, provide that:</w:t>
      </w:r>
    </w:p>
    <w:p>
      <w:pPr>
        <w:spacing w:after="0" w:line="98" w:lineRule="exact"/>
        <w:rPr>
          <w:rFonts w:ascii="Arial" w:cs="Arial" w:eastAsia="Arial" w:hAnsi="Arial"/>
          <w:sz w:val="22"/>
          <w:szCs w:val="22"/>
          <w:color w:val="auto"/>
        </w:rPr>
      </w:pPr>
    </w:p>
    <w:p>
      <w:pPr>
        <w:jc w:val="both"/>
        <w:ind w:left="840" w:right="60" w:hanging="8"/>
        <w:spacing w:after="0" w:line="312" w:lineRule="auto"/>
        <w:tabs>
          <w:tab w:leader="none" w:pos="1194"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any unexercised Stock Rights shall terminate immediately prior to the consummation of the Corporate Transaction unless exercised within a specified period following the date of such notice and that any Stock Rights not then exercisable will expire automatically upon consummation of the Corporate Transaction;</w:t>
      </w:r>
    </w:p>
    <w:p>
      <w:pPr>
        <w:spacing w:after="0" w:line="11" w:lineRule="exact"/>
        <w:rPr>
          <w:rFonts w:ascii="Arial" w:cs="Arial" w:eastAsia="Arial" w:hAnsi="Arial"/>
          <w:sz w:val="19"/>
          <w:szCs w:val="19"/>
          <w:color w:val="auto"/>
        </w:rPr>
      </w:pPr>
    </w:p>
    <w:p>
      <w:pPr>
        <w:ind w:left="840" w:right="180" w:hanging="8"/>
        <w:spacing w:after="0" w:line="326" w:lineRule="auto"/>
        <w:tabs>
          <w:tab w:leader="none" w:pos="1182"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any Restricted Stock Units shall terminate and be forfeited immediately prior to the consummation of the Corporate Transaction to the extent they are then subject to a Risk of Forfeiture; and/or</w:t>
      </w:r>
    </w:p>
    <w:p>
      <w:pPr>
        <w:ind w:left="840" w:right="180" w:hanging="8"/>
        <w:spacing w:after="0" w:line="253" w:lineRule="auto"/>
        <w:tabs>
          <w:tab w:leader="none" w:pos="1182"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shares of Restricted Stock shall automatically be reacquired by the Corporation upon consummation of the Corporate Transaction at a price per share equal to the lesser of the Market Value of the Restricted Stock and the purchase price paid by the Participant.</w:t>
      </w:r>
    </w:p>
    <w:p>
      <w:pPr>
        <w:spacing w:after="0" w:line="63" w:lineRule="exact"/>
        <w:rPr>
          <w:rFonts w:ascii="Arial" w:cs="Arial" w:eastAsia="Arial" w:hAnsi="Arial"/>
          <w:sz w:val="22"/>
          <w:szCs w:val="22"/>
          <w:color w:val="auto"/>
        </w:rPr>
      </w:pPr>
    </w:p>
    <w:p>
      <w:pPr>
        <w:ind w:left="1000" w:hanging="546"/>
        <w:spacing w:after="0"/>
        <w:tabs>
          <w:tab w:leader="none" w:pos="10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Acceleration of Vesting</w:t>
      </w:r>
      <w:r>
        <w:rPr>
          <w:rFonts w:ascii="Arial" w:cs="Arial" w:eastAsia="Arial" w:hAnsi="Arial"/>
          <w:sz w:val="22"/>
          <w:szCs w:val="22"/>
          <w:color w:val="auto"/>
        </w:rPr>
        <w:t>. Provide that:</w:t>
      </w:r>
    </w:p>
    <w:p>
      <w:pPr>
        <w:spacing w:after="0" w:line="98" w:lineRule="exact"/>
        <w:rPr>
          <w:rFonts w:ascii="Arial" w:cs="Arial" w:eastAsia="Arial" w:hAnsi="Arial"/>
          <w:sz w:val="22"/>
          <w:szCs w:val="22"/>
          <w:color w:val="auto"/>
        </w:rPr>
      </w:pPr>
    </w:p>
    <w:p>
      <w:pPr>
        <w:ind w:left="840" w:right="100" w:hanging="8"/>
        <w:spacing w:after="0" w:line="253" w:lineRule="auto"/>
        <w:tabs>
          <w:tab w:leader="none" w:pos="1194"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and all Stock Rights not already exercisable in full shall Accelerate with respect to all or a portion of the shares for which such Stock Rights are not then exercisable prior to or upon the consummation of the Corporate Transaction; and/or</w:t>
      </w:r>
    </w:p>
    <w:p>
      <w:pPr>
        <w:spacing w:after="0" w:line="50" w:lineRule="exact"/>
        <w:rPr>
          <w:rFonts w:ascii="Arial" w:cs="Arial" w:eastAsia="Arial" w:hAnsi="Arial"/>
          <w:sz w:val="22"/>
          <w:szCs w:val="22"/>
          <w:color w:val="auto"/>
        </w:rPr>
      </w:pPr>
    </w:p>
    <w:p>
      <w:pPr>
        <w:ind w:left="840" w:right="100" w:hanging="8"/>
        <w:spacing w:after="0" w:line="250" w:lineRule="auto"/>
        <w:tabs>
          <w:tab w:leader="none" w:pos="1182"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Risk of Forfeiture applicable to Restricted Stock and Restricted Stock Units which is not based on achievement of Performance Goals or other business objectives shall lapse upon consummation of the Corporate Transaction with respect to all or a portion of the Restricted Stock and Restricted Stock Units then subject to such Risk of Forfeiture.</w:t>
      </w:r>
    </w:p>
    <w:p>
      <w:pPr>
        <w:spacing w:after="0" w:line="66" w:lineRule="exact"/>
        <w:rPr>
          <w:rFonts w:ascii="Arial" w:cs="Arial" w:eastAsia="Arial" w:hAnsi="Arial"/>
          <w:sz w:val="22"/>
          <w:szCs w:val="22"/>
          <w:color w:val="auto"/>
        </w:rPr>
      </w:pPr>
    </w:p>
    <w:p>
      <w:pPr>
        <w:ind w:left="180" w:right="40" w:firstLine="274"/>
        <w:spacing w:after="0" w:line="290" w:lineRule="auto"/>
        <w:tabs>
          <w:tab w:leader="none" w:pos="97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Achievement of Performance Goals</w:t>
      </w:r>
      <w:r>
        <w:rPr>
          <w:rFonts w:ascii="Arial" w:cs="Arial" w:eastAsia="Arial" w:hAnsi="Arial"/>
          <w:sz w:val="19"/>
          <w:szCs w:val="19"/>
          <w:color w:val="auto"/>
        </w:rPr>
        <w:t>. Provide that all outstanding Awards of Restricted Stock and Restricted Stock Units conditioned on the achievement of Performance Goals or other business objectives and the target payout opportunities attainable under outstanding Performance Units shall be deemed to have been satisfied as of the effective date of the Corporate Transaction as to (i) none of, (ii) all of or (iii) a pro rata number of shares based on the assumed achievement of all relevant Performance Goals or other business objectives and the length of time within the Restriction Period or Performance Period which has elapsed prior to the Corporate Transaction. All such Awards of Performance Units and Restricted Stock Units shall be paid to the extent earned to Participants in accordance with their terms within 30 days following the effective date of the Corporate Transaction.</w:t>
      </w:r>
    </w:p>
    <w:p>
      <w:pPr>
        <w:spacing w:after="0" w:line="34" w:lineRule="exact"/>
        <w:rPr>
          <w:rFonts w:ascii="Arial" w:cs="Arial" w:eastAsia="Arial" w:hAnsi="Arial"/>
          <w:sz w:val="19"/>
          <w:szCs w:val="19"/>
          <w:color w:val="auto"/>
        </w:rPr>
      </w:pPr>
    </w:p>
    <w:p>
      <w:pPr>
        <w:ind w:left="180" w:firstLine="274"/>
        <w:spacing w:after="0" w:line="312" w:lineRule="auto"/>
        <w:tabs>
          <w:tab w:leader="none" w:pos="91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Cash Payments to Holders of Stock Rights</w:t>
      </w:r>
      <w:r>
        <w:rPr>
          <w:rFonts w:ascii="Arial" w:cs="Arial" w:eastAsia="Arial" w:hAnsi="Arial"/>
          <w:sz w:val="19"/>
          <w:szCs w:val="19"/>
          <w:color w:val="auto"/>
        </w:rPr>
        <w:t>. Provide for cash payments, net of applicable tax withholdings, to be made to holders of Stock Rights equal to the excess, if any, of (A) the acquisition price times the number of shares of Stock subject to a Stock Right (to the extent the exercise price does not exceed the</w:t>
      </w:r>
    </w:p>
    <w:p>
      <w:pPr>
        <w:sectPr>
          <w:pgSz w:w="11900" w:h="16838" w:orient="portrait"/>
          <w:cols w:equalWidth="0" w:num="1">
            <w:col w:w="10120"/>
          </w:cols>
          <w:pgMar w:left="1440" w:top="1440" w:right="339" w:bottom="1440" w:gutter="0" w:footer="0" w:header="0"/>
        </w:sectPr>
      </w:pPr>
    </w:p>
    <w:bookmarkStart w:id="87" w:name="page88"/>
    <w:bookmarkEnd w:id="87"/>
    <w:p>
      <w:pPr>
        <w:spacing w:after="0" w:line="83" w:lineRule="exact"/>
        <w:rPr>
          <w:sz w:val="20"/>
          <w:szCs w:val="20"/>
          <w:color w:val="auto"/>
        </w:rPr>
      </w:pPr>
    </w:p>
    <w:p>
      <w:pPr>
        <w:ind w:left="644" w:right="20"/>
        <w:spacing w:after="0" w:line="247" w:lineRule="auto"/>
        <w:rPr>
          <w:sz w:val="20"/>
          <w:szCs w:val="20"/>
          <w:color w:val="auto"/>
        </w:rPr>
      </w:pPr>
      <w:r>
        <w:rPr>
          <w:rFonts w:ascii="Arial" w:cs="Arial" w:eastAsia="Arial" w:hAnsi="Arial"/>
          <w:sz w:val="22"/>
          <w:szCs w:val="22"/>
          <w:color w:val="auto"/>
        </w:rPr>
        <w:t>acquisition price) over (B) the aggregate exercise price for all such shares of Stock subject to the Stock Right, in exchange for the termination of such Stock Right; provided, that if the acquisition price does not exceed the exercise price of any such Stock Right, the Committee may cancel that Stock Right without the payment of any consideration therefor prior to or upon the Corporate Transaction. For this purpose, "acquisition price" means the amount of cash, and market value of any other consideration, received in payment for a share of Stock surrendered in a Corporate Transaction.</w:t>
      </w:r>
    </w:p>
    <w:p>
      <w:pPr>
        <w:spacing w:after="0" w:line="58" w:lineRule="exact"/>
        <w:rPr>
          <w:sz w:val="20"/>
          <w:szCs w:val="20"/>
          <w:color w:val="auto"/>
        </w:rPr>
      </w:pPr>
    </w:p>
    <w:p>
      <w:pPr>
        <w:ind w:left="1444" w:hanging="526"/>
        <w:spacing w:after="0"/>
        <w:tabs>
          <w:tab w:leader="none" w:pos="1444"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Conversion of Stock Rights Upon Liquidation or Dissolution</w:t>
      </w:r>
      <w:r>
        <w:rPr>
          <w:rFonts w:ascii="Arial" w:cs="Arial" w:eastAsia="Arial" w:hAnsi="Arial"/>
          <w:sz w:val="22"/>
          <w:szCs w:val="22"/>
          <w:color w:val="auto"/>
        </w:rPr>
        <w:t>. Provide that, in connection with a</w:t>
      </w:r>
    </w:p>
    <w:p>
      <w:pPr>
        <w:spacing w:after="0" w:line="21" w:lineRule="exact"/>
        <w:rPr>
          <w:rFonts w:ascii="Arial" w:cs="Arial" w:eastAsia="Arial" w:hAnsi="Arial"/>
          <w:sz w:val="22"/>
          <w:szCs w:val="22"/>
          <w:color w:val="auto"/>
        </w:rPr>
      </w:pPr>
    </w:p>
    <w:p>
      <w:pPr>
        <w:ind w:left="644" w:right="60"/>
        <w:spacing w:after="0" w:line="246" w:lineRule="auto"/>
        <w:rPr>
          <w:rFonts w:ascii="Arial" w:cs="Arial" w:eastAsia="Arial" w:hAnsi="Arial"/>
          <w:sz w:val="22"/>
          <w:szCs w:val="22"/>
          <w:color w:val="auto"/>
        </w:rPr>
      </w:pPr>
      <w:r>
        <w:rPr>
          <w:rFonts w:ascii="Arial" w:cs="Arial" w:eastAsia="Arial" w:hAnsi="Arial"/>
          <w:sz w:val="22"/>
          <w:szCs w:val="22"/>
          <w:color w:val="auto"/>
        </w:rPr>
        <w:t>liquidation or dissolution of the Company, Stock Rights shall convert into the right to receive liquidation proceeds net of the exercise price thereof and any applicable tax withholdings.</w:t>
      </w:r>
    </w:p>
    <w:p>
      <w:pPr>
        <w:spacing w:after="0" w:line="70" w:lineRule="exact"/>
        <w:rPr>
          <w:rFonts w:ascii="Arial" w:cs="Arial" w:eastAsia="Arial" w:hAnsi="Arial"/>
          <w:sz w:val="22"/>
          <w:szCs w:val="22"/>
          <w:color w:val="auto"/>
        </w:rPr>
      </w:pPr>
    </w:p>
    <w:p>
      <w:pPr>
        <w:ind w:left="1084" w:hanging="436"/>
        <w:spacing w:after="0"/>
        <w:tabs>
          <w:tab w:leader="none" w:pos="1084"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combination of the foregoing.</w:t>
      </w:r>
    </w:p>
    <w:p>
      <w:pPr>
        <w:spacing w:after="0" w:line="98" w:lineRule="exact"/>
        <w:rPr>
          <w:sz w:val="20"/>
          <w:szCs w:val="20"/>
          <w:color w:val="auto"/>
        </w:rPr>
      </w:pPr>
    </w:p>
    <w:p>
      <w:pPr>
        <w:ind w:left="644"/>
        <w:spacing w:after="0" w:line="250" w:lineRule="auto"/>
        <w:rPr>
          <w:sz w:val="20"/>
          <w:szCs w:val="20"/>
          <w:color w:val="auto"/>
        </w:rPr>
      </w:pPr>
      <w:r>
        <w:rPr>
          <w:rFonts w:ascii="Arial" w:cs="Arial" w:eastAsia="Arial" w:hAnsi="Arial"/>
          <w:sz w:val="22"/>
          <w:szCs w:val="22"/>
          <w:color w:val="auto"/>
        </w:rPr>
        <w:t>None of the foregoing shall apply, however, (i) in the case of any Award pursuant to an Award Agreement requiring other or additional terms upon a Corporate Transaction (or similar event), or (ii) if specifically prohibited under applicable laws, or by the rules and regulations of any governing governmental agencies or national securities exchanges on which the Stock is listed.</w:t>
      </w:r>
    </w:p>
    <w:p>
      <w:pPr>
        <w:spacing w:after="0" w:line="53" w:lineRule="exact"/>
        <w:rPr>
          <w:sz w:val="20"/>
          <w:szCs w:val="20"/>
          <w:color w:val="auto"/>
        </w:rPr>
      </w:pPr>
    </w:p>
    <w:p>
      <w:pPr>
        <w:ind w:left="4" w:right="60" w:hanging="4"/>
        <w:spacing w:after="0" w:line="286" w:lineRule="auto"/>
        <w:tabs>
          <w:tab w:leader="none" w:pos="31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Assumption and Substitution of Awards</w:t>
      </w:r>
      <w:r>
        <w:rPr>
          <w:rFonts w:ascii="Arial" w:cs="Arial" w:eastAsia="Arial" w:hAnsi="Arial"/>
          <w:sz w:val="19"/>
          <w:szCs w:val="19"/>
          <w:color w:val="auto"/>
        </w:rPr>
        <w:t>. For purposes of Section 7.4(a)(i) above, an Award shall be considered assumed, or a substantially equivalent award shall be considered to have been provided in substitution therefor, if following consummation of the Corporate Transaction the Award is assumed and/or exchanged or replaced with another award issued by the acquiring or succeeding entity (or an affiliate thereof) that confers the right to purchase or receive the value of, for each share of Stock subject to the Award immediately prior to the consummation of the Corporate Transaction, the consideration (whether cash, securities or other property) received as a result of the Corporate Transaction by holders of Stock for each share of Stock held immediately prior to the consummation of the Corporate Transaction (and if holders were offered a choice of consideration, the type of consideration chosen by the holders of a majority of the outstanding shares of Stock); provided, however, that if the consideration received as a result of the Corporate Transaction is not solely common stock (or its equivalent) of the acquiring or succeeding entity (or an affiliate thereof), the Committee may provide for the consideration to be received upon the exercise of Award to consist of or be based on solely common stock (or its equivalent) of the acquiring or succeeding entity (or an affiliate thereof) equivalent in value to the per share consideration received by holders of outstanding shares of Stock as a result of the Corporate Transaction.</w:t>
      </w:r>
    </w:p>
    <w:p>
      <w:pPr>
        <w:spacing w:after="0" w:line="300" w:lineRule="exact"/>
        <w:rPr>
          <w:rFonts w:ascii="Arial" w:cs="Arial" w:eastAsia="Arial" w:hAnsi="Arial"/>
          <w:sz w:val="19"/>
          <w:szCs w:val="19"/>
          <w:color w:val="auto"/>
        </w:rPr>
      </w:pPr>
    </w:p>
    <w:p>
      <w:pPr>
        <w:ind w:left="4" w:right="20" w:hanging="4"/>
        <w:spacing w:after="0" w:line="247" w:lineRule="auto"/>
        <w:tabs>
          <w:tab w:leader="none" w:pos="29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Related Matters</w:t>
      </w:r>
      <w:r>
        <w:rPr>
          <w:rFonts w:ascii="Arial" w:cs="Arial" w:eastAsia="Arial" w:hAnsi="Arial"/>
          <w:sz w:val="22"/>
          <w:szCs w:val="22"/>
          <w:color w:val="auto"/>
        </w:rPr>
        <w:t>. In taking any of the actions permitted under this Section 7.4, the Committee shall not be obligated to treat all Awards, all Awards held by a Participant, or all Awards of the same type, identically. Any determinations required to carry out the foregoing provisions of this Section 7.4, including, but not limited to, the market value of other consideration received by holders of Stock in a Corporate Transaction and whether substantially equivalent awards have been substituted, shall be made by the Committee acting in its sole and absolute discretion. In connection with any action or actions taken</w:t>
      </w:r>
    </w:p>
    <w:p>
      <w:pPr>
        <w:sectPr>
          <w:pgSz w:w="11900" w:h="16838" w:orient="portrait"/>
          <w:cols w:equalWidth="0" w:num="1">
            <w:col w:w="10584"/>
          </w:cols>
          <w:pgMar w:left="976" w:top="1440" w:right="339" w:bottom="1440" w:gutter="0" w:footer="0" w:header="0"/>
        </w:sectPr>
      </w:pPr>
    </w:p>
    <w:bookmarkStart w:id="88" w:name="page89"/>
    <w:bookmarkEnd w:id="88"/>
    <w:p>
      <w:pPr>
        <w:spacing w:after="0" w:line="83" w:lineRule="exact"/>
        <w:rPr>
          <w:sz w:val="20"/>
          <w:szCs w:val="20"/>
          <w:color w:val="auto"/>
        </w:rPr>
      </w:pPr>
    </w:p>
    <w:p>
      <w:pPr>
        <w:ind w:left="660" w:right="1020"/>
        <w:spacing w:after="0" w:line="287" w:lineRule="auto"/>
        <w:rPr>
          <w:sz w:val="20"/>
          <w:szCs w:val="20"/>
          <w:color w:val="auto"/>
        </w:rPr>
      </w:pPr>
      <w:r>
        <w:rPr>
          <w:rFonts w:ascii="Arial" w:cs="Arial" w:eastAsia="Arial" w:hAnsi="Arial"/>
          <w:sz w:val="21"/>
          <w:szCs w:val="21"/>
          <w:color w:val="auto"/>
        </w:rPr>
        <w:t>by the Committee in respect of Awards and in connection with a Transaction, the Committee may require such acknowledgements of satisfaction and releases from Participants as it may determine.</w:t>
      </w:r>
    </w:p>
    <w:p>
      <w:pPr>
        <w:spacing w:after="0" w:line="10"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Awards</w:t>
      </w:r>
    </w:p>
    <w:p>
      <w:pPr>
        <w:spacing w:after="0" w:line="104" w:lineRule="exact"/>
        <w:rPr>
          <w:sz w:val="20"/>
          <w:szCs w:val="20"/>
          <w:color w:val="auto"/>
        </w:rPr>
      </w:pPr>
    </w:p>
    <w:p>
      <w:pPr>
        <w:ind w:right="180" w:firstLine="270"/>
        <w:spacing w:after="0" w:line="248"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In General</w:t>
      </w:r>
      <w:r>
        <w:rPr>
          <w:rFonts w:ascii="Arial" w:cs="Arial" w:eastAsia="Arial" w:hAnsi="Arial"/>
          <w:sz w:val="22"/>
          <w:szCs w:val="22"/>
          <w:color w:val="auto"/>
        </w:rPr>
        <w:t>. Awards of Restricted Stock shall be settled in accordance with their terms. All other Awards may be settled in cash, Stock, or other Awards, or a combination thereof, as determined by the Committee at or after grant and subject to any contrary Award Agreement. The Committee may not require settlement of any Award in Stock pursuant to the immediately preceding sentence to the extent issuance of such Stock would be prohibited or unreasonably delayed by reason of any other provision of the Plan.</w:t>
      </w:r>
    </w:p>
    <w:p>
      <w:pPr>
        <w:spacing w:after="0" w:line="70" w:lineRule="exact"/>
        <w:rPr>
          <w:sz w:val="20"/>
          <w:szCs w:val="20"/>
          <w:color w:val="auto"/>
        </w:rPr>
      </w:pPr>
    </w:p>
    <w:p>
      <w:pPr>
        <w:ind w:right="180" w:firstLine="270"/>
        <w:spacing w:after="0" w:line="29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Violation of Law</w:t>
      </w:r>
      <w:r>
        <w:rPr>
          <w:rFonts w:ascii="Arial" w:cs="Arial" w:eastAsia="Arial" w:hAnsi="Arial"/>
          <w:sz w:val="19"/>
          <w:szCs w:val="19"/>
          <w:color w:val="auto"/>
        </w:rPr>
        <w:t>. Notwithstanding any other provision of the Plan or the relevant Award Agreement, if, at any time, in the reasonable opinion of the Company, the issuance of shares of Stock covered by an Award may constitute a violation of law, then the Company may delay such issuance and the delivery of a certificate for such shares until (i) approval shall have been obtained from such governmental agencies, other than the Securities and Exchange Commission, as may be required under any applicable law, rule, or regulation and (ii) in the case where such issuance would constitute a violation of a law administered by or a regulation of the Securities and Exchange Commission, one of the following conditions shall have been satisfied:</w:t>
      </w:r>
    </w:p>
    <w:p>
      <w:pPr>
        <w:spacing w:after="0" w:line="14" w:lineRule="exact"/>
        <w:rPr>
          <w:sz w:val="20"/>
          <w:szCs w:val="20"/>
          <w:color w:val="auto"/>
        </w:rPr>
      </w:pPr>
    </w:p>
    <w:p>
      <w:pPr>
        <w:ind w:left="940" w:hanging="284"/>
        <w:spacing w:after="0"/>
        <w:tabs>
          <w:tab w:leader="none" w:pos="9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shares are at the time of the issue of such shares effectively registered under the Securities Act; or</w:t>
      </w:r>
    </w:p>
    <w:p>
      <w:pPr>
        <w:spacing w:after="0" w:line="98" w:lineRule="exact"/>
        <w:rPr>
          <w:rFonts w:ascii="Arial" w:cs="Arial" w:eastAsia="Arial" w:hAnsi="Arial"/>
          <w:sz w:val="22"/>
          <w:szCs w:val="22"/>
          <w:color w:val="auto"/>
        </w:rPr>
      </w:pPr>
    </w:p>
    <w:p>
      <w:pPr>
        <w:ind w:left="660" w:right="80" w:hanging="4"/>
        <w:spacing w:after="0" w:line="250" w:lineRule="auto"/>
        <w:tabs>
          <w:tab w:leader="none" w:pos="96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shall have determined, on such basis as it deems appropriate (including an opinion of counsel in form and substance satisfactory to the Company) that the sale, transfer, assignment, pledge, encumbrance or other disposition of such shares or such beneficial interest, as the case may be, does not require registration under the Securities Act or any applicable State securities laws.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make all reasonable efforts to bring about the occurrence of said events</w:t>
      </w:r>
    </w:p>
    <w:p>
      <w:pPr>
        <w:spacing w:after="0" w:line="85" w:lineRule="exact"/>
        <w:rPr>
          <w:sz w:val="20"/>
          <w:szCs w:val="20"/>
          <w:color w:val="auto"/>
        </w:rPr>
      </w:pPr>
    </w:p>
    <w:p>
      <w:pPr>
        <w:ind w:right="160" w:firstLine="270"/>
        <w:spacing w:after="0" w:line="29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Corporate Restrictions on Rights in Stock</w:t>
      </w:r>
      <w:r>
        <w:rPr>
          <w:rFonts w:ascii="Arial" w:cs="Arial" w:eastAsia="Arial" w:hAnsi="Arial"/>
          <w:sz w:val="19"/>
          <w:szCs w:val="19"/>
          <w:color w:val="auto"/>
        </w:rPr>
        <w:t>. Any Stock to be issued pursuant to Awards granted under the Plan shall be subject to all restrictions upon the transfer thereof which may be now or hereafter imposed by the charter, certificate or articles, or by laws, of the Company. Whenever Stock is to be issued pursuant to an Award, if the Committee so directs at or after grant, the Company shall be under no obligation to issue such shares until such time, if ever, as the recipient of the Award (and any person who exercises any Option, in whole or in part), shall have become a party to and bound by the Stockholders' Agreement, if any. In the event of any conflict between the provisions of this Plan and the provisions of the Stockholders' Agreement, the provisions of the Stockholders' Agreement shall control, but insofar as possible the provisions of the Plan and such Agreement shall be construed so as to give full force and effect to all such provisions.</w:t>
      </w:r>
    </w:p>
    <w:p>
      <w:pPr>
        <w:spacing w:after="0" w:line="34" w:lineRule="exact"/>
        <w:rPr>
          <w:sz w:val="20"/>
          <w:szCs w:val="20"/>
          <w:color w:val="auto"/>
        </w:rPr>
      </w:pPr>
    </w:p>
    <w:p>
      <w:pPr>
        <w:ind w:firstLine="270"/>
        <w:spacing w:after="0" w:line="302"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Investment Representations</w:t>
      </w:r>
      <w:r>
        <w:rPr>
          <w:rFonts w:ascii="Arial" w:cs="Arial" w:eastAsia="Arial" w:hAnsi="Arial"/>
          <w:sz w:val="19"/>
          <w:szCs w:val="19"/>
          <w:color w:val="auto"/>
        </w:rPr>
        <w:t>.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w:t>
      </w:r>
    </w:p>
    <w:p>
      <w:pPr>
        <w:sectPr>
          <w:pgSz w:w="11900" w:h="16838" w:orient="portrait"/>
          <w:cols w:equalWidth="0" w:num="1">
            <w:col w:w="11220"/>
          </w:cols>
          <w:pgMar w:left="320" w:top="1440" w:right="359" w:bottom="1440" w:gutter="0" w:footer="0" w:header="0"/>
        </w:sectPr>
      </w:pPr>
    </w:p>
    <w:bookmarkStart w:id="89" w:name="page90"/>
    <w:bookmarkEnd w:id="89"/>
    <w:p>
      <w:pPr>
        <w:spacing w:after="0" w:line="83" w:lineRule="exact"/>
        <w:rPr>
          <w:sz w:val="20"/>
          <w:szCs w:val="20"/>
          <w:color w:val="auto"/>
        </w:rPr>
      </w:pPr>
    </w:p>
    <w:p>
      <w:pPr>
        <w:jc w:val="both"/>
        <w:ind w:right="200"/>
        <w:spacing w:after="0" w:line="250" w:lineRule="auto"/>
        <w:rPr>
          <w:sz w:val="20"/>
          <w:szCs w:val="20"/>
          <w:color w:val="auto"/>
        </w:rPr>
      </w:pPr>
      <w:r>
        <w:rPr>
          <w:rFonts w:ascii="Arial" w:cs="Arial" w:eastAsia="Arial" w:hAnsi="Arial"/>
          <w:sz w:val="22"/>
          <w:szCs w:val="22"/>
          <w:color w:val="auto"/>
        </w:rPr>
        <w:t>that the issuance of such shares will be exempt from the registration requirements of the Securities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53" w:lineRule="exact"/>
        <w:rPr>
          <w:sz w:val="20"/>
          <w:szCs w:val="20"/>
          <w:color w:val="auto"/>
        </w:rPr>
      </w:pPr>
    </w:p>
    <w:p>
      <w:pPr>
        <w:ind w:firstLine="270"/>
        <w:spacing w:after="0" w:line="284"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Registration</w:t>
      </w:r>
      <w:r>
        <w:rPr>
          <w:rFonts w:ascii="Arial" w:cs="Arial" w:eastAsia="Arial" w:hAnsi="Arial"/>
          <w:sz w:val="19"/>
          <w:szCs w:val="19"/>
          <w:color w:val="auto"/>
        </w:rPr>
        <w:t>.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period not to exceed 180 days commencing on the effective date of the registration statement relating to the underwritten public offering of securities. Without limiting the generality of the foregoing provisions of this Section 8.5,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52" w:lineRule="exact"/>
        <w:rPr>
          <w:sz w:val="20"/>
          <w:szCs w:val="20"/>
          <w:color w:val="auto"/>
        </w:rPr>
      </w:pPr>
    </w:p>
    <w:p>
      <w:pPr>
        <w:ind w:right="40" w:firstLine="270"/>
        <w:spacing w:after="0" w:line="290"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Placement of Legends; Stop Orders; etc</w:t>
      </w:r>
      <w:r>
        <w:rPr>
          <w:rFonts w:ascii="Arial" w:cs="Arial" w:eastAsia="Arial" w:hAnsi="Arial"/>
          <w:sz w:val="19"/>
          <w:szCs w:val="19"/>
          <w:color w:val="auto"/>
        </w:rPr>
        <w:t>. Each share of Stock to be issued pursuant to Awards granted under the Plan may bear a reference to the investment representations made in accordance with Section 8.4 in addition to any other applicable restrictions under the Plan, the terms of the Award and, if applicable, to the fact that no registration statement has been filed with the Securities and Exchange Commission in respect to such shares of Stock. All certificates for shares of Stock or other securities delivered under the Plan shall be subject to such stop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such certificates to make appropriate reference to such restrictions.</w:t>
      </w:r>
    </w:p>
    <w:p>
      <w:pPr>
        <w:sectPr>
          <w:pgSz w:w="11900" w:h="16838" w:orient="portrait"/>
          <w:cols w:equalWidth="0" w:num="1">
            <w:col w:w="11240"/>
          </w:cols>
          <w:pgMar w:left="320" w:top="1440" w:right="339" w:bottom="1440" w:gutter="0" w:footer="0" w:header="0"/>
        </w:sectPr>
      </w:pPr>
    </w:p>
    <w:bookmarkStart w:id="90" w:name="page91"/>
    <w:bookmarkEnd w:id="90"/>
    <w:p>
      <w:pPr>
        <w:spacing w:after="0" w:line="83"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Tax Withholding</w:t>
      </w:r>
      <w:r>
        <w:rPr>
          <w:rFonts w:ascii="Arial" w:cs="Arial" w:eastAsia="Arial" w:hAnsi="Arial"/>
          <w:sz w:val="19"/>
          <w:szCs w:val="19"/>
          <w:color w:val="auto"/>
        </w:rPr>
        <w:t>. Whenever shares of Stock are issued or to be issued pursuant to Awards granted under the Plan, the Company shall have the right to require the recipient to remit to the Company an amount sufficient to satisfy federal, state, local or other withholding tax requirements if, when, and to the extent required by law (whether so required to secure for the Company an otherwise available tax deduction or otherwise)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recipient of an Award. However, in such cases Participants may elect, subject to the approval of the Committee, acting in its sole discretion, to satisfy an applicable withholding requirement, in whole or in part, by having the Company withhold shares to satisfy their tax obligations. Participants may only elect to have shares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w:t>
      </w:r>
    </w:p>
    <w:p>
      <w:pPr>
        <w:spacing w:after="0" w:line="285" w:lineRule="exact"/>
        <w:rPr>
          <w:sz w:val="20"/>
          <w:szCs w:val="20"/>
          <w:color w:val="auto"/>
        </w:rPr>
      </w:pPr>
    </w:p>
    <w:p>
      <w:pPr>
        <w:ind w:right="60" w:firstLine="270"/>
        <w:spacing w:after="0" w:line="260"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Company Charter and By-Laws; Other Company Policies</w:t>
      </w:r>
      <w:r>
        <w:rPr>
          <w:rFonts w:ascii="Arial" w:cs="Arial" w:eastAsia="Arial" w:hAnsi="Arial"/>
          <w:sz w:val="21"/>
          <w:szCs w:val="21"/>
          <w:color w:val="auto"/>
        </w:rPr>
        <w:t>. This Plan and all Awards granted under the Plan (including the exercise, settlement or exchange of an Award) are 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w:t>
      </w:r>
    </w:p>
    <w:p>
      <w:pPr>
        <w:spacing w:after="0" w:line="53"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Reservation of Stock</w:t>
      </w:r>
    </w:p>
    <w:p>
      <w:pPr>
        <w:spacing w:after="0" w:line="104" w:lineRule="exact"/>
        <w:rPr>
          <w:sz w:val="20"/>
          <w:szCs w:val="20"/>
          <w:color w:val="auto"/>
        </w:rPr>
      </w:pPr>
    </w:p>
    <w:p>
      <w:pPr>
        <w:jc w:val="both"/>
        <w:ind w:right="220"/>
        <w:spacing w:after="0" w:line="309" w:lineRule="auto"/>
        <w:rPr>
          <w:sz w:val="20"/>
          <w:szCs w:val="20"/>
          <w:color w:val="auto"/>
        </w:rPr>
      </w:pPr>
      <w:r>
        <w:rPr>
          <w:rFonts w:ascii="Arial" w:cs="Arial" w:eastAsia="Arial" w:hAnsi="Arial"/>
          <w:sz w:val="19"/>
          <w:szCs w:val="19"/>
          <w:color w:val="auto"/>
        </w:rPr>
        <w:t>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Rights in Stock; No Special Service Rights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A Participant shall not be deemed for any purpose to be a stockholder of the Company with respect to any of the shares of Stock subject to an Award, unless and until a certificate shall have been issued therefor and delivered to the Participant or his agent, or if uncertificated shares are to be issued, until such shares have been registered in the name of the Participant on the books of the transfer agent and registrar of the Stock.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 laws to the contrary, at any time to terminate such</w:t>
      </w:r>
    </w:p>
    <w:p>
      <w:pPr>
        <w:sectPr>
          <w:pgSz w:w="11900" w:h="16838" w:orient="portrait"/>
          <w:cols w:equalWidth="0" w:num="1">
            <w:col w:w="11220"/>
          </w:cols>
          <w:pgMar w:left="320" w:top="1440" w:right="359" w:bottom="1440" w:gutter="0" w:footer="0" w:header="0"/>
        </w:sectPr>
      </w:pPr>
    </w:p>
    <w:bookmarkStart w:id="91" w:name="page92"/>
    <w:bookmarkEnd w:id="91"/>
    <w:p>
      <w:pPr>
        <w:spacing w:after="0" w:line="83" w:lineRule="exact"/>
        <w:rPr>
          <w:sz w:val="20"/>
          <w:szCs w:val="20"/>
          <w:color w:val="auto"/>
        </w:rPr>
      </w:pPr>
    </w:p>
    <w:p>
      <w:pPr>
        <w:ind w:right="720"/>
        <w:spacing w:after="0" w:line="263" w:lineRule="auto"/>
        <w:rPr>
          <w:sz w:val="20"/>
          <w:szCs w:val="20"/>
          <w:color w:val="auto"/>
        </w:rPr>
      </w:pPr>
      <w:r>
        <w:rPr>
          <w:rFonts w:ascii="Arial" w:cs="Arial" w:eastAsia="Arial" w:hAnsi="Arial"/>
          <w:sz w:val="22"/>
          <w:szCs w:val="22"/>
          <w:color w:val="auto"/>
        </w:rPr>
        <w:t>employment or consulting agreement or to increase or decrease, or otherwise adjust, the other terms and conditions of the recipient's employment or other association with the Company and its Affiliates.</w:t>
      </w:r>
    </w:p>
    <w:p>
      <w:pPr>
        <w:spacing w:after="0" w:line="34" w:lineRule="exact"/>
        <w:rPr>
          <w:sz w:val="20"/>
          <w:szCs w:val="20"/>
          <w:color w:val="auto"/>
        </w:rPr>
      </w:pPr>
    </w:p>
    <w:p>
      <w:pPr>
        <w:ind w:left="480" w:hanging="472"/>
        <w:spacing w:after="0"/>
        <w:tabs>
          <w:tab w:leader="none" w:pos="48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Unfunded Status of Plan</w:t>
      </w:r>
    </w:p>
    <w:p>
      <w:pPr>
        <w:spacing w:after="0" w:line="104"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w:t>
      </w:r>
    </w:p>
    <w:p>
      <w:pPr>
        <w:spacing w:after="0" w:line="53"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Nonexclusivity of the Plan</w:t>
      </w:r>
    </w:p>
    <w:p>
      <w:pPr>
        <w:spacing w:after="0" w:line="91"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48" w:lineRule="exact"/>
        <w:rPr>
          <w:sz w:val="20"/>
          <w:szCs w:val="20"/>
          <w:color w:val="auto"/>
        </w:rPr>
      </w:pPr>
    </w:p>
    <w:p>
      <w:pPr>
        <w:ind w:left="500" w:hanging="492"/>
        <w:spacing w:after="0"/>
        <w:tabs>
          <w:tab w:leader="none" w:pos="50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the Plan</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Effective as of July 22, 2016, no additional Awards may be granted under the Plan. Subject to the foregoing, the Independent Board may at any time make such modifications of the Plan as it shall deem advisable. Unless the Independent Board otherwise expressly provides, no amendment of the Plan shall affect the terms of any Award outstanding on the date of such amendment. In any case, no amendment of the Plan may, without the consent of any recipient of an Award granted hereunder, adversely affect the rights of the recipient under such Award.</w:t>
      </w:r>
    </w:p>
    <w:p>
      <w:pPr>
        <w:spacing w:after="0" w:line="57"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The Committee may amend the terms of any Award theretofore granted, prospectively or retroactively, provided that the Award as amended is consistent with the terms of the Plan, but no such amendment shall impair the rights of the recipient of such Award without his or her consent.</w:t>
      </w:r>
    </w:p>
    <w:p>
      <w:pPr>
        <w:spacing w:after="0" w:line="58"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Notices and Other Communications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addressed or telecopied, as the case may be, (i) if to the recipient of an Award, at his or her residence address last filed with the Company and (ii) if to the Company, at its principal place of business, addressed to the attention of its Chief Financial Officer, or to such other address or telecopier number, as the case may be, as the addressee may have designated by notice to the addressor. All such notices, requests, demands and other communications shall be deemed to have been received: (i) in the case of personal delivery, on the date of such delivery; (ii) in the case of mailing, when received by the addressee; and (iii) in the case of facsimile transmission, when confirmed by facsimile machine report.</w:t>
      </w:r>
    </w:p>
    <w:p>
      <w:pPr>
        <w:sectPr>
          <w:pgSz w:w="11900" w:h="16838" w:orient="portrait"/>
          <w:cols w:equalWidth="0" w:num="1">
            <w:col w:w="11220"/>
          </w:cols>
          <w:pgMar w:left="320" w:top="1440" w:right="359" w:bottom="1440" w:gutter="0" w:footer="0" w:header="0"/>
        </w:sectPr>
      </w:pPr>
    </w:p>
    <w:bookmarkStart w:id="92" w:name="page93"/>
    <w:bookmarkEnd w:id="92"/>
    <w:p>
      <w:pPr>
        <w:spacing w:after="0" w:line="77"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No Guarantee of Tax Consequences</w:t>
      </w:r>
    </w:p>
    <w:p>
      <w:pPr>
        <w:spacing w:after="0" w:line="91"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the provisions and penalties of Section 409A of the Code, pertaining to non-qualified plans of deferred compensation, will or will not apply.</w:t>
      </w:r>
    </w:p>
    <w:p>
      <w:pPr>
        <w:spacing w:after="0" w:line="48"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Administrative Provisions</w:t>
      </w:r>
    </w:p>
    <w:p>
      <w:pPr>
        <w:spacing w:after="0" w:line="104"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w:t>
      </w:r>
    </w:p>
    <w:p>
      <w:pPr>
        <w:spacing w:after="0" w:line="10" w:lineRule="exact"/>
        <w:rPr>
          <w:sz w:val="20"/>
          <w:szCs w:val="20"/>
          <w:color w:val="auto"/>
        </w:rPr>
      </w:pPr>
    </w:p>
    <w:p>
      <w:pPr>
        <w:ind w:left="500" w:hanging="492"/>
        <w:spacing w:after="0"/>
        <w:tabs>
          <w:tab w:leader="none" w:pos="5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It is intended that all Awards shall be granted and maintained on a basis which ensures they are exempt from, or otherwise compliant with, the requirements of Section 409A of the Code and the Plan shall be governed, interpreted and enforced consistent with such intent. Neither the Committee nor the Company, nor any of its Affiliates or its or their officers, employees, agents, or representatives, shall have any liability or responsibility for any adverse federal, state or local tax consequences and penalty taxes which may result the grant or settlement of any Award on a basis contrary to the provisions of Section 409A of the Code or comparable provisions of any applicable state or local income tax laws. The Plan and all Award Agreements and actions taken thereunder otherwise shall be governed, interpreted and enforced in accordance with the laws of the state of California, without regard to the conflict of laws principles thereof.</w:t>
      </w:r>
    </w:p>
    <w:p>
      <w:pPr>
        <w:sectPr>
          <w:pgSz w:w="11900" w:h="16838" w:orient="portrait"/>
          <w:cols w:equalWidth="0" w:num="1">
            <w:col w:w="11240"/>
          </w:cols>
          <w:pgMar w:left="320" w:top="144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color w:val="auto"/>
        </w:rPr>
        <w:t>Exhibit 10.4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8X8,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1996 EMPLOYEE STOCK PURCHASE PLAN</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constitute the provisions of the 1996 Employee Stock Purchase Plan of 8x8, Inc., as restated by the Board on January 28, 2020 (the “</w:t>
      </w:r>
      <w:r>
        <w:rPr>
          <w:rFonts w:ascii="Arial" w:cs="Arial" w:eastAsia="Arial" w:hAnsi="Arial"/>
          <w:sz w:val="22"/>
          <w:szCs w:val="22"/>
          <w:u w:val="single" w:color="auto"/>
          <w:color w:val="auto"/>
        </w:rPr>
        <w:t>Restatement Date</w:t>
      </w:r>
      <w:r>
        <w:rPr>
          <w:rFonts w:ascii="Arial" w:cs="Arial" w:eastAsia="Arial" w:hAnsi="Arial"/>
          <w:sz w:val="22"/>
          <w:szCs w:val="22"/>
          <w:color w:val="auto"/>
        </w:rPr>
        <w:t>”), effective for Purchase Periods beginning on and after August 10,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subsequently amended by the Board on May 4, 2020, and approved by the stockholders on August 10, 2020.</w:t>
      </w:r>
    </w:p>
    <w:p>
      <w:pPr>
        <w:spacing w:after="0" w:line="21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For the avoidance of doubt, the 1996 Employee Stock Purchase Plan of 8x8, Inc., as amended and restated effective May 23, 2017 shall continue in full force and effect as it applies to the Purchase Period that began on February 1, 2020.</w:t>
      </w:r>
    </w:p>
    <w:p>
      <w:pPr>
        <w:spacing w:after="0" w:line="178" w:lineRule="exact"/>
        <w:rPr>
          <w:sz w:val="20"/>
          <w:szCs w:val="20"/>
          <w:color w:val="auto"/>
        </w:rPr>
      </w:pPr>
    </w:p>
    <w:p>
      <w:pPr>
        <w:jc w:val="both"/>
        <w:ind w:left="660" w:hanging="328"/>
        <w:spacing w:after="0" w:line="252" w:lineRule="auto"/>
        <w:tabs>
          <w:tab w:leader="none" w:pos="649" w:val="left"/>
        </w:tabs>
        <w:numPr>
          <w:ilvl w:val="0"/>
          <w:numId w:val="100"/>
        </w:numPr>
        <w:rPr>
          <w:rFonts w:ascii="Arial" w:cs="Arial" w:eastAsia="Arial" w:hAnsi="Arial"/>
          <w:sz w:val="19"/>
          <w:szCs w:val="19"/>
          <w:color w:val="auto"/>
        </w:rPr>
      </w:pPr>
      <w:r>
        <w:rPr>
          <w:rFonts w:ascii="Arial" w:cs="Arial" w:eastAsia="Arial" w:hAnsi="Arial"/>
          <w:sz w:val="21"/>
          <w:szCs w:val="21"/>
          <w:u w:val="single" w:color="auto"/>
          <w:color w:val="auto"/>
        </w:rPr>
        <w:t>Purpose</w:t>
      </w:r>
      <w:r>
        <w:rPr>
          <w:rFonts w:ascii="Arial" w:cs="Arial" w:eastAsia="Arial" w:hAnsi="Arial"/>
          <w:sz w:val="18"/>
          <w:szCs w:val="18"/>
          <w:color w:val="auto"/>
        </w:rPr>
        <w:t>. The purpose of the Plan is to provide employees of the Company and its Designated Subsidiaries with an opportunity to</w:t>
      </w:r>
      <w:r>
        <w:rPr>
          <w:rFonts w:ascii="Arial" w:cs="Arial" w:eastAsia="Arial" w:hAnsi="Arial"/>
          <w:sz w:val="21"/>
          <w:szCs w:val="21"/>
          <w:color w:val="auto"/>
        </w:rPr>
        <w:t xml:space="preserve"> </w:t>
      </w:r>
      <w:r>
        <w:rPr>
          <w:rFonts w:ascii="Arial" w:cs="Arial" w:eastAsia="Arial" w:hAnsi="Arial"/>
          <w:sz w:val="18"/>
          <w:szCs w:val="18"/>
          <w:color w:val="auto"/>
        </w:rPr>
        <w:t>purchase Common Stock of the Company through accumulated payroll deductions. Except as otherwise provided in Section 13(b) of the Plan, it is the intention of the Company to have the Offerings under the Plan qualify as an “Employee Stock Purchase Plan” under Section 423 of the Internal Revenue Code of 1986, as amended (the “</w:t>
      </w:r>
      <w:r>
        <w:rPr>
          <w:rFonts w:ascii="Arial" w:cs="Arial" w:eastAsia="Arial" w:hAnsi="Arial"/>
          <w:sz w:val="20"/>
          <w:szCs w:val="20"/>
          <w:u w:val="single" w:color="auto"/>
          <w:color w:val="auto"/>
        </w:rPr>
        <w:t>Code</w:t>
      </w:r>
      <w:r>
        <w:rPr>
          <w:rFonts w:ascii="Arial" w:cs="Arial" w:eastAsia="Arial" w:hAnsi="Arial"/>
          <w:sz w:val="18"/>
          <w:szCs w:val="18"/>
          <w:color w:val="auto"/>
        </w:rPr>
        <w:t>”). The provisions of the Plan, accordingly, shall be construed so as to extend and limit participation in a manner consistent with the requirements of Section 423 of the Code.</w:t>
      </w:r>
    </w:p>
    <w:p>
      <w:pPr>
        <w:spacing w:after="0" w:line="194" w:lineRule="exact"/>
        <w:rPr>
          <w:sz w:val="20"/>
          <w:szCs w:val="20"/>
          <w:color w:val="auto"/>
        </w:rPr>
      </w:pPr>
    </w:p>
    <w:p>
      <w:pPr>
        <w:ind w:left="640" w:hanging="308"/>
        <w:spacing w:after="0"/>
        <w:tabs>
          <w:tab w:leader="none" w:pos="640" w:val="left"/>
        </w:tabs>
        <w:numPr>
          <w:ilvl w:val="0"/>
          <w:numId w:val="101"/>
        </w:numPr>
        <w:rPr>
          <w:rFonts w:ascii="Arial" w:cs="Arial" w:eastAsia="Arial" w:hAnsi="Arial"/>
          <w:sz w:val="20"/>
          <w:szCs w:val="20"/>
          <w:color w:val="auto"/>
        </w:rPr>
      </w:pPr>
      <w:r>
        <w:rPr>
          <w:rFonts w:ascii="Arial" w:cs="Arial" w:eastAsia="Arial" w:hAnsi="Arial"/>
          <w:sz w:val="22"/>
          <w:szCs w:val="22"/>
          <w:u w:val="single" w:color="auto"/>
          <w:color w:val="auto"/>
        </w:rPr>
        <w:t>Definitions</w:t>
      </w:r>
      <w:r>
        <w:rPr>
          <w:rFonts w:ascii="Arial" w:cs="Arial" w:eastAsia="Arial" w:hAnsi="Arial"/>
          <w:sz w:val="19"/>
          <w:szCs w:val="19"/>
          <w:color w:val="auto"/>
        </w:rPr>
        <w:t>.</w:t>
      </w:r>
    </w:p>
    <w:p>
      <w:pPr>
        <w:spacing w:after="0" w:line="233" w:lineRule="exact"/>
        <w:rPr>
          <w:rFonts w:ascii="Arial" w:cs="Arial" w:eastAsia="Arial" w:hAnsi="Arial"/>
          <w:sz w:val="20"/>
          <w:szCs w:val="20"/>
          <w:color w:val="auto"/>
        </w:rPr>
      </w:pPr>
    </w:p>
    <w:p>
      <w:pPr>
        <w:ind w:left="1300" w:hanging="324"/>
        <w:spacing w:after="0" w:line="267" w:lineRule="auto"/>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1"/>
          <w:szCs w:val="21"/>
          <w:u w:val="single" w:color="auto"/>
          <w:color w:val="auto"/>
        </w:rPr>
        <w:t>Administrator</w:t>
      </w:r>
      <w:r>
        <w:rPr>
          <w:rFonts w:ascii="Arial" w:cs="Arial" w:eastAsia="Arial" w:hAnsi="Arial"/>
          <w:sz w:val="20"/>
          <w:szCs w:val="20"/>
          <w:color w:val="auto"/>
        </w:rPr>
        <w:t>” shall mean the Board or a committee of members of the Board appointed by the Board to administer the Plan.</w:t>
      </w:r>
    </w:p>
    <w:p>
      <w:pPr>
        <w:spacing w:after="0" w:line="178" w:lineRule="exact"/>
        <w:rPr>
          <w:sz w:val="20"/>
          <w:szCs w:val="20"/>
          <w:color w:val="auto"/>
        </w:rPr>
      </w:pPr>
    </w:p>
    <w:p>
      <w:pPr>
        <w:ind w:left="1300" w:hanging="320"/>
        <w:spacing w:after="0"/>
        <w:tabs>
          <w:tab w:leader="none" w:pos="1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Board</w:t>
      </w:r>
      <w:r>
        <w:rPr>
          <w:rFonts w:ascii="Arial" w:cs="Arial" w:eastAsia="Arial" w:hAnsi="Arial"/>
          <w:sz w:val="20"/>
          <w:szCs w:val="20"/>
          <w:color w:val="auto"/>
        </w:rPr>
        <w:t>” shall mean the Board of Directors of the Company.</w:t>
      </w:r>
    </w:p>
    <w:p>
      <w:pPr>
        <w:spacing w:after="0" w:line="245" w:lineRule="exact"/>
        <w:rPr>
          <w:sz w:val="20"/>
          <w:szCs w:val="20"/>
          <w:color w:val="auto"/>
        </w:rPr>
      </w:pPr>
    </w:p>
    <w:p>
      <w:pPr>
        <w:ind w:left="1300" w:hanging="320"/>
        <w:spacing w:after="0"/>
        <w:tabs>
          <w:tab w:leader="none" w:pos="13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Common Stock</w:t>
      </w:r>
      <w:r>
        <w:rPr>
          <w:rFonts w:ascii="Arial" w:cs="Arial" w:eastAsia="Arial" w:hAnsi="Arial"/>
          <w:sz w:val="20"/>
          <w:szCs w:val="20"/>
          <w:color w:val="auto"/>
        </w:rPr>
        <w:t>” shall mean the common stock of the Company.</w:t>
      </w:r>
    </w:p>
    <w:p>
      <w:pPr>
        <w:spacing w:after="0" w:line="245" w:lineRule="exact"/>
        <w:rPr>
          <w:sz w:val="20"/>
          <w:szCs w:val="20"/>
          <w:color w:val="auto"/>
        </w:rPr>
      </w:pPr>
    </w:p>
    <w:p>
      <w:pPr>
        <w:ind w:left="1300" w:hanging="320"/>
        <w:spacing w:after="0"/>
        <w:tabs>
          <w:tab w:leader="none" w:pos="13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Company</w:t>
      </w:r>
      <w:r>
        <w:rPr>
          <w:rFonts w:ascii="Arial" w:cs="Arial" w:eastAsia="Arial" w:hAnsi="Arial"/>
          <w:sz w:val="20"/>
          <w:szCs w:val="20"/>
          <w:color w:val="auto"/>
        </w:rPr>
        <w:t>” shall mean 8x8, Inc.</w:t>
      </w:r>
    </w:p>
    <w:p>
      <w:pPr>
        <w:spacing w:after="0" w:line="245" w:lineRule="exact"/>
        <w:rPr>
          <w:sz w:val="20"/>
          <w:szCs w:val="20"/>
          <w:color w:val="auto"/>
        </w:rPr>
      </w:pPr>
    </w:p>
    <w:p>
      <w:pPr>
        <w:jc w:val="both"/>
        <w:ind w:left="1300" w:hanging="320"/>
        <w:spacing w:after="0" w:line="246" w:lineRule="auto"/>
        <w:tabs>
          <w:tab w:leader="none" w:pos="128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Compensation</w:t>
      </w:r>
      <w:r>
        <w:rPr>
          <w:rFonts w:ascii="Arial" w:cs="Arial" w:eastAsia="Arial" w:hAnsi="Arial"/>
          <w:sz w:val="20"/>
          <w:szCs w:val="20"/>
          <w:color w:val="auto"/>
        </w:rPr>
        <w:t>” shall mean all base straight time gross earnings, commissions and standard incentive cash bonus compensation, exclusive of payments for overtime, shift premium, incentive payments, new hire bonuses, retention bonuses, and non-standard bonuses, and other compensation.</w:t>
      </w:r>
    </w:p>
    <w:p>
      <w:pPr>
        <w:spacing w:after="0" w:line="199" w:lineRule="exact"/>
        <w:rPr>
          <w:sz w:val="20"/>
          <w:szCs w:val="20"/>
          <w:color w:val="auto"/>
        </w:rPr>
      </w:pPr>
    </w:p>
    <w:p>
      <w:pPr>
        <w:ind w:left="1300" w:hanging="320"/>
        <w:spacing w:after="0" w:line="267" w:lineRule="auto"/>
        <w:tabs>
          <w:tab w:leader="none" w:pos="128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Current Purchase Period</w:t>
      </w:r>
      <w:r>
        <w:rPr>
          <w:rFonts w:ascii="Arial" w:cs="Arial" w:eastAsia="Arial" w:hAnsi="Arial"/>
          <w:sz w:val="20"/>
          <w:szCs w:val="20"/>
          <w:color w:val="auto"/>
        </w:rPr>
        <w:t>” shall mean any Purchase Period which is scheduled to end in the current calendar year, as determined at the relevant time.</w:t>
      </w:r>
    </w:p>
    <w:p>
      <w:pPr>
        <w:spacing w:after="0" w:line="178" w:lineRule="exact"/>
        <w:rPr>
          <w:sz w:val="20"/>
          <w:szCs w:val="20"/>
          <w:color w:val="auto"/>
        </w:rPr>
      </w:pPr>
    </w:p>
    <w:p>
      <w:pPr>
        <w:ind w:left="1300" w:hanging="320"/>
        <w:spacing w:after="0" w:line="267" w:lineRule="auto"/>
        <w:tabs>
          <w:tab w:leader="none" w:pos="128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Designated Subsidiaries</w:t>
      </w:r>
      <w:r>
        <w:rPr>
          <w:rFonts w:ascii="Arial" w:cs="Arial" w:eastAsia="Arial" w:hAnsi="Arial"/>
          <w:sz w:val="20"/>
          <w:szCs w:val="20"/>
          <w:color w:val="auto"/>
        </w:rPr>
        <w:t>” shall mean the Subsidiaries which have been designated by the Administrator from time to time in its sole discretion as eligible to participate in Offerings under the Plan.</w:t>
      </w:r>
    </w:p>
    <w:p>
      <w:pPr>
        <w:spacing w:after="0" w:line="178" w:lineRule="exact"/>
        <w:rPr>
          <w:sz w:val="20"/>
          <w:szCs w:val="20"/>
          <w:color w:val="auto"/>
        </w:rPr>
      </w:pPr>
    </w:p>
    <w:p>
      <w:pPr>
        <w:jc w:val="both"/>
        <w:ind w:left="1300" w:hanging="320"/>
        <w:spacing w:after="0" w:line="246" w:lineRule="auto"/>
        <w:tabs>
          <w:tab w:leader="none" w:pos="128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Employee</w:t>
      </w:r>
      <w:r>
        <w:rPr>
          <w:rFonts w:ascii="Arial" w:cs="Arial" w:eastAsia="Arial" w:hAnsi="Arial"/>
          <w:sz w:val="20"/>
          <w:szCs w:val="20"/>
          <w:color w:val="auto"/>
        </w:rPr>
        <w:t>” shall mean any individual who is an employee of the Company or a Designated Subsidiary, as applicable, for tax purposes whose customary employment with the Company or applicable Designated Subsidiary is at least twenty (20) hours per</w:t>
      </w:r>
    </w:p>
    <w:p>
      <w:pPr>
        <w:sectPr>
          <w:pgSz w:w="11900" w:h="16838" w:orient="portrait"/>
          <w:cols w:equalWidth="0" w:num="1">
            <w:col w:w="11240"/>
          </w:cols>
          <w:pgMar w:left="320" w:top="1419" w:right="339" w:bottom="1440" w:gutter="0" w:footer="0" w:header="0"/>
        </w:sectPr>
      </w:pPr>
    </w:p>
    <w:bookmarkStart w:id="94" w:name="page95"/>
    <w:bookmarkEnd w:id="94"/>
    <w:p>
      <w:pPr>
        <w:jc w:val="both"/>
        <w:ind w:left="320"/>
        <w:spacing w:after="0" w:line="232" w:lineRule="auto"/>
        <w:rPr>
          <w:sz w:val="20"/>
          <w:szCs w:val="20"/>
          <w:color w:val="auto"/>
        </w:rPr>
      </w:pPr>
      <w:r>
        <w:rPr>
          <w:rFonts w:ascii="Arial" w:cs="Arial" w:eastAsia="Arial" w:hAnsi="Arial"/>
          <w:sz w:val="20"/>
          <w:szCs w:val="20"/>
          <w:color w:val="auto"/>
        </w:rPr>
        <w:t>week and more than five (5) months in any calendar year. For purposes of the Plan, the employment relationship shall be treated as continuing intact while the individual is on sick leave or other leave of absence approved by the Company (or applicable Designated Subsidiary). Where the period of leave exceeds ninety (90) days and the individual's right to reemployment is not guaranteed either by statute or by contract, the employment relationship shall be deemed to have terminated on the ninety-first (91st) day of such leave.</w:t>
      </w:r>
    </w:p>
    <w:p>
      <w:pPr>
        <w:spacing w:after="0" w:line="207" w:lineRule="exact"/>
        <w:rPr>
          <w:sz w:val="20"/>
          <w:szCs w:val="20"/>
          <w:color w:val="auto"/>
        </w:rPr>
      </w:pPr>
    </w:p>
    <w:p>
      <w:pPr>
        <w:ind w:left="320" w:hanging="320"/>
        <w:spacing w:after="0"/>
        <w:tabs>
          <w:tab w:leader="none" w:pos="3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Enrollment Date</w:t>
      </w:r>
      <w:r>
        <w:rPr>
          <w:rFonts w:ascii="Arial" w:cs="Arial" w:eastAsia="Arial" w:hAnsi="Arial"/>
          <w:sz w:val="20"/>
          <w:szCs w:val="20"/>
          <w:color w:val="auto"/>
        </w:rPr>
        <w:t>” shall mean the first day of each Offering Period.</w:t>
      </w:r>
    </w:p>
    <w:p>
      <w:pPr>
        <w:spacing w:after="0" w:line="245" w:lineRule="exact"/>
        <w:rPr>
          <w:sz w:val="20"/>
          <w:szCs w:val="20"/>
          <w:color w:val="auto"/>
        </w:rPr>
      </w:pPr>
    </w:p>
    <w:p>
      <w:pPr>
        <w:ind w:left="320" w:hanging="320"/>
        <w:spacing w:after="0"/>
        <w:tabs>
          <w:tab w:leader="none" w:pos="32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Exercise Date</w:t>
      </w:r>
      <w:r>
        <w:rPr>
          <w:rFonts w:ascii="Arial" w:cs="Arial" w:eastAsia="Arial" w:hAnsi="Arial"/>
          <w:sz w:val="20"/>
          <w:szCs w:val="20"/>
          <w:color w:val="auto"/>
        </w:rPr>
        <w:t>” shall mean the last day of each Purchase Period.</w:t>
      </w:r>
    </w:p>
    <w:p>
      <w:pPr>
        <w:spacing w:after="0" w:line="245" w:lineRule="exact"/>
        <w:rPr>
          <w:sz w:val="20"/>
          <w:szCs w:val="20"/>
          <w:color w:val="auto"/>
        </w:rPr>
      </w:pPr>
    </w:p>
    <w:p>
      <w:pPr>
        <w:ind w:left="320" w:hanging="320"/>
        <w:spacing w:after="0"/>
        <w:tabs>
          <w:tab w:leader="none" w:pos="32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Fair Market Value</w:t>
      </w:r>
      <w:r>
        <w:rPr>
          <w:rFonts w:ascii="Arial" w:cs="Arial" w:eastAsia="Arial" w:hAnsi="Arial"/>
          <w:sz w:val="20"/>
          <w:szCs w:val="20"/>
          <w:color w:val="auto"/>
        </w:rPr>
        <w:t>” shall mean, as of any date, the value of Common Stock determined as follows:</w:t>
      </w:r>
    </w:p>
    <w:p>
      <w:pPr>
        <w:spacing w:after="0" w:line="249" w:lineRule="exact"/>
        <w:rPr>
          <w:sz w:val="20"/>
          <w:szCs w:val="20"/>
          <w:color w:val="auto"/>
        </w:rPr>
      </w:pPr>
    </w:p>
    <w:p>
      <w:pPr>
        <w:jc w:val="both"/>
        <w:ind w:left="980" w:hanging="431"/>
        <w:spacing w:after="0" w:line="255" w:lineRule="auto"/>
        <w:tabs>
          <w:tab w:leader="none" w:pos="9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If the Common Stock is listed on any established stock exchange or a national market system, including without limitation the Nasdaq Global Market or The Nasdaq Capital Market of The Nasdaq Stock Market, its Fair Market Value shall be the closing sales price for such stock (or the closing bid, if no sales were reported) as quoted on such exchange or system for the last market trading day prior to the time of determination, as reported in </w:t>
      </w:r>
      <w:r>
        <w:rPr>
          <w:rFonts w:ascii="Arial" w:cs="Arial" w:eastAsia="Arial" w:hAnsi="Arial"/>
          <w:sz w:val="20"/>
          <w:szCs w:val="20"/>
          <w:i w:val="1"/>
          <w:iCs w:val="1"/>
          <w:color w:val="auto"/>
        </w:rPr>
        <w:t>The Wall Street</w:t>
      </w:r>
      <w:r>
        <w:rPr>
          <w:rFonts w:ascii="Arial" w:cs="Arial" w:eastAsia="Arial" w:hAnsi="Arial"/>
          <w:sz w:val="19"/>
          <w:szCs w:val="19"/>
          <w:color w:val="auto"/>
        </w:rPr>
        <w:t xml:space="preserve"> </w:t>
      </w:r>
      <w:r>
        <w:rPr>
          <w:rFonts w:ascii="Arial" w:cs="Arial" w:eastAsia="Arial" w:hAnsi="Arial"/>
          <w:sz w:val="20"/>
          <w:szCs w:val="20"/>
          <w:i w:val="1"/>
          <w:iCs w:val="1"/>
          <w:color w:val="auto"/>
        </w:rPr>
        <w:t xml:space="preserve">Journal </w:t>
      </w:r>
      <w:r>
        <w:rPr>
          <w:rFonts w:ascii="Arial" w:cs="Arial" w:eastAsia="Arial" w:hAnsi="Arial"/>
          <w:sz w:val="18"/>
          <w:szCs w:val="18"/>
          <w:color w:val="auto"/>
        </w:rPr>
        <w:t>or such other source as the Administrator deems reliable, or;</w:t>
      </w:r>
    </w:p>
    <w:p>
      <w:pPr>
        <w:spacing w:after="0" w:line="204" w:lineRule="exact"/>
        <w:rPr>
          <w:sz w:val="20"/>
          <w:szCs w:val="20"/>
          <w:color w:val="auto"/>
        </w:rPr>
      </w:pPr>
    </w:p>
    <w:p>
      <w:pPr>
        <w:jc w:val="both"/>
        <w:ind w:left="980" w:hanging="431"/>
        <w:spacing w:after="0" w:line="275" w:lineRule="auto"/>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its Fair Market Value shall be the mean of the closing bid and asked prices for the Common Stock on the date of such determination, as reported in The Wall Street Journal or such other source as the Administrator deems reliable, or;</w:t>
      </w:r>
    </w:p>
    <w:p>
      <w:pPr>
        <w:spacing w:after="0" w:line="179" w:lineRule="exact"/>
        <w:rPr>
          <w:sz w:val="20"/>
          <w:szCs w:val="20"/>
          <w:color w:val="auto"/>
        </w:rPr>
      </w:pPr>
    </w:p>
    <w:p>
      <w:pPr>
        <w:ind w:left="980" w:right="20" w:hanging="431"/>
        <w:spacing w:after="0" w:line="246" w:lineRule="auto"/>
        <w:tabs>
          <w:tab w:leader="none" w:pos="98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thereof shall be determined in good faith by the Administrator.</w:t>
      </w:r>
    </w:p>
    <w:p>
      <w:pPr>
        <w:spacing w:after="0" w:line="198" w:lineRule="exact"/>
        <w:rPr>
          <w:rFonts w:ascii="Arial" w:cs="Arial" w:eastAsia="Arial" w:hAnsi="Arial"/>
          <w:sz w:val="20"/>
          <w:szCs w:val="20"/>
          <w:color w:val="auto"/>
        </w:rPr>
      </w:pPr>
    </w:p>
    <w:p>
      <w:pPr>
        <w:jc w:val="both"/>
        <w:ind w:left="320" w:hanging="320"/>
        <w:spacing w:after="0" w:line="246" w:lineRule="auto"/>
        <w:tabs>
          <w:tab w:leader="none" w:pos="30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New Exercise Date</w:t>
      </w:r>
      <w:r>
        <w:rPr>
          <w:rFonts w:ascii="Arial" w:cs="Arial" w:eastAsia="Arial" w:hAnsi="Arial"/>
          <w:sz w:val="20"/>
          <w:szCs w:val="20"/>
          <w:color w:val="auto"/>
        </w:rPr>
        <w:t>” shall mean the New Exercise Date set for Purchase Periods in the event of a proposed sale of all or substantially all of the assets of the Company, or the merger of the Company with or into another corporation in accordance with Section 18(c).</w:t>
      </w:r>
    </w:p>
    <w:p>
      <w:pPr>
        <w:spacing w:after="0" w:line="199" w:lineRule="exact"/>
        <w:rPr>
          <w:sz w:val="20"/>
          <w:szCs w:val="20"/>
          <w:color w:val="auto"/>
        </w:rPr>
      </w:pPr>
    </w:p>
    <w:p>
      <w:pPr>
        <w:ind w:left="320" w:right="700" w:hanging="320"/>
        <w:spacing w:after="0" w:line="267" w:lineRule="auto"/>
        <w:tabs>
          <w:tab w:leader="none" w:pos="30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Offering</w:t>
      </w:r>
      <w:r>
        <w:rPr>
          <w:rFonts w:ascii="Arial" w:cs="Arial" w:eastAsia="Arial" w:hAnsi="Arial"/>
          <w:sz w:val="20"/>
          <w:szCs w:val="20"/>
          <w:color w:val="auto"/>
        </w:rPr>
        <w:t>” shall mean the grant of options to purchase shares of Common Stock under the Plan to Employees of the Company and/or one or more Designated Subsidiaries.</w:t>
      </w:r>
    </w:p>
    <w:p>
      <w:pPr>
        <w:spacing w:after="0" w:line="178" w:lineRule="exact"/>
        <w:rPr>
          <w:sz w:val="20"/>
          <w:szCs w:val="20"/>
          <w:color w:val="auto"/>
        </w:rPr>
      </w:pPr>
    </w:p>
    <w:p>
      <w:pPr>
        <w:jc w:val="both"/>
        <w:ind w:left="320" w:hanging="320"/>
        <w:spacing w:after="0" w:line="246" w:lineRule="auto"/>
        <w:tabs>
          <w:tab w:leader="none" w:pos="30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20"/>
          <w:szCs w:val="20"/>
          <w:u w:val="single" w:color="auto"/>
          <w:color w:val="auto"/>
        </w:rPr>
        <w:t>Offering Periods</w:t>
      </w:r>
      <w:r>
        <w:rPr>
          <w:rFonts w:ascii="Arial" w:cs="Arial" w:eastAsia="Arial" w:hAnsi="Arial"/>
          <w:sz w:val="19"/>
          <w:szCs w:val="19"/>
          <w:color w:val="auto"/>
        </w:rPr>
        <w:t>” shall mean the periods of approximately twelve (12) months during which an option granted pursuant to an Offering may be exercised, commencing on the first Trading Day on or after February 10 and August 10 of each year and terminating on the last Trading Day in the periods ending twelve (12) months later. The duration and timing of Offering Periods may be changed pursuant to Section 4 of this Plan; provided, however, that the duration of an Offering Period shall not exceed twenty-seven (27) months. If an Offering Period is intended to include multiple Purchase Periods but the Fair Market Value of the Common Stock on an Exercise Date during such an Offering Period is lower than the Fair Market Value of the Common Stock on the Enrollment Date</w:t>
      </w:r>
    </w:p>
    <w:p>
      <w:pPr>
        <w:sectPr>
          <w:pgSz w:w="11900" w:h="16838" w:orient="portrait"/>
          <w:cols w:equalWidth="0" w:num="1">
            <w:col w:w="10260"/>
          </w:cols>
          <w:pgMar w:left="1300" w:top="1419" w:right="339" w:bottom="1440" w:gutter="0" w:footer="0" w:header="0"/>
        </w:sectPr>
      </w:pPr>
    </w:p>
    <w:bookmarkStart w:id="95" w:name="page96"/>
    <w:bookmarkEnd w:id="95"/>
    <w:p>
      <w:pPr>
        <w:jc w:val="both"/>
        <w:ind w:left="968"/>
        <w:spacing w:after="0" w:line="235" w:lineRule="auto"/>
        <w:rPr>
          <w:sz w:val="20"/>
          <w:szCs w:val="20"/>
          <w:color w:val="auto"/>
        </w:rPr>
      </w:pPr>
      <w:r>
        <w:rPr>
          <w:rFonts w:ascii="Arial" w:cs="Arial" w:eastAsia="Arial" w:hAnsi="Arial"/>
          <w:sz w:val="20"/>
          <w:szCs w:val="20"/>
          <w:color w:val="auto"/>
        </w:rPr>
        <w:t>of such Offering, then that Offering Period shall automatically terminate after the purchases for such Exercise Date are completed and the participants in such Offering Period shall automatically be enrolled in the immediately following Offering as of the Enrollment Date thereof. Notwithstanding the foregoing, the first Offering Period that commences during the time period between the Restatement Date and the Effective Date (the “</w:t>
      </w:r>
      <w:r>
        <w:rPr>
          <w:rFonts w:ascii="Arial" w:cs="Arial" w:eastAsia="Arial" w:hAnsi="Arial"/>
          <w:sz w:val="21"/>
          <w:szCs w:val="21"/>
          <w:u w:val="single" w:color="auto"/>
          <w:color w:val="auto"/>
        </w:rPr>
        <w:t>Transition Period</w:t>
      </w:r>
      <w:r>
        <w:rPr>
          <w:rFonts w:ascii="Arial" w:cs="Arial" w:eastAsia="Arial" w:hAnsi="Arial"/>
          <w:sz w:val="20"/>
          <w:szCs w:val="20"/>
          <w:color w:val="auto"/>
        </w:rPr>
        <w:t>”) will commence on the first Trading Day on or after February 1.</w:t>
      </w:r>
    </w:p>
    <w:p>
      <w:pPr>
        <w:spacing w:after="0" w:line="208" w:lineRule="exact"/>
        <w:rPr>
          <w:sz w:val="20"/>
          <w:szCs w:val="20"/>
          <w:color w:val="auto"/>
        </w:rPr>
      </w:pPr>
    </w:p>
    <w:p>
      <w:pPr>
        <w:ind w:left="968" w:hanging="320"/>
        <w:spacing w:after="0"/>
        <w:tabs>
          <w:tab w:leader="none" w:pos="96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Plan</w:t>
      </w:r>
      <w:r>
        <w:rPr>
          <w:rFonts w:ascii="Arial" w:cs="Arial" w:eastAsia="Arial" w:hAnsi="Arial"/>
          <w:sz w:val="20"/>
          <w:szCs w:val="20"/>
          <w:color w:val="auto"/>
        </w:rPr>
        <w:t>” shall mean this Amended and Restated 1996 Employee Stock Purchase Plan.</w:t>
      </w:r>
    </w:p>
    <w:p>
      <w:pPr>
        <w:spacing w:after="0" w:line="245" w:lineRule="exact"/>
        <w:rPr>
          <w:sz w:val="20"/>
          <w:szCs w:val="20"/>
          <w:color w:val="auto"/>
        </w:rPr>
      </w:pPr>
    </w:p>
    <w:p>
      <w:pPr>
        <w:ind w:left="968" w:hanging="320"/>
        <w:spacing w:after="0" w:line="267" w:lineRule="auto"/>
        <w:tabs>
          <w:tab w:leader="none" w:pos="95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Purchase Price</w:t>
      </w:r>
      <w:r>
        <w:rPr>
          <w:rFonts w:ascii="Arial" w:cs="Arial" w:eastAsia="Arial" w:hAnsi="Arial"/>
          <w:sz w:val="20"/>
          <w:szCs w:val="20"/>
          <w:color w:val="auto"/>
        </w:rPr>
        <w:t>” shall mean an amount equal to eighty-five percent (85%) of the Fair Market Value of a share of Common Stock on the Enrollment Date or on the Exercise Date, whichever is lower.</w:t>
      </w:r>
    </w:p>
    <w:p>
      <w:pPr>
        <w:spacing w:after="0" w:line="178" w:lineRule="exact"/>
        <w:rPr>
          <w:sz w:val="20"/>
          <w:szCs w:val="20"/>
          <w:color w:val="auto"/>
        </w:rPr>
      </w:pPr>
    </w:p>
    <w:p>
      <w:pPr>
        <w:jc w:val="both"/>
        <w:ind w:left="968" w:hanging="320"/>
        <w:spacing w:after="0" w:line="274" w:lineRule="auto"/>
        <w:tabs>
          <w:tab w:leader="none" w:pos="9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9"/>
          <w:szCs w:val="19"/>
          <w:u w:val="single" w:color="auto"/>
          <w:color w:val="auto"/>
        </w:rPr>
        <w:t>Purchase Period</w:t>
      </w:r>
      <w:r>
        <w:rPr>
          <w:rFonts w:ascii="Arial" w:cs="Arial" w:eastAsia="Arial" w:hAnsi="Arial"/>
          <w:sz w:val="18"/>
          <w:szCs w:val="18"/>
          <w:color w:val="auto"/>
        </w:rPr>
        <w:t>” shall mean the approximately six (6) month period commencing after one Exercise Date and ending with the next Exercise Date, except that the first Purchase Period of any Offering Period shall commence on the Enrollment Date and end with the next Exercise Date; however the Purchase Period during the Transition Period shall end on July 31, 2020 and the next Purchase Period of the same Offering Period or any new Offering Period shall commence on August 10, 2020.</w:t>
      </w:r>
    </w:p>
    <w:p>
      <w:pPr>
        <w:spacing w:after="0" w:line="176" w:lineRule="exact"/>
        <w:rPr>
          <w:sz w:val="20"/>
          <w:szCs w:val="20"/>
          <w:color w:val="auto"/>
        </w:rPr>
      </w:pPr>
    </w:p>
    <w:p>
      <w:pPr>
        <w:jc w:val="both"/>
        <w:ind w:left="968" w:hanging="320"/>
        <w:spacing w:after="0" w:line="246" w:lineRule="auto"/>
        <w:tabs>
          <w:tab w:leader="none" w:pos="95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Reserves</w:t>
      </w:r>
      <w:r>
        <w:rPr>
          <w:rFonts w:ascii="Arial" w:cs="Arial" w:eastAsia="Arial" w:hAnsi="Arial"/>
          <w:sz w:val="20"/>
          <w:szCs w:val="20"/>
          <w:color w:val="auto"/>
        </w:rPr>
        <w:t>” shall mean the number of shares of Common Stock covered by each option under the Plan which have not yet been exercised and the number of shares of Common Stock which have been authorized for issuance under the Plan but not yet placed under option.</w:t>
      </w:r>
    </w:p>
    <w:p>
      <w:pPr>
        <w:spacing w:after="0" w:line="199" w:lineRule="exact"/>
        <w:rPr>
          <w:sz w:val="20"/>
          <w:szCs w:val="20"/>
          <w:color w:val="auto"/>
        </w:rPr>
      </w:pPr>
    </w:p>
    <w:p>
      <w:pPr>
        <w:jc w:val="both"/>
        <w:ind w:left="968" w:hanging="320"/>
        <w:spacing w:after="0" w:line="234" w:lineRule="auto"/>
        <w:tabs>
          <w:tab w:leader="none" w:pos="95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Subsidiary</w:t>
      </w:r>
      <w:r>
        <w:rPr>
          <w:rFonts w:ascii="Arial" w:cs="Arial" w:eastAsia="Arial" w:hAnsi="Arial"/>
          <w:sz w:val="20"/>
          <w:szCs w:val="20"/>
          <w:color w:val="auto"/>
        </w:rPr>
        <w:t>” shall mean a corporation, domestic or foreign, of which not less than fifty percent (50%) of the voting shares are held by the Company or a Subsidiary, whether or not such corporation now exists or is hereafter organized or acquired by the Company or a Subsidiary. For purposes of any Offering pursuant to Section 13(b) that is not intended to qualify under Section 423 of the Code, “Subsidiary” shall also include any entity (including any corporation, company or other vehicle organized under local law) of which at least fifty percent (50%) of the voting power is controlled by the Company or a Subsidiary.</w:t>
      </w:r>
    </w:p>
    <w:p>
      <w:pPr>
        <w:spacing w:after="0" w:line="209" w:lineRule="exact"/>
        <w:rPr>
          <w:sz w:val="20"/>
          <w:szCs w:val="20"/>
          <w:color w:val="auto"/>
        </w:rPr>
      </w:pPr>
    </w:p>
    <w:p>
      <w:pPr>
        <w:ind w:left="968" w:hanging="320"/>
        <w:spacing w:after="0"/>
        <w:tabs>
          <w:tab w:leader="none" w:pos="968"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Trading Day</w:t>
      </w:r>
      <w:r>
        <w:rPr>
          <w:rFonts w:ascii="Arial" w:cs="Arial" w:eastAsia="Arial" w:hAnsi="Arial"/>
          <w:sz w:val="20"/>
          <w:szCs w:val="20"/>
          <w:color w:val="auto"/>
        </w:rPr>
        <w:t>” shall mean a day on which national stock exchanges are open for trading.</w:t>
      </w:r>
    </w:p>
    <w:p>
      <w:pPr>
        <w:spacing w:after="0" w:line="244" w:lineRule="exact"/>
        <w:rPr>
          <w:rFonts w:ascii="Arial" w:cs="Arial" w:eastAsia="Arial" w:hAnsi="Arial"/>
          <w:sz w:val="20"/>
          <w:szCs w:val="20"/>
          <w:color w:val="auto"/>
        </w:rPr>
      </w:pPr>
    </w:p>
    <w:p>
      <w:pPr>
        <w:ind w:left="308" w:hanging="308"/>
        <w:spacing w:after="0"/>
        <w:tabs>
          <w:tab w:leader="none" w:pos="308" w:val="left"/>
        </w:tabs>
        <w:numPr>
          <w:ilvl w:val="0"/>
          <w:numId w:val="124"/>
        </w:numPr>
        <w:rPr>
          <w:rFonts w:ascii="Arial" w:cs="Arial" w:eastAsia="Arial" w:hAnsi="Arial"/>
          <w:sz w:val="20"/>
          <w:szCs w:val="20"/>
          <w:color w:val="auto"/>
        </w:rPr>
      </w:pPr>
      <w:r>
        <w:rPr>
          <w:rFonts w:ascii="Arial" w:cs="Arial" w:eastAsia="Arial" w:hAnsi="Arial"/>
          <w:sz w:val="22"/>
          <w:szCs w:val="22"/>
          <w:u w:val="single" w:color="auto"/>
          <w:color w:val="auto"/>
        </w:rPr>
        <w:t>Eligibility</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jc w:val="both"/>
        <w:ind w:left="968" w:hanging="320"/>
        <w:spacing w:after="0" w:line="237" w:lineRule="auto"/>
        <w:tabs>
          <w:tab w:leader="none" w:pos="957"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Any Employee (as defined in Section 2(h)) who, as of the Enrollment Date for a given Offering, is employed by the Company (or a Designated Subsidiary approved by the Administrator to participate in such Offering) shall be eligible to participate in the Plan for that Offering.</w:t>
      </w:r>
    </w:p>
    <w:p>
      <w:pPr>
        <w:spacing w:after="0" w:line="210" w:lineRule="exact"/>
        <w:rPr>
          <w:sz w:val="20"/>
          <w:szCs w:val="20"/>
          <w:color w:val="auto"/>
        </w:rPr>
      </w:pPr>
    </w:p>
    <w:p>
      <w:pPr>
        <w:jc w:val="both"/>
        <w:ind w:left="968" w:right="20" w:hanging="320"/>
        <w:spacing w:after="0" w:line="234" w:lineRule="auto"/>
        <w:tabs>
          <w:tab w:leader="none" w:pos="957"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of the Company and/or hold outstanding options to purchase such stock possessing five percent (5%) or more of the</w:t>
      </w:r>
    </w:p>
    <w:p>
      <w:pPr>
        <w:sectPr>
          <w:pgSz w:w="11900" w:h="16838" w:orient="portrait"/>
          <w:cols w:equalWidth="0" w:num="1">
            <w:col w:w="10908"/>
          </w:cols>
          <w:pgMar w:left="652" w:top="1419" w:right="339" w:bottom="1440" w:gutter="0" w:footer="0" w:header="0"/>
        </w:sectPr>
      </w:pPr>
    </w:p>
    <w:bookmarkStart w:id="96" w:name="page97"/>
    <w:bookmarkEnd w:id="96"/>
    <w:p>
      <w:pPr>
        <w:jc w:val="both"/>
        <w:ind w:left="968"/>
        <w:spacing w:after="0" w:line="267" w:lineRule="auto"/>
        <w:rPr>
          <w:sz w:val="20"/>
          <w:szCs w:val="20"/>
          <w:color w:val="auto"/>
        </w:rPr>
      </w:pPr>
      <w:r>
        <w:rPr>
          <w:rFonts w:ascii="Arial" w:cs="Arial" w:eastAsia="Arial" w:hAnsi="Arial"/>
          <w:sz w:val="18"/>
          <w:szCs w:val="18"/>
          <w:color w:val="auto"/>
        </w:rPr>
        <w:t>total combined voting power or value of all classes of the capital stock of the Company or of any Subsidiary, or (ii) to the extent that his or her rights to purchase stock under all employee stock purchase plans of the Company and its subsidiaries accrues at a rate which exceeds twenty-five thousand dollars ($25,000) worth of stock (determined at the Fair Market Value of the shares at the time such option is granted) for each calendar year in which such option is outstanding at any time.</w:t>
      </w:r>
    </w:p>
    <w:p>
      <w:pPr>
        <w:spacing w:after="0" w:line="181" w:lineRule="exact"/>
        <w:rPr>
          <w:sz w:val="20"/>
          <w:szCs w:val="20"/>
          <w:color w:val="auto"/>
        </w:rPr>
      </w:pPr>
    </w:p>
    <w:p>
      <w:pPr>
        <w:jc w:val="both"/>
        <w:ind w:left="328" w:hanging="328"/>
        <w:spacing w:after="0" w:line="237" w:lineRule="auto"/>
        <w:tabs>
          <w:tab w:leader="none" w:pos="317" w:val="left"/>
        </w:tabs>
        <w:numPr>
          <w:ilvl w:val="0"/>
          <w:numId w:val="126"/>
        </w:numPr>
        <w:rPr>
          <w:rFonts w:ascii="Arial" w:cs="Arial" w:eastAsia="Arial" w:hAnsi="Arial"/>
          <w:sz w:val="20"/>
          <w:szCs w:val="20"/>
          <w:color w:val="auto"/>
        </w:rPr>
      </w:pPr>
      <w:r>
        <w:rPr>
          <w:rFonts w:ascii="Arial" w:cs="Arial" w:eastAsia="Arial" w:hAnsi="Arial"/>
          <w:sz w:val="22"/>
          <w:szCs w:val="22"/>
          <w:u w:val="single" w:color="auto"/>
          <w:color w:val="auto"/>
        </w:rPr>
        <w:t>Offerings</w:t>
      </w:r>
      <w:r>
        <w:rPr>
          <w:rFonts w:ascii="Arial" w:cs="Arial" w:eastAsia="Arial" w:hAnsi="Arial"/>
          <w:sz w:val="19"/>
          <w:szCs w:val="19"/>
          <w:color w:val="auto"/>
        </w:rPr>
        <w:t>. Unless otherwise determined by the Administrator, the Plan shall be implemented by consecutive, overlapping Offerings.</w:t>
      </w:r>
      <w:r>
        <w:rPr>
          <w:rFonts w:ascii="Arial" w:cs="Arial" w:eastAsia="Arial" w:hAnsi="Arial"/>
          <w:sz w:val="22"/>
          <w:szCs w:val="22"/>
          <w:color w:val="auto"/>
        </w:rPr>
        <w:t xml:space="preserve"> </w:t>
      </w:r>
      <w:r>
        <w:rPr>
          <w:rFonts w:ascii="Arial" w:cs="Arial" w:eastAsia="Arial" w:hAnsi="Arial"/>
          <w:sz w:val="19"/>
          <w:szCs w:val="19"/>
          <w:color w:val="auto"/>
        </w:rPr>
        <w:t>The Administrator shall have the power to change the duration of Offering Periods (including the commencement dates thereof) with respect to future Offerings without stockholder approval if such change is announced at least two (2) days prior to the scheduled beginning of the first Offering Period to be affected thereafter. After the Restatement Date, the Administrator shall have the power to establish the terms and conditions of each subsequent Offering including the participating entities (Company and or one or more Designated Subsidiaries), duration of the Offering Period (subject to the twenty-seven (27) month limit established in Section 2(n)), number and frequency of Purchase Periods, Purchase Price (provided that the Purchase Price shall not be lower than eighty-five percent (85%) of the Fair Market Value of a share of Common Stock on the Enrollment Date or on the Exercise Date, whichever is lower) and maximum shares available per eligible Employee (which may not exceed the amounts calculated by Section 6(d) and Section 7 hereof), in each case subject to compliance with the terms and conditions of the Plan (which may be incorporated by reference) and the requirements of Section 423 of the Code, including the requirement that all eligible Employees have the same rights and privileges. The Administrator shall specify the terms and conditions of each Offering prior to the commencement of the Offering, which terms and conditions need not be identical and shall be deemed incorporated by reference and made a part of the Plan.</w:t>
      </w:r>
    </w:p>
    <w:p>
      <w:pPr>
        <w:spacing w:after="0" w:line="205" w:lineRule="exact"/>
        <w:rPr>
          <w:sz w:val="20"/>
          <w:szCs w:val="20"/>
          <w:color w:val="auto"/>
        </w:rPr>
      </w:pPr>
    </w:p>
    <w:p>
      <w:pPr>
        <w:ind w:left="308" w:hanging="308"/>
        <w:spacing w:after="0"/>
        <w:tabs>
          <w:tab w:leader="none" w:pos="308" w:val="left"/>
        </w:tabs>
        <w:numPr>
          <w:ilvl w:val="0"/>
          <w:numId w:val="127"/>
        </w:numPr>
        <w:rPr>
          <w:rFonts w:ascii="Arial" w:cs="Arial" w:eastAsia="Arial" w:hAnsi="Arial"/>
          <w:sz w:val="20"/>
          <w:szCs w:val="20"/>
          <w:color w:val="auto"/>
        </w:rPr>
      </w:pPr>
      <w:r>
        <w:rPr>
          <w:rFonts w:ascii="Arial" w:cs="Arial" w:eastAsia="Arial" w:hAnsi="Arial"/>
          <w:sz w:val="22"/>
          <w:szCs w:val="22"/>
          <w:u w:val="single" w:color="auto"/>
          <w:color w:val="auto"/>
        </w:rPr>
        <w:t>Participation</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ind w:left="968" w:right="100" w:hanging="324"/>
        <w:spacing w:after="0" w:line="237" w:lineRule="auto"/>
        <w:rPr>
          <w:rFonts w:ascii="Arial" w:cs="Arial" w:eastAsia="Arial" w:hAnsi="Arial"/>
          <w:sz w:val="20"/>
          <w:szCs w:val="20"/>
          <w:color w:val="auto"/>
        </w:rPr>
      </w:pPr>
      <w:r>
        <w:rPr>
          <w:rFonts w:ascii="Arial" w:cs="Arial" w:eastAsia="Arial" w:hAnsi="Arial"/>
          <w:sz w:val="20"/>
          <w:szCs w:val="20"/>
          <w:color w:val="auto"/>
        </w:rPr>
        <w:t>a. An eligible Employee may become a participant in an Offering under the Plan by completing the enrollment process prior to the applicable Enrollment Date. The enrollment process for this purpose will be prescribed and communicated from time to time by the Company to eligible Employees.</w:t>
      </w:r>
    </w:p>
    <w:p>
      <w:pPr>
        <w:spacing w:after="0" w:line="210" w:lineRule="exact"/>
        <w:rPr>
          <w:sz w:val="20"/>
          <w:szCs w:val="20"/>
          <w:color w:val="auto"/>
        </w:rPr>
      </w:pPr>
    </w:p>
    <w:p>
      <w:pPr>
        <w:jc w:val="both"/>
        <w:ind w:left="968" w:hanging="320"/>
        <w:spacing w:after="0" w:line="237" w:lineRule="auto"/>
        <w:tabs>
          <w:tab w:leader="none" w:pos="957" w:val="left"/>
        </w:tabs>
        <w:numPr>
          <w:ilvl w:val="1"/>
          <w:numId w:val="128"/>
        </w:numPr>
        <w:rPr>
          <w:rFonts w:ascii="Arial" w:cs="Arial" w:eastAsia="Arial" w:hAnsi="Arial"/>
          <w:sz w:val="20"/>
          <w:szCs w:val="20"/>
          <w:color w:val="auto"/>
        </w:rPr>
      </w:pPr>
      <w:r>
        <w:rPr>
          <w:rFonts w:ascii="Arial" w:cs="Arial" w:eastAsia="Arial" w:hAnsi="Arial"/>
          <w:sz w:val="20"/>
          <w:szCs w:val="20"/>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205" w:lineRule="exact"/>
        <w:rPr>
          <w:rFonts w:ascii="Arial" w:cs="Arial" w:eastAsia="Arial" w:hAnsi="Arial"/>
          <w:sz w:val="20"/>
          <w:szCs w:val="20"/>
          <w:color w:val="auto"/>
        </w:rPr>
      </w:pPr>
    </w:p>
    <w:p>
      <w:pPr>
        <w:ind w:left="308" w:hanging="308"/>
        <w:spacing w:after="0"/>
        <w:tabs>
          <w:tab w:leader="none" w:pos="308" w:val="left"/>
        </w:tabs>
        <w:numPr>
          <w:ilvl w:val="0"/>
          <w:numId w:val="129"/>
        </w:numPr>
        <w:rPr>
          <w:rFonts w:ascii="Arial" w:cs="Arial" w:eastAsia="Arial" w:hAnsi="Arial"/>
          <w:sz w:val="20"/>
          <w:szCs w:val="20"/>
          <w:color w:val="auto"/>
        </w:rPr>
      </w:pPr>
      <w:r>
        <w:rPr>
          <w:rFonts w:ascii="Arial" w:cs="Arial" w:eastAsia="Arial" w:hAnsi="Arial"/>
          <w:sz w:val="22"/>
          <w:szCs w:val="22"/>
          <w:u w:val="single" w:color="auto"/>
          <w:color w:val="auto"/>
        </w:rPr>
        <w:t>Payroll Deductions</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jc w:val="both"/>
        <w:ind w:left="968" w:hanging="320"/>
        <w:spacing w:after="0" w:line="232" w:lineRule="auto"/>
        <w:tabs>
          <w:tab w:leader="none" w:pos="957"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At the time a participant enrolls in an Offering, he or she shall elect to have payroll deductions made on each pay day during the Offering Period for that Offering in an amount not exceeding twenty percent (20%) of the Compensation which he or she receives on each pay day during the Offering Period. Notwithstanding the foregoing, this Section 6(a) and the Compensation definition in Section 2(e) shall only apply to the portion of the Offering Period that occurs on or following the Effective Date and all Offering Periods thereafter.</w:t>
      </w:r>
    </w:p>
    <w:p>
      <w:pPr>
        <w:sectPr>
          <w:pgSz w:w="11900" w:h="16838" w:orient="portrait"/>
          <w:cols w:equalWidth="0" w:num="1">
            <w:col w:w="10908"/>
          </w:cols>
          <w:pgMar w:left="652" w:top="1419" w:right="339" w:bottom="1440" w:gutter="0" w:footer="0" w:header="0"/>
        </w:sectPr>
      </w:pPr>
    </w:p>
    <w:bookmarkStart w:id="97" w:name="page98"/>
    <w:bookmarkEnd w:id="97"/>
    <w:p>
      <w:pPr>
        <w:ind w:left="968" w:hanging="320"/>
        <w:spacing w:after="0" w:line="246" w:lineRule="auto"/>
        <w:tabs>
          <w:tab w:leader="none" w:pos="95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All payroll deductions made for a participant shall be credited to his or her account under the Plan and shall be withheld in whole percentages only. A participant may not make any additional payments into such account.</w:t>
      </w:r>
    </w:p>
    <w:p>
      <w:pPr>
        <w:spacing w:after="0" w:line="204" w:lineRule="exact"/>
        <w:rPr>
          <w:sz w:val="20"/>
          <w:szCs w:val="20"/>
          <w:color w:val="auto"/>
        </w:rPr>
      </w:pPr>
    </w:p>
    <w:p>
      <w:pPr>
        <w:jc w:val="both"/>
        <w:ind w:left="968" w:hanging="320"/>
        <w:spacing w:after="0" w:line="257" w:lineRule="auto"/>
        <w:tabs>
          <w:tab w:leader="none" w:pos="95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an Offering under the Plan as provided in Section 10 hereof, or may increase or decrease the rate of his or her payroll deductions during the Offering Period by filing with the Company an authorization to change the payroll deduction rate pursuant to the process prescribed by the Company from time to time. The Administrator may, in its discretion, limit the number of participation rate changes during any Offering Period. The change in rate shall be effective with the first full payroll period commencing after the Company's receipt of the new authorization unless the Company elects to process a given change in participation more quickly. Upon conclusion of an Offering in which a participant was participating, the participant’s enrollment terms and conditions shall automatically apply and the participant shall be enrolled in the next scheduled Offering, unless and until participation is terminated pursuant to Section 10 hereof.</w:t>
      </w:r>
    </w:p>
    <w:p>
      <w:pPr>
        <w:spacing w:after="0" w:line="198" w:lineRule="exact"/>
        <w:rPr>
          <w:sz w:val="20"/>
          <w:szCs w:val="20"/>
          <w:color w:val="auto"/>
        </w:rPr>
      </w:pPr>
    </w:p>
    <w:p>
      <w:pPr>
        <w:jc w:val="both"/>
        <w:ind w:left="968" w:hanging="320"/>
        <w:spacing w:after="0" w:line="257" w:lineRule="auto"/>
        <w:tabs>
          <w:tab w:leader="none" w:pos="9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hereof, a participant's payroll deductions may be decreased to zero percent (0%) at such time during any Current Purchase Period that the aggregate of all payroll deductions which were previously used to purchase stock under the Plan in a prior Purchase Period which ended during that calendar year plus all payroll deductions accumulated with respect to the Current Purchase Period equal twenty-one thousand, two hundred fifty dollars ($21,250) or at any time the limit set forth in Section 423(b)(8) of the Code is likely to be exceeded but for such decrease. Payroll deductions shall recommence at the rate previously elected by such participant at the beginning of the first Purchase Period which is scheduled to end in the following calendar year, unless terminated by the participant as provided in Section 10 hereof.</w:t>
      </w:r>
    </w:p>
    <w:p>
      <w:pPr>
        <w:spacing w:after="0" w:line="198" w:lineRule="exact"/>
        <w:rPr>
          <w:sz w:val="20"/>
          <w:szCs w:val="20"/>
          <w:color w:val="auto"/>
        </w:rPr>
      </w:pPr>
    </w:p>
    <w:p>
      <w:pPr>
        <w:jc w:val="both"/>
        <w:ind w:left="968" w:hanging="320"/>
        <w:spacing w:after="0" w:line="258" w:lineRule="auto"/>
        <w:tabs>
          <w:tab w:leader="none" w:pos="95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At the time the option is exercised, in whole or in part, or at the time some or all of the Company's Common Stock issued under the Plan is disposed of, the participant must make adequate provision for the federal, state, or other tax withholding obligations of the participant’s employer (whether the Company or a Designated Subsidiary), if any, which arise upon the exercise of the option or the disposition of the Common Stock. At any time, the employer may, but shall not be obligated to, withhold from the participant's compensation the amount necessary for the employer to meet applicable withholding obligations, including any withholding required to make available to the employer any tax deductions or benefits attributable to participating in an Offering or sale or early disposition of Common Stock by the participant.</w:t>
      </w:r>
    </w:p>
    <w:p>
      <w:pPr>
        <w:spacing w:after="0" w:line="192" w:lineRule="exact"/>
        <w:rPr>
          <w:rFonts w:ascii="Arial" w:cs="Arial" w:eastAsia="Arial" w:hAnsi="Arial"/>
          <w:sz w:val="18"/>
          <w:szCs w:val="18"/>
          <w:color w:val="auto"/>
        </w:rPr>
      </w:pPr>
    </w:p>
    <w:p>
      <w:pPr>
        <w:jc w:val="both"/>
        <w:ind w:left="328" w:hanging="328"/>
        <w:spacing w:after="0" w:line="277" w:lineRule="auto"/>
        <w:tabs>
          <w:tab w:leader="none" w:pos="317" w:val="left"/>
        </w:tabs>
        <w:numPr>
          <w:ilvl w:val="0"/>
          <w:numId w:val="134"/>
        </w:numPr>
        <w:rPr>
          <w:rFonts w:ascii="Arial" w:cs="Arial" w:eastAsia="Arial" w:hAnsi="Arial"/>
          <w:sz w:val="18"/>
          <w:szCs w:val="18"/>
          <w:color w:val="auto"/>
        </w:rPr>
      </w:pPr>
      <w:r>
        <w:rPr>
          <w:rFonts w:ascii="Arial" w:cs="Arial" w:eastAsia="Arial" w:hAnsi="Arial"/>
          <w:sz w:val="19"/>
          <w:szCs w:val="19"/>
          <w:u w:val="single" w:color="auto"/>
          <w:color w:val="auto"/>
        </w:rPr>
        <w:t>Grant of Option</w:t>
      </w:r>
      <w:r>
        <w:rPr>
          <w:rFonts w:ascii="Arial" w:cs="Arial" w:eastAsia="Arial" w:hAnsi="Arial"/>
          <w:sz w:val="17"/>
          <w:szCs w:val="17"/>
          <w:color w:val="auto"/>
        </w:rPr>
        <w:t>. On the Enrollment Date of each Offering Period, each eligible Employee participating in such Offering shall be</w:t>
      </w:r>
      <w:r>
        <w:rPr>
          <w:rFonts w:ascii="Arial" w:cs="Arial" w:eastAsia="Arial" w:hAnsi="Arial"/>
          <w:sz w:val="19"/>
          <w:szCs w:val="19"/>
          <w:color w:val="auto"/>
        </w:rPr>
        <w:t xml:space="preserve"> </w:t>
      </w:r>
      <w:r>
        <w:rPr>
          <w:rFonts w:ascii="Arial" w:cs="Arial" w:eastAsia="Arial" w:hAnsi="Arial"/>
          <w:sz w:val="17"/>
          <w:szCs w:val="17"/>
          <w:color w:val="auto"/>
        </w:rPr>
        <w:t>granted an option to purchase on each Exercise Date during such Offering (at the applicable Purchase Price) up to a number of shares of the Company's Common Stock determined by dividing such Employee's payroll deductions accumulated prior to such Exercise Date and retained in the participant's account as of the Exercise Date by the applicable Purchase Price; provided that in no event shall an Employee be permitted to purchase during each Purchase Period more than a number of shares determined by dividing twenty-five thousand dollars ($25,000) by the Fair Market Value of a share of the Company's Common Stock on the Enrollment Date, and provided further that such purchase shall be subject to the limitations set forth in Sections 3(b) and 12 hereof and in Code Section</w:t>
      </w:r>
    </w:p>
    <w:p>
      <w:pPr>
        <w:sectPr>
          <w:pgSz w:w="11900" w:h="16838" w:orient="portrait"/>
          <w:cols w:equalWidth="0" w:num="1">
            <w:col w:w="10908"/>
          </w:cols>
          <w:pgMar w:left="652" w:top="1419" w:right="339" w:bottom="1440" w:gutter="0" w:footer="0" w:header="0"/>
        </w:sectPr>
      </w:pPr>
    </w:p>
    <w:bookmarkStart w:id="98" w:name="page99"/>
    <w:bookmarkEnd w:id="98"/>
    <w:p>
      <w:pPr>
        <w:ind w:left="328" w:right="20"/>
        <w:spacing w:after="0" w:line="246" w:lineRule="auto"/>
        <w:rPr>
          <w:sz w:val="20"/>
          <w:szCs w:val="20"/>
          <w:color w:val="auto"/>
        </w:rPr>
      </w:pPr>
      <w:r>
        <w:rPr>
          <w:rFonts w:ascii="Arial" w:cs="Arial" w:eastAsia="Arial" w:hAnsi="Arial"/>
          <w:sz w:val="20"/>
          <w:szCs w:val="20"/>
          <w:color w:val="auto"/>
        </w:rPr>
        <w:t>423(b)(8). Exercise of the option shall occur as provided in Section 8 hereof, unless the participant has withdrawn pursuant to Section 10 hereof. The option shall expire on the last day of the Offering.</w:t>
      </w:r>
    </w:p>
    <w:p>
      <w:pPr>
        <w:spacing w:after="0" w:line="199" w:lineRule="exact"/>
        <w:rPr>
          <w:sz w:val="20"/>
          <w:szCs w:val="20"/>
          <w:color w:val="auto"/>
        </w:rPr>
      </w:pPr>
    </w:p>
    <w:p>
      <w:pPr>
        <w:jc w:val="both"/>
        <w:ind w:left="328" w:hanging="328"/>
        <w:spacing w:after="0" w:line="236" w:lineRule="auto"/>
        <w:tabs>
          <w:tab w:leader="none" w:pos="317" w:val="left"/>
        </w:tabs>
        <w:numPr>
          <w:ilvl w:val="0"/>
          <w:numId w:val="135"/>
        </w:numPr>
        <w:rPr>
          <w:rFonts w:ascii="Arial" w:cs="Arial" w:eastAsia="Arial" w:hAnsi="Arial"/>
          <w:sz w:val="20"/>
          <w:szCs w:val="20"/>
          <w:color w:val="auto"/>
        </w:rPr>
      </w:pPr>
      <w:r>
        <w:rPr>
          <w:rFonts w:ascii="Arial" w:cs="Arial" w:eastAsia="Arial" w:hAnsi="Arial"/>
          <w:sz w:val="22"/>
          <w:szCs w:val="22"/>
          <w:u w:val="single" w:color="auto"/>
          <w:color w:val="auto"/>
        </w:rPr>
        <w:t>Exercise of Option</w:t>
      </w:r>
      <w:r>
        <w:rPr>
          <w:rFonts w:ascii="Arial" w:cs="Arial" w:eastAsia="Arial" w:hAnsi="Arial"/>
          <w:sz w:val="19"/>
          <w:szCs w:val="19"/>
          <w:color w:val="auto"/>
        </w:rPr>
        <w:t>. Unless a participant withdraws from the Plan as provided in Section 10 hereof, his or her option for the</w:t>
      </w:r>
      <w:r>
        <w:rPr>
          <w:rFonts w:ascii="Arial" w:cs="Arial" w:eastAsia="Arial" w:hAnsi="Arial"/>
          <w:sz w:val="22"/>
          <w:szCs w:val="22"/>
          <w:color w:val="auto"/>
        </w:rPr>
        <w:t xml:space="preserve"> </w:t>
      </w:r>
      <w:r>
        <w:rPr>
          <w:rFonts w:ascii="Arial" w:cs="Arial" w:eastAsia="Arial" w:hAnsi="Arial"/>
          <w:sz w:val="19"/>
          <w:szCs w:val="19"/>
          <w:color w:val="auto"/>
        </w:rPr>
        <w:t>purchase of shares shall be exercised automatically on the Exercise Date, and the maximum number of full shares subject to option shall be purchased for such participant at the applicable Purchase Price with the accumulated payroll deductions in his or her account. No fractional shares shall be purchased; any payroll deductions accumulated in a participant's account which are not sufficient to purchase a full share shall be retained in the participant's account for the subsequent Purchase Period or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w:t>
      </w:r>
    </w:p>
    <w:p>
      <w:pPr>
        <w:spacing w:after="0" w:line="211" w:lineRule="exact"/>
        <w:rPr>
          <w:sz w:val="20"/>
          <w:szCs w:val="20"/>
          <w:color w:val="auto"/>
        </w:rPr>
      </w:pPr>
    </w:p>
    <w:p>
      <w:pPr>
        <w:jc w:val="both"/>
        <w:ind w:left="328" w:hanging="328"/>
        <w:spacing w:after="0" w:line="252" w:lineRule="auto"/>
        <w:tabs>
          <w:tab w:leader="none" w:pos="317" w:val="left"/>
        </w:tabs>
        <w:numPr>
          <w:ilvl w:val="0"/>
          <w:numId w:val="136"/>
        </w:numPr>
        <w:rPr>
          <w:rFonts w:ascii="Arial" w:cs="Arial" w:eastAsia="Arial" w:hAnsi="Arial"/>
          <w:sz w:val="19"/>
          <w:szCs w:val="19"/>
          <w:color w:val="auto"/>
        </w:rPr>
      </w:pPr>
      <w:r>
        <w:rPr>
          <w:rFonts w:ascii="Arial" w:cs="Arial" w:eastAsia="Arial" w:hAnsi="Arial"/>
          <w:sz w:val="21"/>
          <w:szCs w:val="21"/>
          <w:u w:val="single" w:color="auto"/>
          <w:color w:val="auto"/>
        </w:rPr>
        <w:t>Delivery</w:t>
      </w:r>
      <w:r>
        <w:rPr>
          <w:rFonts w:ascii="Arial" w:cs="Arial" w:eastAsia="Arial" w:hAnsi="Arial"/>
          <w:sz w:val="18"/>
          <w:szCs w:val="18"/>
          <w:color w:val="auto"/>
        </w:rPr>
        <w:t>. As promptly as practicable after each Exercise Date on which a purchase of shares occurs, the Company shall arrange the</w:t>
      </w:r>
      <w:r>
        <w:rPr>
          <w:rFonts w:ascii="Arial" w:cs="Arial" w:eastAsia="Arial" w:hAnsi="Arial"/>
          <w:sz w:val="21"/>
          <w:szCs w:val="21"/>
          <w:color w:val="auto"/>
        </w:rPr>
        <w:t xml:space="preserve"> </w:t>
      </w:r>
      <w:r>
        <w:rPr>
          <w:rFonts w:ascii="Arial" w:cs="Arial" w:eastAsia="Arial" w:hAnsi="Arial"/>
          <w:sz w:val="18"/>
          <w:szCs w:val="18"/>
          <w:color w:val="auto"/>
        </w:rPr>
        <w:t>delivery to each participant, as appropriate, of a certificate representing the shares purchased upon exercise of his or her option or shall cause an appropriate entry to be made in such participant's brokerage account reflecting the shares purchased.</w:t>
      </w:r>
    </w:p>
    <w:p>
      <w:pPr>
        <w:spacing w:after="0" w:line="194" w:lineRule="exact"/>
        <w:rPr>
          <w:sz w:val="20"/>
          <w:szCs w:val="20"/>
          <w:color w:val="auto"/>
        </w:rPr>
      </w:pPr>
    </w:p>
    <w:p>
      <w:pPr>
        <w:ind w:left="308" w:hanging="308"/>
        <w:spacing w:after="0"/>
        <w:tabs>
          <w:tab w:leader="none" w:pos="308" w:val="left"/>
        </w:tabs>
        <w:numPr>
          <w:ilvl w:val="0"/>
          <w:numId w:val="137"/>
        </w:numPr>
        <w:rPr>
          <w:rFonts w:ascii="Arial" w:cs="Arial" w:eastAsia="Arial" w:hAnsi="Arial"/>
          <w:sz w:val="20"/>
          <w:szCs w:val="20"/>
          <w:color w:val="auto"/>
        </w:rPr>
      </w:pPr>
      <w:r>
        <w:rPr>
          <w:rFonts w:ascii="Arial" w:cs="Arial" w:eastAsia="Arial" w:hAnsi="Arial"/>
          <w:sz w:val="22"/>
          <w:szCs w:val="22"/>
          <w:u w:val="single" w:color="auto"/>
          <w:color w:val="auto"/>
        </w:rPr>
        <w:t>Withdrawal; Termination of Employment</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ind w:left="968" w:hanging="324"/>
        <w:spacing w:after="0" w:line="258" w:lineRule="auto"/>
        <w:rPr>
          <w:rFonts w:ascii="Arial" w:cs="Arial" w:eastAsia="Arial" w:hAnsi="Arial"/>
          <w:sz w:val="20"/>
          <w:szCs w:val="20"/>
          <w:color w:val="auto"/>
        </w:rPr>
      </w:pPr>
      <w:r>
        <w:rPr>
          <w:rFonts w:ascii="Arial" w:cs="Arial" w:eastAsia="Arial" w:hAnsi="Arial"/>
          <w:sz w:val="18"/>
          <w:szCs w:val="18"/>
          <w:color w:val="auto"/>
        </w:rPr>
        <w:t>a. A participant may withdraw all but not less than all the payroll deductions credited to his or her account and not yet used to exercise his or her option under the Plan at any time by giving notice pursuant to the process prescribed and communicated by the Company from time to time. All of the participant's payroll deductions credited to his or her account shall be paid to such participant promptly after receipt of notice of withdrawal and such participant's option for the Offering shall be automatically terminated, and no further payroll deductions for the purchase of shares shall be made for such Offering. If a participant withdraws from an Offering, payroll deductions shall not resume at the beginning of the succeeding Offering unless the participant completes the enrollment process again pursuant to Section 5.</w:t>
      </w:r>
    </w:p>
    <w:p>
      <w:pPr>
        <w:spacing w:after="0" w:line="197" w:lineRule="exact"/>
        <w:rPr>
          <w:sz w:val="20"/>
          <w:szCs w:val="20"/>
          <w:color w:val="auto"/>
        </w:rPr>
      </w:pPr>
    </w:p>
    <w:p>
      <w:pPr>
        <w:jc w:val="both"/>
        <w:ind w:left="968" w:hanging="320"/>
        <w:spacing w:after="0" w:line="267" w:lineRule="auto"/>
        <w:tabs>
          <w:tab w:leader="none" w:pos="9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14 hereof, and such participant's option shall be automatically terminated.</w:t>
      </w:r>
    </w:p>
    <w:p>
      <w:pPr>
        <w:spacing w:after="0" w:line="199" w:lineRule="exact"/>
        <w:rPr>
          <w:sz w:val="20"/>
          <w:szCs w:val="20"/>
          <w:color w:val="auto"/>
        </w:rPr>
      </w:pPr>
    </w:p>
    <w:p>
      <w:pPr>
        <w:jc w:val="both"/>
        <w:ind w:left="968" w:hanging="320"/>
        <w:spacing w:after="0" w:line="243" w:lineRule="auto"/>
        <w:tabs>
          <w:tab w:leader="none" w:pos="1011"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 participant's withdrawal from an Offering shall not have any effect upon his or her eligibility to participate in any similar plan which may hereafter be adopted by the Company or in succeeding Offerings which commence after the participant’s withdrawal.</w:t>
      </w:r>
    </w:p>
    <w:p>
      <w:pPr>
        <w:spacing w:after="0" w:line="201" w:lineRule="exact"/>
        <w:rPr>
          <w:rFonts w:ascii="Arial" w:cs="Arial" w:eastAsia="Arial" w:hAnsi="Arial"/>
          <w:sz w:val="20"/>
          <w:szCs w:val="20"/>
          <w:color w:val="auto"/>
        </w:rPr>
      </w:pPr>
    </w:p>
    <w:p>
      <w:pPr>
        <w:ind w:left="308" w:hanging="308"/>
        <w:spacing w:after="0"/>
        <w:tabs>
          <w:tab w:leader="none" w:pos="308" w:val="left"/>
        </w:tabs>
        <w:numPr>
          <w:ilvl w:val="0"/>
          <w:numId w:val="140"/>
        </w:numPr>
        <w:rPr>
          <w:rFonts w:ascii="Arial" w:cs="Arial" w:eastAsia="Arial" w:hAnsi="Arial"/>
          <w:sz w:val="20"/>
          <w:szCs w:val="20"/>
          <w:color w:val="auto"/>
        </w:rPr>
      </w:pPr>
      <w:r>
        <w:rPr>
          <w:rFonts w:ascii="Arial" w:cs="Arial" w:eastAsia="Arial" w:hAnsi="Arial"/>
          <w:sz w:val="22"/>
          <w:szCs w:val="22"/>
          <w:u w:val="single" w:color="auto"/>
          <w:color w:val="auto"/>
        </w:rPr>
        <w:t>Interest</w:t>
      </w:r>
      <w:r>
        <w:rPr>
          <w:rFonts w:ascii="Arial" w:cs="Arial" w:eastAsia="Arial" w:hAnsi="Arial"/>
          <w:sz w:val="19"/>
          <w:szCs w:val="19"/>
          <w:color w:val="auto"/>
        </w:rPr>
        <w:t>. No interest shall accrue on the payroll deductions of a participant in the Plan.</w:t>
      </w:r>
    </w:p>
    <w:p>
      <w:pPr>
        <w:spacing w:after="0" w:line="233" w:lineRule="exact"/>
        <w:rPr>
          <w:sz w:val="20"/>
          <w:szCs w:val="20"/>
          <w:color w:val="auto"/>
        </w:rPr>
      </w:pPr>
    </w:p>
    <w:p>
      <w:pPr>
        <w:ind w:left="308" w:hanging="308"/>
        <w:spacing w:after="0"/>
        <w:tabs>
          <w:tab w:leader="none" w:pos="308" w:val="left"/>
        </w:tabs>
        <w:numPr>
          <w:ilvl w:val="0"/>
          <w:numId w:val="141"/>
        </w:numPr>
        <w:rPr>
          <w:rFonts w:ascii="Arial" w:cs="Arial" w:eastAsia="Arial" w:hAnsi="Arial"/>
          <w:sz w:val="20"/>
          <w:szCs w:val="20"/>
          <w:color w:val="auto"/>
        </w:rPr>
      </w:pPr>
      <w:r>
        <w:rPr>
          <w:rFonts w:ascii="Arial" w:cs="Arial" w:eastAsia="Arial" w:hAnsi="Arial"/>
          <w:sz w:val="22"/>
          <w:szCs w:val="22"/>
          <w:u w:val="single" w:color="auto"/>
          <w:color w:val="auto"/>
        </w:rPr>
        <w:t>Stock</w:t>
      </w:r>
      <w:r>
        <w:rPr>
          <w:rFonts w:ascii="Arial" w:cs="Arial" w:eastAsia="Arial" w:hAnsi="Arial"/>
          <w:sz w:val="19"/>
          <w:szCs w:val="19"/>
          <w:color w:val="auto"/>
        </w:rPr>
        <w:t>.</w:t>
      </w:r>
    </w:p>
    <w:p>
      <w:pPr>
        <w:sectPr>
          <w:pgSz w:w="11900" w:h="16838" w:orient="portrait"/>
          <w:cols w:equalWidth="0" w:num="1">
            <w:col w:w="10908"/>
          </w:cols>
          <w:pgMar w:left="652" w:top="1419" w:right="339" w:bottom="1440" w:gutter="0" w:footer="0" w:header="0"/>
        </w:sectPr>
      </w:pPr>
    </w:p>
    <w:bookmarkStart w:id="99" w:name="page100"/>
    <w:bookmarkEnd w:id="99"/>
    <w:p>
      <w:pPr>
        <w:jc w:val="both"/>
        <w:ind w:left="968" w:hanging="320"/>
        <w:spacing w:after="0" w:line="230" w:lineRule="auto"/>
        <w:tabs>
          <w:tab w:leader="none" w:pos="95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maximum number of shares of the Company's Common Stock which shall be made available for sale under the Plan shall be 3,000,000 shares plus that number of shares of the Company’s Common Stock previously approved and remaining available for issuance under the Plan as of August 10, 2020, subject to adjustment upon changes in capitalization of the Company as provided in Section 18 hereof. If, on a given Exercise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w:t>
      </w:r>
    </w:p>
    <w:p>
      <w:pPr>
        <w:spacing w:after="0" w:line="212" w:lineRule="exact"/>
        <w:rPr>
          <w:sz w:val="20"/>
          <w:szCs w:val="20"/>
          <w:color w:val="auto"/>
        </w:rPr>
      </w:pPr>
    </w:p>
    <w:p>
      <w:pPr>
        <w:ind w:left="968" w:hanging="320"/>
        <w:spacing w:after="0"/>
        <w:tabs>
          <w:tab w:leader="none" w:pos="9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participant shall have no interest or voting right in shares covered by his option until such option has been exercised.</w:t>
      </w:r>
    </w:p>
    <w:p>
      <w:pPr>
        <w:spacing w:after="0" w:line="266" w:lineRule="exact"/>
        <w:rPr>
          <w:sz w:val="20"/>
          <w:szCs w:val="20"/>
          <w:color w:val="auto"/>
        </w:rPr>
      </w:pPr>
    </w:p>
    <w:p>
      <w:pPr>
        <w:ind w:left="968" w:hanging="320"/>
        <w:spacing w:after="0" w:line="267" w:lineRule="auto"/>
        <w:tabs>
          <w:tab w:leader="none" w:pos="1011" w:val="left"/>
        </w:tabs>
        <w:numPr>
          <w:ilvl w:val="1"/>
          <w:numId w:val="144"/>
        </w:numPr>
        <w:rPr>
          <w:rFonts w:ascii="Arial" w:cs="Arial" w:eastAsia="Arial" w:hAnsi="Arial"/>
          <w:sz w:val="20"/>
          <w:szCs w:val="20"/>
          <w:color w:val="auto"/>
        </w:rPr>
      </w:pPr>
      <w:r>
        <w:rPr>
          <w:rFonts w:ascii="Arial" w:cs="Arial" w:eastAsia="Arial" w:hAnsi="Arial"/>
          <w:sz w:val="20"/>
          <w:szCs w:val="20"/>
          <w:color w:val="auto"/>
        </w:rPr>
        <w:t xml:space="preserve">Shares to be delivered to a participant under the Plan shall be registered in the name of the participant or in the name of the </w:t>
      </w:r>
      <w:r>
        <w:rPr>
          <w:rFonts w:ascii="Arial" w:cs="Arial" w:eastAsia="Arial" w:hAnsi="Arial"/>
          <w:sz w:val="21"/>
          <w:szCs w:val="21"/>
          <w:color w:val="auto"/>
        </w:rPr>
        <w:t>participant and his or her spouse.</w:t>
      </w:r>
    </w:p>
    <w:p>
      <w:pPr>
        <w:spacing w:after="0" w:line="186" w:lineRule="exact"/>
        <w:rPr>
          <w:rFonts w:ascii="Arial" w:cs="Arial" w:eastAsia="Arial" w:hAnsi="Arial"/>
          <w:sz w:val="20"/>
          <w:szCs w:val="20"/>
          <w:color w:val="auto"/>
        </w:rPr>
      </w:pPr>
    </w:p>
    <w:p>
      <w:pPr>
        <w:ind w:left="308" w:hanging="308"/>
        <w:spacing w:after="0"/>
        <w:tabs>
          <w:tab w:leader="none" w:pos="308" w:val="left"/>
        </w:tabs>
        <w:numPr>
          <w:ilvl w:val="0"/>
          <w:numId w:val="145"/>
        </w:numPr>
        <w:rPr>
          <w:rFonts w:ascii="Arial" w:cs="Arial" w:eastAsia="Arial" w:hAnsi="Arial"/>
          <w:sz w:val="20"/>
          <w:szCs w:val="20"/>
          <w:color w:val="auto"/>
        </w:rPr>
      </w:pPr>
      <w:r>
        <w:rPr>
          <w:rFonts w:ascii="Arial" w:cs="Arial" w:eastAsia="Arial" w:hAnsi="Arial"/>
          <w:sz w:val="22"/>
          <w:szCs w:val="22"/>
          <w:u w:val="single" w:color="auto"/>
          <w:color w:val="auto"/>
        </w:rPr>
        <w:t>Administration</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jc w:val="both"/>
        <w:ind w:left="968" w:hanging="320"/>
        <w:spacing w:after="0" w:line="232" w:lineRule="auto"/>
        <w:tabs>
          <w:tab w:leader="none" w:pos="957"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Administrator shall have full and exclusive discretionary authority to construe, interpret and apply the terms of the Plan, to determine eligibility and to adjudicate all disputed claims filed under the Plan. Every finding, decision and determination made by the Administrator shall, to the full extent permitted by law, be final and binding upon all parties. Notwithstanding the appointment of a committee to serve as Administrator, the Board may, in its sole discretion, at any time and from time to time, resolve to administer the Plan.</w:t>
      </w:r>
    </w:p>
    <w:p>
      <w:pPr>
        <w:spacing w:after="0" w:line="211" w:lineRule="exact"/>
        <w:rPr>
          <w:sz w:val="20"/>
          <w:szCs w:val="20"/>
          <w:color w:val="auto"/>
        </w:rPr>
      </w:pPr>
    </w:p>
    <w:p>
      <w:pPr>
        <w:jc w:val="both"/>
        <w:ind w:left="968" w:hanging="320"/>
        <w:spacing w:after="0" w:line="239" w:lineRule="auto"/>
        <w:tabs>
          <w:tab w:leader="none" w:pos="95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After the Effective Date, the Administrator may initiate separate Offerings through sub plans (which need not qualify under Section 423 of the Code) for the purpose of (i) facilitating participation in the Plan by Employees of Designated Subsidiaries located outside of the United States in compliance with foreign laws and regulations without affecting the qualification of the remainder of the Plan under Section 423 of the Code, or (ii) qualifying an Offering under the Plan for preferred tax treatment under foreign tax laws (which sub plans, at the Administrator’s discretion, may provide for allocations of the authorized shares reserved for issue under the Plan as set forth in Section 12(a)). Any sub plan shall be subject to the Offering Period limit established in Section 2(n), the Purchase Price floor established in Section 4 and the overall share limit established in Section 12(a). The rules of such sub plans may take precedence over provisions of the Plan other than the foregoing requirements of Sections 2(n), 4 and 12(a) (including as to participating Designated Subsidiaries, eligible Employees, duration of the Offering Period (including Enrollment Dates), number and frequency of Purchase Periods, Purchase Price, currency exchange rates, and maximum shares available per eligible Employee), but unless otherwise superseded by the terms of such sub plan, the provisions of the Plan shall govern the operation of such sub plan. Alternatively and in order to comply with the laws of a foreign jurisdiction, the Administrator shall have the power, in its discretion, to grant options in an Offering to eligible Employees who are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ectPr>
          <w:pgSz w:w="11900" w:h="16838" w:orient="portrait"/>
          <w:cols w:equalWidth="0" w:num="1">
            <w:col w:w="10908"/>
          </w:cols>
          <w:pgMar w:left="652" w:top="1419" w:right="339" w:bottom="1440" w:gutter="0" w:footer="0" w:header="0"/>
        </w:sectPr>
      </w:pPr>
    </w:p>
    <w:bookmarkStart w:id="100" w:name="page101"/>
    <w:bookmarkEnd w:id="100"/>
    <w:p>
      <w:pPr>
        <w:ind w:left="308" w:hanging="308"/>
        <w:spacing w:after="0"/>
        <w:tabs>
          <w:tab w:leader="none" w:pos="308" w:val="left"/>
        </w:tabs>
        <w:numPr>
          <w:ilvl w:val="0"/>
          <w:numId w:val="147"/>
        </w:numPr>
        <w:rPr>
          <w:rFonts w:ascii="Arial" w:cs="Arial" w:eastAsia="Arial" w:hAnsi="Arial"/>
          <w:sz w:val="20"/>
          <w:szCs w:val="20"/>
          <w:color w:val="auto"/>
        </w:rPr>
      </w:pPr>
      <w:r>
        <w:rPr>
          <w:rFonts w:ascii="Arial" w:cs="Arial" w:eastAsia="Arial" w:hAnsi="Arial"/>
          <w:sz w:val="22"/>
          <w:szCs w:val="22"/>
          <w:u w:val="single" w:color="auto"/>
          <w:color w:val="auto"/>
        </w:rPr>
        <w:t>Designation of Beneficiary</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ind w:left="968" w:hanging="324"/>
        <w:spacing w:after="0" w:line="244" w:lineRule="auto"/>
        <w:rPr>
          <w:rFonts w:ascii="Arial" w:cs="Arial" w:eastAsia="Arial" w:hAnsi="Arial"/>
          <w:sz w:val="20"/>
          <w:szCs w:val="20"/>
          <w:color w:val="auto"/>
        </w:rPr>
      </w:pPr>
      <w:r>
        <w:rPr>
          <w:rFonts w:ascii="Arial" w:cs="Arial" w:eastAsia="Arial" w:hAnsi="Arial"/>
          <w:sz w:val="19"/>
          <w:szCs w:val="19"/>
          <w:color w:val="auto"/>
        </w:rPr>
        <w:t>a. A participant may file a written designation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w:t>
      </w:r>
    </w:p>
    <w:p>
      <w:pPr>
        <w:spacing w:after="0" w:line="206" w:lineRule="exact"/>
        <w:rPr>
          <w:sz w:val="20"/>
          <w:szCs w:val="20"/>
          <w:color w:val="auto"/>
        </w:rPr>
      </w:pPr>
    </w:p>
    <w:p>
      <w:pPr>
        <w:jc w:val="both"/>
        <w:ind w:left="968" w:hanging="320"/>
        <w:spacing w:after="0" w:line="230" w:lineRule="auto"/>
        <w:tabs>
          <w:tab w:leader="none" w:pos="957" w:val="left"/>
        </w:tabs>
        <w:numPr>
          <w:ilvl w:val="1"/>
          <w:numId w:val="148"/>
        </w:numPr>
        <w:rPr>
          <w:rFonts w:ascii="Arial" w:cs="Arial" w:eastAsia="Arial" w:hAnsi="Arial"/>
          <w:sz w:val="20"/>
          <w:szCs w:val="20"/>
          <w:color w:val="auto"/>
        </w:rPr>
      </w:pPr>
      <w:r>
        <w:rPr>
          <w:rFonts w:ascii="Arial" w:cs="Arial" w:eastAsia="Arial" w:hAnsi="Arial"/>
          <w:sz w:val="20"/>
          <w:szCs w:val="20"/>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07" w:lineRule="exact"/>
        <w:rPr>
          <w:rFonts w:ascii="Arial" w:cs="Arial" w:eastAsia="Arial" w:hAnsi="Arial"/>
          <w:sz w:val="20"/>
          <w:szCs w:val="20"/>
          <w:color w:val="auto"/>
        </w:rPr>
      </w:pPr>
    </w:p>
    <w:p>
      <w:pPr>
        <w:jc w:val="both"/>
        <w:ind w:left="328" w:hanging="328"/>
        <w:spacing w:after="0" w:line="236" w:lineRule="auto"/>
        <w:tabs>
          <w:tab w:leader="none" w:pos="317" w:val="left"/>
        </w:tabs>
        <w:numPr>
          <w:ilvl w:val="0"/>
          <w:numId w:val="149"/>
        </w:numPr>
        <w:rPr>
          <w:rFonts w:ascii="Arial" w:cs="Arial" w:eastAsia="Arial" w:hAnsi="Arial"/>
          <w:sz w:val="20"/>
          <w:szCs w:val="20"/>
          <w:color w:val="auto"/>
        </w:rPr>
      </w:pPr>
      <w:r>
        <w:rPr>
          <w:rFonts w:ascii="Arial" w:cs="Arial" w:eastAsia="Arial" w:hAnsi="Arial"/>
          <w:sz w:val="22"/>
          <w:szCs w:val="22"/>
          <w:u w:val="single" w:color="auto"/>
          <w:color w:val="auto"/>
        </w:rPr>
        <w:t>Transferability</w:t>
      </w:r>
      <w:r>
        <w:rPr>
          <w:rFonts w:ascii="Arial" w:cs="Arial" w:eastAsia="Arial" w:hAnsi="Arial"/>
          <w:sz w:val="19"/>
          <w:szCs w:val="19"/>
          <w:color w:val="auto"/>
        </w:rPr>
        <w:t>. Neither payroll deductions credited to a participant's account nor any rights with regard to the exercise of an option</w:t>
      </w:r>
      <w:r>
        <w:rPr>
          <w:rFonts w:ascii="Arial" w:cs="Arial" w:eastAsia="Arial" w:hAnsi="Arial"/>
          <w:sz w:val="22"/>
          <w:szCs w:val="22"/>
          <w:color w:val="auto"/>
        </w:rPr>
        <w:t xml:space="preserve"> </w:t>
      </w:r>
      <w:r>
        <w:rPr>
          <w:rFonts w:ascii="Arial" w:cs="Arial" w:eastAsia="Arial" w:hAnsi="Arial"/>
          <w:sz w:val="19"/>
          <w:szCs w:val="19"/>
          <w:color w:val="auto"/>
        </w:rPr>
        <w:t>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 except that the Company may treat such act as an election to withdraw funds from an Offering in accordance with Section 10 hereof.</w:t>
      </w:r>
    </w:p>
    <w:p>
      <w:pPr>
        <w:spacing w:after="0" w:line="208" w:lineRule="exact"/>
        <w:rPr>
          <w:sz w:val="20"/>
          <w:szCs w:val="20"/>
          <w:color w:val="auto"/>
        </w:rPr>
      </w:pPr>
    </w:p>
    <w:p>
      <w:pPr>
        <w:ind w:left="328" w:hanging="328"/>
        <w:spacing w:after="0" w:line="236" w:lineRule="auto"/>
        <w:tabs>
          <w:tab w:leader="none" w:pos="317" w:val="left"/>
        </w:tabs>
        <w:numPr>
          <w:ilvl w:val="0"/>
          <w:numId w:val="150"/>
        </w:numPr>
        <w:rPr>
          <w:rFonts w:ascii="Arial" w:cs="Arial" w:eastAsia="Arial" w:hAnsi="Arial"/>
          <w:sz w:val="20"/>
          <w:szCs w:val="20"/>
          <w:color w:val="auto"/>
        </w:rPr>
      </w:pPr>
      <w:r>
        <w:rPr>
          <w:rFonts w:ascii="Arial" w:cs="Arial" w:eastAsia="Arial" w:hAnsi="Arial"/>
          <w:sz w:val="22"/>
          <w:szCs w:val="22"/>
          <w:u w:val="single" w:color="auto"/>
          <w:color w:val="auto"/>
        </w:rPr>
        <w:t>Use of Funds</w:t>
      </w:r>
      <w:r>
        <w:rPr>
          <w:rFonts w:ascii="Arial" w:cs="Arial" w:eastAsia="Arial" w:hAnsi="Arial"/>
          <w:sz w:val="19"/>
          <w:szCs w:val="19"/>
          <w:color w:val="auto"/>
        </w:rPr>
        <w:t>. All payroll deductions received or held by the Company under the Plan may be used by the Company for any</w:t>
      </w:r>
      <w:r>
        <w:rPr>
          <w:rFonts w:ascii="Arial" w:cs="Arial" w:eastAsia="Arial" w:hAnsi="Arial"/>
          <w:sz w:val="22"/>
          <w:szCs w:val="22"/>
          <w:color w:val="auto"/>
        </w:rPr>
        <w:t xml:space="preserve"> </w:t>
      </w:r>
      <w:r>
        <w:rPr>
          <w:rFonts w:ascii="Arial" w:cs="Arial" w:eastAsia="Arial" w:hAnsi="Arial"/>
          <w:sz w:val="19"/>
          <w:szCs w:val="19"/>
          <w:color w:val="auto"/>
        </w:rPr>
        <w:t>corporate purpose, and the Company shall not be obligated to segregate such payroll deductions.</w:t>
      </w:r>
    </w:p>
    <w:p>
      <w:pPr>
        <w:spacing w:after="0" w:line="205" w:lineRule="exact"/>
        <w:rPr>
          <w:sz w:val="20"/>
          <w:szCs w:val="20"/>
          <w:color w:val="auto"/>
        </w:rPr>
      </w:pPr>
    </w:p>
    <w:p>
      <w:pPr>
        <w:jc w:val="both"/>
        <w:ind w:left="328" w:hanging="328"/>
        <w:spacing w:after="0" w:line="236" w:lineRule="auto"/>
        <w:tabs>
          <w:tab w:leader="none" w:pos="317" w:val="left"/>
        </w:tabs>
        <w:numPr>
          <w:ilvl w:val="0"/>
          <w:numId w:val="151"/>
        </w:numPr>
        <w:rPr>
          <w:rFonts w:ascii="Arial" w:cs="Arial" w:eastAsia="Arial" w:hAnsi="Arial"/>
          <w:sz w:val="20"/>
          <w:szCs w:val="20"/>
          <w:color w:val="auto"/>
        </w:rPr>
      </w:pPr>
      <w:r>
        <w:rPr>
          <w:rFonts w:ascii="Arial" w:cs="Arial" w:eastAsia="Arial" w:hAnsi="Arial"/>
          <w:sz w:val="22"/>
          <w:szCs w:val="22"/>
          <w:u w:val="single" w:color="auto"/>
          <w:color w:val="auto"/>
        </w:rPr>
        <w:t>Reports</w:t>
      </w:r>
      <w:r>
        <w:rPr>
          <w:rFonts w:ascii="Arial" w:cs="Arial" w:eastAsia="Arial" w:hAnsi="Arial"/>
          <w:sz w:val="19"/>
          <w:szCs w:val="19"/>
          <w:color w:val="auto"/>
        </w:rPr>
        <w:t>. Individual accounts shall be maintained for each participant in the Plan. Statements of account shall be given to</w:t>
      </w:r>
      <w:r>
        <w:rPr>
          <w:rFonts w:ascii="Arial" w:cs="Arial" w:eastAsia="Arial" w:hAnsi="Arial"/>
          <w:sz w:val="22"/>
          <w:szCs w:val="22"/>
          <w:color w:val="auto"/>
        </w:rPr>
        <w:t xml:space="preserve"> </w:t>
      </w:r>
      <w:r>
        <w:rPr>
          <w:rFonts w:ascii="Arial" w:cs="Arial" w:eastAsia="Arial" w:hAnsi="Arial"/>
          <w:sz w:val="19"/>
          <w:szCs w:val="19"/>
          <w:color w:val="auto"/>
        </w:rPr>
        <w:t>participating Employees at least annually, which statements shall set forth the amounts of payroll deductions, the Purchase Price, the number of shares purchased and the remaining cash balance, if any.</w:t>
      </w:r>
    </w:p>
    <w:p>
      <w:pPr>
        <w:spacing w:after="0" w:line="206" w:lineRule="exact"/>
        <w:rPr>
          <w:sz w:val="20"/>
          <w:szCs w:val="20"/>
          <w:color w:val="auto"/>
        </w:rPr>
      </w:pPr>
    </w:p>
    <w:p>
      <w:pPr>
        <w:ind w:left="308" w:hanging="308"/>
        <w:spacing w:after="0"/>
        <w:tabs>
          <w:tab w:leader="none" w:pos="308" w:val="left"/>
        </w:tabs>
        <w:numPr>
          <w:ilvl w:val="0"/>
          <w:numId w:val="152"/>
        </w:numPr>
        <w:rPr>
          <w:rFonts w:ascii="Arial" w:cs="Arial" w:eastAsia="Arial" w:hAnsi="Arial"/>
          <w:sz w:val="20"/>
          <w:szCs w:val="20"/>
          <w:color w:val="auto"/>
        </w:rPr>
      </w:pPr>
      <w:r>
        <w:rPr>
          <w:rFonts w:ascii="Arial" w:cs="Arial" w:eastAsia="Arial" w:hAnsi="Arial"/>
          <w:sz w:val="22"/>
          <w:szCs w:val="22"/>
          <w:u w:val="single" w:color="auto"/>
          <w:color w:val="auto"/>
        </w:rPr>
        <w:t>Adjustments Upon Changes in Capitalization, Dissolution, Liquidation, Merger or Asset Sale</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ind w:left="968" w:hanging="324"/>
        <w:spacing w:after="0" w:line="243" w:lineRule="auto"/>
        <w:rPr>
          <w:rFonts w:ascii="Arial" w:cs="Arial" w:eastAsia="Arial" w:hAnsi="Arial"/>
          <w:sz w:val="20"/>
          <w:szCs w:val="20"/>
          <w:color w:val="auto"/>
        </w:rPr>
      </w:pPr>
      <w:r>
        <w:rPr>
          <w:rFonts w:ascii="Arial" w:cs="Arial" w:eastAsia="Arial" w:hAnsi="Arial"/>
          <w:sz w:val="19"/>
          <w:szCs w:val="19"/>
          <w:color w:val="auto"/>
        </w:rPr>
        <w:t>a. Changes in Capitalization. Subject to any required action by the stockholders of the Company, the Reserves, the amount of the annual Plan share replenishment,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w:t>
      </w:r>
    </w:p>
    <w:p>
      <w:pPr>
        <w:sectPr>
          <w:pgSz w:w="11900" w:h="16838" w:orient="portrait"/>
          <w:cols w:equalWidth="0" w:num="1">
            <w:col w:w="10908"/>
          </w:cols>
          <w:pgMar w:left="652" w:top="1414" w:right="339" w:bottom="1440" w:gutter="0" w:footer="0" w:header="0"/>
        </w:sectPr>
      </w:pPr>
    </w:p>
    <w:bookmarkStart w:id="101" w:name="page102"/>
    <w:bookmarkEnd w:id="101"/>
    <w:p>
      <w:pPr>
        <w:jc w:val="both"/>
        <w:ind w:left="968"/>
        <w:spacing w:after="0" w:line="267" w:lineRule="auto"/>
        <w:rPr>
          <w:sz w:val="20"/>
          <w:szCs w:val="20"/>
          <w:color w:val="auto"/>
        </w:rPr>
      </w:pPr>
      <w:r>
        <w:rPr>
          <w:rFonts w:ascii="Arial" w:cs="Arial" w:eastAsia="Arial" w:hAnsi="Arial"/>
          <w:sz w:val="18"/>
          <w:szCs w:val="18"/>
          <w:color w:val="auto"/>
        </w:rPr>
        <w:t>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6" w:lineRule="exact"/>
        <w:rPr>
          <w:sz w:val="20"/>
          <w:szCs w:val="20"/>
          <w:color w:val="auto"/>
        </w:rPr>
      </w:pPr>
    </w:p>
    <w:p>
      <w:pPr>
        <w:ind w:left="968" w:hanging="320"/>
        <w:spacing w:after="0" w:line="300" w:lineRule="auto"/>
        <w:tabs>
          <w:tab w:leader="none" w:pos="95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Dissolution or Liquidation. In the event of the proposed dissolution or liquidation of the Company, the Offerings shall terminate immediately prior to the consummation of such proposed action, unless otherwise provided by the Administrator.</w:t>
      </w:r>
    </w:p>
    <w:p>
      <w:pPr>
        <w:spacing w:after="0" w:line="158" w:lineRule="exact"/>
        <w:rPr>
          <w:sz w:val="20"/>
          <w:szCs w:val="20"/>
          <w:color w:val="auto"/>
        </w:rPr>
      </w:pPr>
    </w:p>
    <w:p>
      <w:pPr>
        <w:jc w:val="both"/>
        <w:ind w:left="968" w:hanging="320"/>
        <w:spacing w:after="0" w:line="258" w:lineRule="auto"/>
        <w:tabs>
          <w:tab w:leader="none" w:pos="95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Merger or Asset Sale. In the event of a proposed sale of all or substantially all of the assets of the Company, or the merger of the Company with or into another corporation, any Purchase Periods then in progress shall be shortened by setting a New Exercise Date and any Offerings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as provided in Section 10 hereof.</w:t>
      </w:r>
    </w:p>
    <w:p>
      <w:pPr>
        <w:spacing w:after="0" w:line="192" w:lineRule="exact"/>
        <w:rPr>
          <w:rFonts w:ascii="Arial" w:cs="Arial" w:eastAsia="Arial" w:hAnsi="Arial"/>
          <w:sz w:val="18"/>
          <w:szCs w:val="18"/>
          <w:color w:val="auto"/>
        </w:rPr>
      </w:pPr>
    </w:p>
    <w:p>
      <w:pPr>
        <w:ind w:left="308" w:hanging="308"/>
        <w:spacing w:after="0"/>
        <w:tabs>
          <w:tab w:leader="none" w:pos="308" w:val="left"/>
        </w:tabs>
        <w:numPr>
          <w:ilvl w:val="0"/>
          <w:numId w:val="155"/>
        </w:numPr>
        <w:rPr>
          <w:rFonts w:ascii="Arial" w:cs="Arial" w:eastAsia="Arial" w:hAnsi="Arial"/>
          <w:sz w:val="20"/>
          <w:szCs w:val="20"/>
          <w:color w:val="auto"/>
        </w:rPr>
      </w:pPr>
      <w:r>
        <w:rPr>
          <w:rFonts w:ascii="Arial" w:cs="Arial" w:eastAsia="Arial" w:hAnsi="Arial"/>
          <w:sz w:val="22"/>
          <w:szCs w:val="22"/>
          <w:u w:val="single" w:color="auto"/>
          <w:color w:val="auto"/>
        </w:rPr>
        <w:t>Amendment or Termination</w:t>
      </w:r>
      <w:r>
        <w:rPr>
          <w:rFonts w:ascii="Arial" w:cs="Arial" w:eastAsia="Arial" w:hAnsi="Arial"/>
          <w:sz w:val="19"/>
          <w:szCs w:val="19"/>
          <w:color w:val="auto"/>
        </w:rPr>
        <w:t>.</w:t>
      </w:r>
    </w:p>
    <w:p>
      <w:pPr>
        <w:spacing w:after="0" w:line="237" w:lineRule="exact"/>
        <w:rPr>
          <w:rFonts w:ascii="Arial" w:cs="Arial" w:eastAsia="Arial" w:hAnsi="Arial"/>
          <w:sz w:val="20"/>
          <w:szCs w:val="20"/>
          <w:color w:val="auto"/>
        </w:rPr>
      </w:pPr>
    </w:p>
    <w:p>
      <w:pPr>
        <w:jc w:val="both"/>
        <w:ind w:left="968" w:right="20" w:hanging="320"/>
        <w:spacing w:after="0" w:line="288" w:lineRule="auto"/>
        <w:tabs>
          <w:tab w:leader="none" w:pos="95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Board may at any time and for any reason terminate or amend the Plan. Except as provided in Section 18 hereof, no such termination can affect options previously granted, provided that an Offering may be terminated by the Board on any Exercise Date if the Board determines that the termination of the Plan is in the best interests of the Company and its stockholders.</w:t>
      </w:r>
    </w:p>
    <w:p>
      <w:pPr>
        <w:spacing w:after="0" w:line="1" w:lineRule="exact"/>
        <w:rPr>
          <w:rFonts w:ascii="Arial" w:cs="Arial" w:eastAsia="Arial" w:hAnsi="Arial"/>
          <w:sz w:val="16"/>
          <w:szCs w:val="16"/>
          <w:color w:val="auto"/>
        </w:rPr>
      </w:pPr>
    </w:p>
    <w:p>
      <w:pPr>
        <w:ind w:left="968" w:right="40"/>
        <w:spacing w:after="0" w:line="228" w:lineRule="auto"/>
        <w:rPr>
          <w:rFonts w:ascii="Arial" w:cs="Arial" w:eastAsia="Arial" w:hAnsi="Arial"/>
          <w:sz w:val="16"/>
          <w:szCs w:val="16"/>
          <w:color w:val="auto"/>
        </w:rPr>
      </w:pPr>
      <w:r>
        <w:rPr>
          <w:rFonts w:ascii="Arial" w:cs="Arial" w:eastAsia="Arial" w:hAnsi="Arial"/>
          <w:sz w:val="20"/>
          <w:szCs w:val="20"/>
          <w:color w:val="auto"/>
        </w:rPr>
        <w:t>Except as provided in Section 18 hereof, no amendment may make any change in any option theretofore granted which adversely affects the rights of any participant. To the extent necessary to comply with Rule 16b-3 or under Section 423 of the Code (or any successor rule or provision or any other applicable law or regulation), the Company shall obtain stockholder approval in such a manner and to such a degree as required. In addition, the Company shall not amend the Plan to extend the Offering Period limit established in Section 2(n) or to lower the Purchase Price floor established in Section 4, as applicable to any Offering(s) under the Plan or any sub plan established pursuant to Section 13(b), without obtaining stockholder approval.</w:t>
      </w:r>
    </w:p>
    <w:p>
      <w:pPr>
        <w:spacing w:after="0" w:line="210" w:lineRule="exact"/>
        <w:rPr>
          <w:sz w:val="20"/>
          <w:szCs w:val="20"/>
          <w:color w:val="auto"/>
        </w:rPr>
      </w:pPr>
    </w:p>
    <w:p>
      <w:pPr>
        <w:jc w:val="both"/>
        <w:ind w:left="968" w:hanging="320"/>
        <w:spacing w:after="0" w:line="241" w:lineRule="auto"/>
        <w:tabs>
          <w:tab w:leader="none" w:pos="95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Without stockholder consent and without regard to whether any participant rights may be considered to have been “adversely affected,” the Administrator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w:t>
      </w:r>
    </w:p>
    <w:p>
      <w:pPr>
        <w:sectPr>
          <w:pgSz w:w="11900" w:h="16838" w:orient="portrait"/>
          <w:cols w:equalWidth="0" w:num="1">
            <w:col w:w="10908"/>
          </w:cols>
          <w:pgMar w:left="652" w:top="1419" w:right="339" w:bottom="1440" w:gutter="0" w:footer="0" w:header="0"/>
        </w:sectPr>
      </w:pPr>
    </w:p>
    <w:bookmarkStart w:id="102" w:name="page103"/>
    <w:bookmarkEnd w:id="102"/>
    <w:p>
      <w:pPr>
        <w:spacing w:after="0" w:line="222" w:lineRule="exact"/>
        <w:rPr>
          <w:sz w:val="20"/>
          <w:szCs w:val="20"/>
          <w:color w:val="auto"/>
        </w:rPr>
      </w:pPr>
    </w:p>
    <w:p>
      <w:pPr>
        <w:jc w:val="both"/>
        <w:ind w:left="1300" w:hanging="320"/>
        <w:spacing w:after="0" w:line="254" w:lineRule="auto"/>
        <w:tabs>
          <w:tab w:leader="none" w:pos="128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97" w:lineRule="exact"/>
        <w:rPr>
          <w:sz w:val="20"/>
          <w:szCs w:val="20"/>
          <w:color w:val="auto"/>
        </w:rPr>
      </w:pPr>
    </w:p>
    <w:p>
      <w:pPr>
        <w:ind w:left="1960" w:hanging="431"/>
        <w:spacing w:after="0" w:line="246" w:lineRule="auto"/>
        <w:tabs>
          <w:tab w:leader="none" w:pos="196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altering the Purchase Price for any Offering including an Offering underway at the time of the change in Purchase Price;</w:t>
      </w:r>
    </w:p>
    <w:p>
      <w:pPr>
        <w:spacing w:after="0" w:line="204" w:lineRule="exact"/>
        <w:rPr>
          <w:sz w:val="20"/>
          <w:szCs w:val="20"/>
          <w:color w:val="auto"/>
        </w:rPr>
      </w:pPr>
    </w:p>
    <w:p>
      <w:pPr>
        <w:ind w:left="1960" w:hanging="431"/>
        <w:spacing w:after="0" w:line="254" w:lineRule="auto"/>
        <w:tabs>
          <w:tab w:leader="none" w:pos="19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shortening any Offering Period so that Offering Period ends on a New Exercise Date, including an Offering Period underway at </w:t>
      </w:r>
      <w:r>
        <w:rPr>
          <w:rFonts w:ascii="Arial" w:cs="Arial" w:eastAsia="Arial" w:hAnsi="Arial"/>
          <w:sz w:val="21"/>
          <w:szCs w:val="21"/>
          <w:color w:val="auto"/>
        </w:rPr>
        <w:t>the time of the Administrator action; and</w:t>
      </w:r>
    </w:p>
    <w:p>
      <w:pPr>
        <w:spacing w:after="0" w:line="198" w:lineRule="exact"/>
        <w:rPr>
          <w:sz w:val="20"/>
          <w:szCs w:val="20"/>
          <w:color w:val="auto"/>
        </w:rPr>
      </w:pPr>
    </w:p>
    <w:p>
      <w:pPr>
        <w:ind w:left="1960" w:hanging="431"/>
        <w:spacing w:after="0"/>
        <w:tabs>
          <w:tab w:leader="none" w:pos="1960" w:val="left"/>
        </w:tabs>
        <w:numPr>
          <w:ilvl w:val="0"/>
          <w:numId w:val="160"/>
        </w:numPr>
        <w:rPr>
          <w:rFonts w:ascii="Arial" w:cs="Arial" w:eastAsia="Arial" w:hAnsi="Arial"/>
          <w:sz w:val="20"/>
          <w:szCs w:val="20"/>
          <w:color w:val="auto"/>
        </w:rPr>
      </w:pPr>
      <w:r>
        <w:rPr>
          <w:rFonts w:ascii="Arial" w:cs="Arial" w:eastAsia="Arial" w:hAnsi="Arial"/>
          <w:sz w:val="22"/>
          <w:szCs w:val="22"/>
          <w:color w:val="auto"/>
        </w:rPr>
        <w:t>allocating shares.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Such modifications or amendments shall not require stockholder approval or the consent of any Plan participants.</w:t>
      </w:r>
    </w:p>
    <w:p>
      <w:pPr>
        <w:spacing w:after="0" w:line="245" w:lineRule="exact"/>
        <w:rPr>
          <w:sz w:val="20"/>
          <w:szCs w:val="20"/>
          <w:color w:val="auto"/>
        </w:rPr>
      </w:pPr>
    </w:p>
    <w:p>
      <w:pPr>
        <w:jc w:val="both"/>
        <w:ind w:left="660" w:hanging="328"/>
        <w:spacing w:after="0" w:line="236" w:lineRule="auto"/>
        <w:tabs>
          <w:tab w:leader="none" w:pos="649" w:val="left"/>
        </w:tabs>
        <w:numPr>
          <w:ilvl w:val="0"/>
          <w:numId w:val="161"/>
        </w:numPr>
        <w:rPr>
          <w:rFonts w:ascii="Arial" w:cs="Arial" w:eastAsia="Arial" w:hAnsi="Arial"/>
          <w:sz w:val="20"/>
          <w:szCs w:val="20"/>
          <w:color w:val="auto"/>
        </w:rPr>
      </w:pPr>
      <w:r>
        <w:rPr>
          <w:rFonts w:ascii="Arial" w:cs="Arial" w:eastAsia="Arial" w:hAnsi="Arial"/>
          <w:sz w:val="22"/>
          <w:szCs w:val="22"/>
          <w:u w:val="single" w:color="auto"/>
          <w:color w:val="auto"/>
        </w:rPr>
        <w:t>Notices</w:t>
      </w:r>
      <w:r>
        <w:rPr>
          <w:rFonts w:ascii="Arial" w:cs="Arial" w:eastAsia="Arial" w:hAnsi="Arial"/>
          <w:sz w:val="19"/>
          <w:szCs w:val="19"/>
          <w:color w:val="auto"/>
        </w:rPr>
        <w:t>. All notices or other communications by a participant to the Company under or in connection with the Plan shall be deemed</w:t>
      </w:r>
      <w:r>
        <w:rPr>
          <w:rFonts w:ascii="Arial" w:cs="Arial" w:eastAsia="Arial" w:hAnsi="Arial"/>
          <w:sz w:val="22"/>
          <w:szCs w:val="22"/>
          <w:color w:val="auto"/>
        </w:rPr>
        <w:t xml:space="preserve"> </w:t>
      </w:r>
      <w:r>
        <w:rPr>
          <w:rFonts w:ascii="Arial" w:cs="Arial" w:eastAsia="Arial" w:hAnsi="Arial"/>
          <w:sz w:val="19"/>
          <w:szCs w:val="19"/>
          <w:color w:val="auto"/>
        </w:rPr>
        <w:t>to have been duly given when received in the form specified by the Company at the location, or by the person, designated by the Company for the receipt thereof.</w:t>
      </w:r>
    </w:p>
    <w:p>
      <w:pPr>
        <w:spacing w:after="0" w:line="206" w:lineRule="exact"/>
        <w:rPr>
          <w:sz w:val="20"/>
          <w:szCs w:val="20"/>
          <w:color w:val="auto"/>
        </w:rPr>
      </w:pPr>
    </w:p>
    <w:p>
      <w:pPr>
        <w:jc w:val="both"/>
        <w:ind w:left="660" w:hanging="328"/>
        <w:spacing w:after="0" w:line="251" w:lineRule="auto"/>
        <w:tabs>
          <w:tab w:leader="none" w:pos="649" w:val="left"/>
        </w:tabs>
        <w:numPr>
          <w:ilvl w:val="0"/>
          <w:numId w:val="162"/>
        </w:numPr>
        <w:rPr>
          <w:rFonts w:ascii="Arial" w:cs="Arial" w:eastAsia="Arial" w:hAnsi="Arial"/>
          <w:sz w:val="19"/>
          <w:szCs w:val="19"/>
          <w:color w:val="auto"/>
        </w:rPr>
      </w:pPr>
      <w:r>
        <w:rPr>
          <w:rFonts w:ascii="Arial" w:cs="Arial" w:eastAsia="Arial" w:hAnsi="Arial"/>
          <w:sz w:val="21"/>
          <w:szCs w:val="21"/>
          <w:u w:val="single" w:color="auto"/>
          <w:color w:val="auto"/>
        </w:rPr>
        <w:t>Conditions Upon Issuance of Shares</w:t>
      </w:r>
      <w:r>
        <w:rPr>
          <w:rFonts w:ascii="Arial" w:cs="Arial" w:eastAsia="Arial" w:hAnsi="Arial"/>
          <w:sz w:val="18"/>
          <w:szCs w:val="18"/>
          <w:color w:val="auto"/>
        </w:rPr>
        <w:t>. Shares shall not be issued with respect to an option unless the exercise of such option and</w:t>
      </w:r>
      <w:r>
        <w:rPr>
          <w:rFonts w:ascii="Arial" w:cs="Arial" w:eastAsia="Arial" w:hAnsi="Arial"/>
          <w:sz w:val="21"/>
          <w:szCs w:val="21"/>
          <w:color w:val="auto"/>
        </w:rPr>
        <w:t xml:space="preserve"> </w:t>
      </w:r>
      <w:r>
        <w:rPr>
          <w:rFonts w:ascii="Arial" w:cs="Arial" w:eastAsia="Arial" w:hAnsi="Arial"/>
          <w:sz w:val="18"/>
          <w:szCs w:val="18"/>
          <w:color w:val="auto"/>
        </w:rPr>
        <w:t>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12" w:lineRule="exact"/>
        <w:rPr>
          <w:sz w:val="20"/>
          <w:szCs w:val="20"/>
          <w:color w:val="auto"/>
        </w:rPr>
      </w:pPr>
    </w:p>
    <w:p>
      <w:pPr>
        <w:jc w:val="both"/>
        <w:ind w:left="660" w:hanging="328"/>
        <w:spacing w:after="0" w:line="236" w:lineRule="auto"/>
        <w:tabs>
          <w:tab w:leader="none" w:pos="649" w:val="left"/>
        </w:tabs>
        <w:numPr>
          <w:ilvl w:val="0"/>
          <w:numId w:val="163"/>
        </w:numPr>
        <w:rPr>
          <w:rFonts w:ascii="Arial" w:cs="Arial" w:eastAsia="Arial" w:hAnsi="Arial"/>
          <w:sz w:val="20"/>
          <w:szCs w:val="20"/>
          <w:color w:val="auto"/>
        </w:rPr>
      </w:pPr>
      <w:r>
        <w:rPr>
          <w:rFonts w:ascii="Arial" w:cs="Arial" w:eastAsia="Arial" w:hAnsi="Arial"/>
          <w:sz w:val="22"/>
          <w:szCs w:val="22"/>
          <w:u w:val="single" w:color="auto"/>
          <w:color w:val="auto"/>
        </w:rPr>
        <w:t>Information to Employees</w:t>
      </w:r>
      <w:r>
        <w:rPr>
          <w:rFonts w:ascii="Arial" w:cs="Arial" w:eastAsia="Arial" w:hAnsi="Arial"/>
          <w:sz w:val="19"/>
          <w:szCs w:val="19"/>
          <w:color w:val="auto"/>
        </w:rPr>
        <w:t>. The Company shall provide to each Employee who acquires shares pursuant to the Plan, not less</w:t>
      </w:r>
      <w:r>
        <w:rPr>
          <w:rFonts w:ascii="Arial" w:cs="Arial" w:eastAsia="Arial" w:hAnsi="Arial"/>
          <w:sz w:val="22"/>
          <w:szCs w:val="22"/>
          <w:color w:val="auto"/>
        </w:rPr>
        <w:t xml:space="preserve"> </w:t>
      </w:r>
      <w:r>
        <w:rPr>
          <w:rFonts w:ascii="Arial" w:cs="Arial" w:eastAsia="Arial" w:hAnsi="Arial"/>
          <w:sz w:val="19"/>
          <w:szCs w:val="19"/>
          <w:color w:val="auto"/>
        </w:rPr>
        <w:t>frequently than annually during the period such individual owns such shares, copies of annual financial statements. The Company shall not be required to provide such statements to key employees whose duties in connection with the Company assure their access to equivalent information.</w:t>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color w:val="auto"/>
        </w:rPr>
        <w:t>Exhibit 10.5</w:t>
      </w:r>
    </w:p>
    <w:p>
      <w:pPr>
        <w:spacing w:after="0" w:line="345"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NOTICE OF GRANT OF RESTRICTED STOCK UNIT AWARD AND AGREEMENT</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UNDER THE 8x8, INC. 2012 AMENDED &amp; RESTATED EQUITY INCENTIVE PLAN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Name of Participant:</w:t>
            </w:r>
          </w:p>
        </w:tc>
        <w:tc>
          <w:tcPr>
            <w:tcW w:w="56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%%FIRST_NAME%-% %%LAST_NAME%-%</w:t>
            </w:r>
          </w:p>
        </w:tc>
      </w:tr>
      <w:tr>
        <w:trPr>
          <w:trHeight w:val="23"/>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4"/>
        </w:trPr>
        <w:tc>
          <w:tcPr>
            <w:tcW w:w="4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Award Date:</w:t>
            </w: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%%OPTION_DATE,’Month DD, YYYY’%-%</w:t>
            </w:r>
          </w:p>
        </w:tc>
      </w:tr>
      <w:tr>
        <w:trPr>
          <w:trHeight w:val="23"/>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4"/>
        </w:trPr>
        <w:tc>
          <w:tcPr>
            <w:tcW w:w="4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Number of RSUs (at 100% of Attainment):</w:t>
            </w: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%%TOTAL_SHARES_GRANTED%-%</w:t>
            </w:r>
          </w:p>
        </w:tc>
      </w:tr>
      <w:tr>
        <w:trPr>
          <w:trHeight w:val="23"/>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4"/>
        </w:trPr>
        <w:tc>
          <w:tcPr>
            <w:tcW w:w="4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Vesting Commencement Date:</w:t>
            </w: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%%VEST_BASE_DATE,’Month DD, YYYY’%-%</w:t>
            </w:r>
          </w:p>
        </w:tc>
      </w:tr>
      <w:tr>
        <w:trPr>
          <w:trHeight w:val="23"/>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4"/>
        </w:trPr>
        <w:tc>
          <w:tcPr>
            <w:tcW w:w="4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Vesting Terms:</w:t>
            </w:r>
          </w:p>
        </w:tc>
        <w:tc>
          <w:tcPr>
            <w:tcW w:w="5640" w:type="dxa"/>
            <w:vAlign w:val="bottom"/>
            <w:tcBorders>
              <w:right w:val="single" w:sz="8" w:color="auto"/>
            </w:tcBorders>
          </w:tcPr>
          <w:p>
            <w:pPr>
              <w:spacing w:after="0"/>
              <w:rPr>
                <w:sz w:val="22"/>
                <w:szCs w:val="22"/>
                <w:color w:val="auto"/>
              </w:rPr>
            </w:pPr>
          </w:p>
        </w:tc>
      </w:tr>
      <w:tr>
        <w:trPr>
          <w:trHeight w:val="23"/>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8x8, Inc. (the “</w:t>
      </w:r>
      <w:r>
        <w:rPr>
          <w:rFonts w:ascii="Arial" w:cs="Arial" w:eastAsia="Arial" w:hAnsi="Arial"/>
          <w:sz w:val="18"/>
          <w:szCs w:val="18"/>
          <w:b w:val="1"/>
          <w:bCs w:val="1"/>
          <w:color w:val="auto"/>
        </w:rPr>
        <w:t>Company</w:t>
      </w:r>
      <w:r>
        <w:rPr>
          <w:rFonts w:ascii="Arial" w:cs="Arial" w:eastAsia="Arial" w:hAnsi="Arial"/>
          <w:sz w:val="18"/>
          <w:szCs w:val="18"/>
          <w:color w:val="auto"/>
        </w:rPr>
        <w:t>”) has granted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an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of the number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(as defined in the Company’s Amended &amp; Restated 2012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obtain shares of the Company’s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as set forth in this Notice of Grant of Restricted Stock Unit Award and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The RSUs are in all respects subject to continued employment or other association with the Company or any of its Affiliates and all other terms and conditions of this Agreement. By accepting this grant, the Participant is agreeing that the Participant and the Participant’s spouse or domestic partner are bound by all of the terms of this Agreement with respect to such Award, and the Participant: (a) acknowledges receipt of and represents that the Participant has read and is familiar with this Agreement and the Plan in the form most recently prepared in connection with the registration with the Securities and Exchange Commission of shares issuable pursuant to the Plan, (b) accepts the grant subject to all of the terms and conditions of this Agreement and the Plan and (c) agrees to accept as binding, conclusive and final all decisions or interpretations of the Committee upon any questions arising under this Agreement or the Plan.</w:t>
      </w:r>
    </w:p>
    <w:p>
      <w:pPr>
        <w:spacing w:after="0" w:line="200" w:lineRule="exact"/>
        <w:rPr>
          <w:sz w:val="20"/>
          <w:szCs w:val="20"/>
          <w:color w:val="auto"/>
        </w:rPr>
      </w:pPr>
    </w:p>
    <w:p>
      <w:pPr>
        <w:spacing w:after="0" w:line="31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Vesting</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No portion of the shares of Common Stock that the Participant is entitled to receive will be issued until such portion has vested. The RSUs shall vest as provided pursuant to the Vesting Terms set forth in the table above in this Agreement, provided in each case that the Participant is then, and since the Award Date has remained, in continued employment or other association with the Company.</w:t>
      </w: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Issuance of Common Stock</w:t>
      </w:r>
    </w:p>
    <w:p>
      <w:pPr>
        <w:spacing w:after="0" w:line="248" w:lineRule="exact"/>
        <w:rPr>
          <w:rFonts w:ascii="Arial" w:cs="Arial" w:eastAsia="Arial" w:hAnsi="Arial"/>
          <w:sz w:val="20"/>
          <w:szCs w:val="20"/>
          <w:b w:val="1"/>
          <w:bCs w:val="1"/>
          <w:color w:val="auto"/>
        </w:rPr>
      </w:pPr>
    </w:p>
    <w:p>
      <w:pPr>
        <w:ind w:left="1300" w:hanging="644"/>
        <w:spacing w:after="0"/>
        <w:tabs>
          <w:tab w:leader="none" w:pos="130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Each vested RSU entitles the Participant to receive one share of Common Stock.</w:t>
      </w:r>
    </w:p>
    <w:p>
      <w:pPr>
        <w:spacing w:after="0" w:line="242" w:lineRule="exact"/>
        <w:rPr>
          <w:rFonts w:ascii="Arial" w:cs="Arial" w:eastAsia="Arial" w:hAnsi="Arial"/>
          <w:sz w:val="20"/>
          <w:szCs w:val="20"/>
          <w:color w:val="auto"/>
        </w:rPr>
      </w:pPr>
    </w:p>
    <w:p>
      <w:pPr>
        <w:jc w:val="both"/>
        <w:ind w:firstLine="656"/>
        <w:spacing w:after="0" w:line="246" w:lineRule="auto"/>
        <w:tabs>
          <w:tab w:leader="none" w:pos="129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As soon as practicable following the vesting of RSUs but in any event no later than 2½ months following the calendar year in which such RSUs vested (or any earlier date, after vesting, required to avoid characterization as non-qualified deferred compensation under Section 409A of the Code), the shares of Common Stock underlying the vested RSUs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will be delivered to the Participant, subject to the terms and conditions of the Plan, including Section 9 thereof.</w:t>
      </w:r>
    </w:p>
    <w:p>
      <w:pPr>
        <w:spacing w:after="0" w:line="218" w:lineRule="exact"/>
        <w:rPr>
          <w:rFonts w:ascii="Arial" w:cs="Arial" w:eastAsia="Arial" w:hAnsi="Arial"/>
          <w:sz w:val="20"/>
          <w:szCs w:val="20"/>
          <w:color w:val="auto"/>
        </w:rPr>
      </w:pPr>
    </w:p>
    <w:p>
      <w:pPr>
        <w:ind w:firstLine="656"/>
        <w:spacing w:after="0" w:line="260" w:lineRule="auto"/>
        <w:tabs>
          <w:tab w:leader="none" w:pos="1285" w:val="left"/>
        </w:tabs>
        <w:numPr>
          <w:ilvl w:val="1"/>
          <w:numId w:val="164"/>
        </w:numPr>
        <w:rPr>
          <w:rFonts w:ascii="Arial" w:cs="Arial" w:eastAsia="Arial" w:hAnsi="Arial"/>
          <w:sz w:val="20"/>
          <w:szCs w:val="20"/>
          <w:color w:val="auto"/>
        </w:rPr>
      </w:pPr>
      <w:r>
        <w:rPr>
          <w:rFonts w:ascii="Arial" w:cs="Arial" w:eastAsia="Arial" w:hAnsi="Arial"/>
          <w:sz w:val="20"/>
          <w:szCs w:val="20"/>
          <w:color w:val="auto"/>
        </w:rPr>
        <w:t>Until such time as any Shares have been issued to the Participant pursuant to Section 2(b) above, the Participant shall not have any rights as a holder of shares of Common Stock underlying the RSUs,</w:t>
      </w:r>
    </w:p>
    <w:p>
      <w:pPr>
        <w:sectPr>
          <w:pgSz w:w="11900" w:h="16838" w:orient="portrait"/>
          <w:cols w:equalWidth="0" w:num="1">
            <w:col w:w="11240"/>
          </w:cols>
          <w:pgMar w:left="320" w:top="825" w:right="339" w:bottom="1440" w:gutter="0" w:footer="0" w:header="0"/>
        </w:sectPr>
      </w:pPr>
    </w:p>
    <w:bookmarkStart w:id="104" w:name="page105"/>
    <w:bookmarkEnd w:id="104"/>
    <w:p>
      <w:pPr>
        <w:jc w:val="both"/>
        <w:spacing w:after="0" w:line="260" w:lineRule="auto"/>
        <w:rPr>
          <w:sz w:val="20"/>
          <w:szCs w:val="20"/>
          <w:color w:val="auto"/>
        </w:rPr>
      </w:pPr>
      <w:r>
        <w:rPr>
          <w:rFonts w:ascii="Arial" w:cs="Arial" w:eastAsia="Arial" w:hAnsi="Arial"/>
          <w:sz w:val="20"/>
          <w:szCs w:val="20"/>
          <w:color w:val="auto"/>
        </w:rPr>
        <w:t>including, but not limited to, voting rights, rights to receive dividends and other distributions with respect to Common Stock, and stockholder inspection rights.</w:t>
      </w:r>
    </w:p>
    <w:p>
      <w:pPr>
        <w:spacing w:after="0" w:line="200" w:lineRule="exact"/>
        <w:rPr>
          <w:sz w:val="20"/>
          <w:szCs w:val="20"/>
          <w:color w:val="auto"/>
        </w:rPr>
      </w:pPr>
    </w:p>
    <w:p>
      <w:pPr>
        <w:spacing w:after="0" w:line="21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Termination of Continuous Employment or other association with the Company</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Participant’s right in any RSUs that are not vested as of the date on which the Participant’s continued employment or other association with the Company has ceased shall automatically terminate on such date, and such RSUs shall be canceled as provided under the Plan and shall be of no further force and effect. In the event of the termination of Participant’s continued employment or other association with the Company, the Company, as soon as practicable following the effective date of termination, shall issue shares of Common Stock to the Participant (or the Participant’s designated beneficiary or estate executor in the event of Participant’s death) with respect to any RSUs which, as of the effective date of termination of such employment or other association, have vested but for which shares of Common Stock had not yet been issued to the Participant.</w:t>
      </w:r>
    </w:p>
    <w:p>
      <w:pPr>
        <w:spacing w:after="0" w:line="200" w:lineRule="exact"/>
        <w:rPr>
          <w:sz w:val="20"/>
          <w:szCs w:val="20"/>
          <w:color w:val="auto"/>
        </w:rPr>
      </w:pPr>
    </w:p>
    <w:p>
      <w:pPr>
        <w:spacing w:after="0" w:line="22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8"/>
          <w:szCs w:val="18"/>
          <w:b w:val="1"/>
          <w:bCs w:val="1"/>
          <w:color w:val="auto"/>
        </w:rPr>
        <w:t>Incorporation of General Terms and Conditions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herein to the contrary, this Award shall be subject to and governed by all the terms and conditions of the Plan.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in this Agreement shall have the meaning specified in the Plan, unless a different meaning is specified in this Agreement.</w:t>
      </w:r>
    </w:p>
    <w:p>
      <w:pPr>
        <w:spacing w:after="0" w:line="1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8"/>
          <w:szCs w:val="18"/>
          <w:b w:val="1"/>
          <w:bCs w:val="1"/>
          <w:color w:val="auto"/>
        </w:rPr>
        <w:t>Transferability</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Agreement is personal to the Participant, is non-assignable, and is not transferable in any manner, by operation of law, or otherwise, other than by will or the laws of descent and distribution. This Award is available, during the Participant’s lifetime, only to the Participant, and thereafter, only to the Participant’s designated beneficiary.</w:t>
      </w:r>
    </w:p>
    <w:p>
      <w:pPr>
        <w:spacing w:after="0" w:line="7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6"/>
          <w:szCs w:val="16"/>
          <w:b w:val="1"/>
          <w:bCs w:val="1"/>
          <w:color w:val="auto"/>
        </w:rPr>
        <w:t>Service Conditions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 accepting the RSUs, the Participant acknowledges and agrees that:</w:t>
      </w:r>
    </w:p>
    <w:p>
      <w:pPr>
        <w:spacing w:after="0" w:line="216" w:lineRule="exact"/>
        <w:rPr>
          <w:sz w:val="20"/>
          <w:szCs w:val="20"/>
          <w:color w:val="auto"/>
        </w:rPr>
      </w:pPr>
    </w:p>
    <w:p>
      <w:pPr>
        <w:jc w:val="both"/>
        <w:ind w:firstLine="1952"/>
        <w:spacing w:after="0" w:line="260" w:lineRule="auto"/>
        <w:tabs>
          <w:tab w:leader="none" w:pos="2592"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Any notice period mandated under applicable law shall not be treated as service for the purpose of determining the vesting of the RSUs; and the Participant’s right to vesting of Shares in settlement of the RSUs after termination of service, if any, will be measured by the date of termination of the Participant’s active service and will not be extended by any notice period mandated under applicable law. Subject to the foregoing and the provisions of the Plan, the Company, in its sole discretion, shall determine whether the Participant’s service has terminated and the effective date of such termination.</w:t>
      </w:r>
    </w:p>
    <w:p>
      <w:pPr>
        <w:spacing w:after="0" w:line="180" w:lineRule="exact"/>
        <w:rPr>
          <w:rFonts w:ascii="Arial" w:cs="Arial" w:eastAsia="Arial" w:hAnsi="Arial"/>
          <w:sz w:val="19"/>
          <w:szCs w:val="19"/>
          <w:color w:val="auto"/>
        </w:rPr>
      </w:pPr>
    </w:p>
    <w:p>
      <w:pPr>
        <w:ind w:firstLine="1952"/>
        <w:spacing w:after="0" w:line="316" w:lineRule="auto"/>
        <w:tabs>
          <w:tab w:leader="none" w:pos="259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29" w:lineRule="exact"/>
        <w:rPr>
          <w:rFonts w:ascii="Arial" w:cs="Arial" w:eastAsia="Arial" w:hAnsi="Arial"/>
          <w:sz w:val="18"/>
          <w:szCs w:val="18"/>
          <w:color w:val="auto"/>
        </w:rPr>
      </w:pPr>
    </w:p>
    <w:p>
      <w:pPr>
        <w:ind w:firstLine="1952"/>
        <w:spacing w:after="0" w:line="260" w:lineRule="auto"/>
        <w:tabs>
          <w:tab w:leader="none" w:pos="259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grant of the RSUs is voluntary and occasional and does not create any contractual or other right to receive future grants of RSUs, or benefits in lieu of RSUs, even if RSUs have been granted repeatedly in the past.</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All decisions with respect to future RSUs grants, if any, will be at the sole discretion of the Company.</w:t>
      </w:r>
    </w:p>
    <w:p>
      <w:pPr>
        <w:spacing w:after="0" w:line="227" w:lineRule="exact"/>
        <w:rPr>
          <w:rFonts w:ascii="Arial" w:cs="Arial" w:eastAsia="Arial" w:hAnsi="Arial"/>
          <w:sz w:val="19"/>
          <w:szCs w:val="19"/>
          <w:color w:val="auto"/>
        </w:rPr>
      </w:pPr>
    </w:p>
    <w:p>
      <w:pPr>
        <w:jc w:val="both"/>
        <w:ind w:firstLine="1952"/>
        <w:spacing w:after="0" w:line="250" w:lineRule="auto"/>
        <w:tabs>
          <w:tab w:leader="none" w:pos="259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Participant’s participation in the Plan shall not create a right to further service with the Company or another Affiliate and shall not interfere with the ability of with the Company or another Affiliate to terminate the Participant’s service at any time, with or without cause, subject to applicable law.</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71" w:right="339" w:bottom="1440" w:gutter="0" w:footer="0" w:header="0"/>
        </w:sectPr>
      </w:pPr>
    </w:p>
    <w:bookmarkStart w:id="105" w:name="page106"/>
    <w:bookmarkEnd w:id="105"/>
    <w:p>
      <w:pPr>
        <w:ind w:left="2600" w:hanging="648"/>
        <w:spacing w:after="0"/>
        <w:tabs>
          <w:tab w:leader="none" w:pos="260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 Participant is voluntarily participating in the Plan.</w:t>
      </w:r>
    </w:p>
    <w:p>
      <w:pPr>
        <w:spacing w:after="0" w:line="215" w:lineRule="exact"/>
        <w:rPr>
          <w:rFonts w:ascii="Arial" w:cs="Arial" w:eastAsia="Arial" w:hAnsi="Arial"/>
          <w:sz w:val="20"/>
          <w:szCs w:val="20"/>
          <w:color w:val="auto"/>
        </w:rPr>
      </w:pPr>
    </w:p>
    <w:p>
      <w:pPr>
        <w:ind w:right="20" w:firstLine="1952"/>
        <w:spacing w:after="0" w:line="287" w:lineRule="auto"/>
        <w:tabs>
          <w:tab w:leader="none" w:pos="2592" w:val="left"/>
        </w:tabs>
        <w:numPr>
          <w:ilvl w:val="1"/>
          <w:numId w:val="166"/>
        </w:numPr>
        <w:rPr>
          <w:rFonts w:ascii="Arial" w:cs="Arial" w:eastAsia="Arial" w:hAnsi="Arial"/>
          <w:sz w:val="19"/>
          <w:szCs w:val="19"/>
          <w:color w:val="auto"/>
        </w:rPr>
      </w:pPr>
      <w:r>
        <w:rPr>
          <w:rFonts w:ascii="Arial" w:cs="Arial" w:eastAsia="Arial" w:hAnsi="Arial"/>
          <w:sz w:val="19"/>
          <w:szCs w:val="19"/>
          <w:color w:val="auto"/>
        </w:rPr>
        <w:t>The RSUs are extraordinary items that do not constitute compensation of any kind for service of any kind rendered to the Company or any Affiliate, and which is outside the scope of the Participant’s employment contract, if any.</w:t>
      </w:r>
    </w:p>
    <w:p>
      <w:pPr>
        <w:spacing w:after="0" w:line="152" w:lineRule="exact"/>
        <w:rPr>
          <w:rFonts w:ascii="Arial" w:cs="Arial" w:eastAsia="Arial" w:hAnsi="Arial"/>
          <w:sz w:val="19"/>
          <w:szCs w:val="19"/>
          <w:color w:val="auto"/>
        </w:rPr>
      </w:pPr>
    </w:p>
    <w:p>
      <w:pPr>
        <w:jc w:val="both"/>
        <w:ind w:firstLine="1952"/>
        <w:spacing w:after="0" w:line="250" w:lineRule="auto"/>
        <w:tabs>
          <w:tab w:leader="none" w:pos="259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 RSUs are not part of normal or expected compensation or salary for any purpose, including, but not limited to, calculating any severance, resignation, termination, redundancy, end-of-service payments, bonuses, long-service options, pension or retirement benefits or similar payments.</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In the event that the Participant is not an employee of an Affiliate, the RSUs grant will not be interpreted to form an employment contract or relationship with an Affiliate.</w:t>
      </w:r>
    </w:p>
    <w:p>
      <w:pPr>
        <w:spacing w:after="0" w:line="176" w:lineRule="exact"/>
        <w:rPr>
          <w:rFonts w:ascii="Arial" w:cs="Arial" w:eastAsia="Arial" w:hAnsi="Arial"/>
          <w:sz w:val="20"/>
          <w:szCs w:val="20"/>
          <w:color w:val="auto"/>
        </w:rPr>
      </w:pPr>
    </w:p>
    <w:p>
      <w:pPr>
        <w:ind w:firstLine="1952"/>
        <w:spacing w:after="0" w:line="260" w:lineRule="auto"/>
        <w:tabs>
          <w:tab w:leader="none" w:pos="2583"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The value of the Shares may increase or decrease.</w:t>
      </w:r>
    </w:p>
    <w:p>
      <w:pPr>
        <w:spacing w:after="0" w:line="176" w:lineRule="exact"/>
        <w:rPr>
          <w:rFonts w:ascii="Arial" w:cs="Arial" w:eastAsia="Arial" w:hAnsi="Arial"/>
          <w:sz w:val="20"/>
          <w:szCs w:val="20"/>
          <w:color w:val="auto"/>
        </w:rPr>
      </w:pPr>
    </w:p>
    <w:p>
      <w:pPr>
        <w:jc w:val="both"/>
        <w:ind w:firstLine="1952"/>
        <w:spacing w:after="0" w:line="282" w:lineRule="auto"/>
        <w:tabs>
          <w:tab w:leader="none" w:pos="257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arises from termination of the RSUs or diminution in value of the RSUs or Shares and the Participant irrevocably releases the Company or any of its Affiliates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61" w:lineRule="exact"/>
        <w:rPr>
          <w:rFonts w:ascii="Arial" w:cs="Arial" w:eastAsia="Arial" w:hAnsi="Arial"/>
          <w:sz w:val="18"/>
          <w:szCs w:val="18"/>
          <w:color w:val="auto"/>
        </w:rPr>
      </w:pPr>
    </w:p>
    <w:p>
      <w:pPr>
        <w:jc w:val="both"/>
        <w:ind w:firstLine="1952"/>
        <w:spacing w:after="0" w:line="246" w:lineRule="auto"/>
        <w:tabs>
          <w:tab w:leader="none" w:pos="2583" w:val="left"/>
        </w:tabs>
        <w:numPr>
          <w:ilvl w:val="1"/>
          <w:numId w:val="166"/>
        </w:numPr>
        <w:rPr>
          <w:rFonts w:ascii="Arial" w:cs="Arial" w:eastAsia="Arial" w:hAnsi="Arial"/>
          <w:sz w:val="20"/>
          <w:szCs w:val="20"/>
          <w:color w:val="auto"/>
        </w:rPr>
      </w:pPr>
      <w:r>
        <w:rPr>
          <w:rFonts w:ascii="Arial" w:cs="Arial" w:eastAsia="Arial" w:hAnsi="Arial"/>
          <w:sz w:val="20"/>
          <w:szCs w:val="20"/>
          <w:color w:val="auto"/>
        </w:rPr>
        <w:t>Nothing in this Agreement shall confer upon the Participant any right to continue in the employ of the Company or other association with the Company or shall interfere with or restrict in any way the rights of the Company, which are hereby expressly reserved, to discharge the Participant at any time for any reason whatsoever, with or without cause, subject to the provisions of applicable law.</w:t>
      </w:r>
    </w:p>
    <w:p>
      <w:pPr>
        <w:spacing w:after="0" w:line="185" w:lineRule="exact"/>
        <w:rPr>
          <w:rFonts w:ascii="Arial" w:cs="Arial" w:eastAsia="Arial" w:hAnsi="Arial"/>
          <w:sz w:val="20"/>
          <w:szCs w:val="20"/>
          <w:color w:val="auto"/>
        </w:rPr>
      </w:pPr>
    </w:p>
    <w:p>
      <w:pPr>
        <w:ind w:left="660" w:hanging="328"/>
        <w:spacing w:after="0"/>
        <w:tabs>
          <w:tab w:leader="none" w:pos="66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 for Corporate Actions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subsequent to the Award Date the outstanding shares of Common Stock are increased, decreased, or exchanged for a different number or kind of shares or other securities, or if additional shares or new or different shares or other securities are distributed with respect to shares of Common Stock, as a result of a reorganization, recapitalization, reclassification, stock dividend, stock split, reverse stock split, or other similar distribution with respect to such shares of Common Stock, an appropriate and proportionate adjustment will be made in the numbers and kinds of shares or other securities then subject to the Award.</w:t>
      </w:r>
    </w:p>
    <w:p>
      <w:pPr>
        <w:spacing w:after="0" w:line="17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8"/>
          <w:szCs w:val="18"/>
          <w:b w:val="1"/>
          <w:bCs w:val="1"/>
          <w:color w:val="auto"/>
        </w:rPr>
        <w:t>Treatment of Award in a Corporate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 Corporate Transaction, the Committee, in its sole and absolute discretion, may take any one or more of the following actions as to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Award:</w:t>
      </w:r>
    </w:p>
    <w:p>
      <w:pPr>
        <w:spacing w:after="0" w:line="200" w:lineRule="exact"/>
        <w:rPr>
          <w:sz w:val="20"/>
          <w:szCs w:val="20"/>
          <w:color w:val="auto"/>
        </w:rPr>
      </w:pPr>
    </w:p>
    <w:p>
      <w:pPr>
        <w:jc w:val="both"/>
        <w:ind w:firstLine="544"/>
        <w:spacing w:after="0" w:line="247" w:lineRule="auto"/>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Assumption and Substitution</w:t>
      </w:r>
      <w:r>
        <w:rPr>
          <w:rFonts w:ascii="Arial" w:cs="Arial" w:eastAsia="Arial" w:hAnsi="Arial"/>
          <w:sz w:val="20"/>
          <w:szCs w:val="20"/>
          <w:color w:val="auto"/>
        </w:rPr>
        <w:t>. Provide that the Award shall be assumed, or substantially equivalent rights shall be provided in substitution therefor, by the acquiring or succeeding entity (or an affiliate thereof).</w:t>
      </w:r>
    </w:p>
    <w:p>
      <w:pPr>
        <w:spacing w:after="0" w:line="2" w:lineRule="exact"/>
        <w:rPr>
          <w:sz w:val="20"/>
          <w:szCs w:val="20"/>
          <w:color w:val="auto"/>
        </w:rPr>
      </w:pPr>
    </w:p>
    <w:p>
      <w:pPr>
        <w:jc w:val="both"/>
        <w:ind w:firstLine="489"/>
        <w:spacing w:after="0" w:line="266" w:lineRule="auto"/>
        <w:rPr>
          <w:sz w:val="20"/>
          <w:szCs w:val="20"/>
          <w:color w:val="auto"/>
        </w:rPr>
      </w:pPr>
      <w:r>
        <w:rPr>
          <w:rFonts w:ascii="Arial" w:cs="Arial" w:eastAsia="Arial" w:hAnsi="Arial"/>
          <w:sz w:val="18"/>
          <w:szCs w:val="18"/>
          <w:color w:val="auto"/>
        </w:rPr>
        <w:t>ii.</w:t>
      </w:r>
      <w:r>
        <w:rPr>
          <w:rFonts w:ascii="Arial" w:cs="Arial" w:eastAsia="Arial" w:hAnsi="Arial"/>
          <w:sz w:val="18"/>
          <w:szCs w:val="18"/>
          <w:i w:val="1"/>
          <w:iCs w:val="1"/>
          <w:color w:val="auto"/>
        </w:rPr>
        <w:t>Termination and Forfeiture.</w:t>
      </w:r>
      <w:r>
        <w:rPr>
          <w:rFonts w:ascii="Arial" w:cs="Arial" w:eastAsia="Arial" w:hAnsi="Arial"/>
          <w:sz w:val="18"/>
          <w:szCs w:val="18"/>
          <w:color w:val="auto"/>
        </w:rPr>
        <w:t xml:space="preserve"> Upon written notice to Participant, provide that any RSUs subject to the Award shall terminate and be forfeited immediately prior to the consummation of the Corporate Transaction to the extent they are then subject to a Risk of Forfeiture.</w:t>
      </w:r>
    </w:p>
    <w:p>
      <w:pPr>
        <w:jc w:val="both"/>
        <w:ind w:firstLine="434"/>
        <w:spacing w:after="0" w:line="239" w:lineRule="auto"/>
        <w:rPr>
          <w:sz w:val="20"/>
          <w:szCs w:val="20"/>
          <w:color w:val="auto"/>
        </w:rPr>
      </w:pPr>
      <w:r>
        <w:rPr>
          <w:rFonts w:ascii="Arial" w:cs="Arial" w:eastAsia="Arial" w:hAnsi="Arial"/>
          <w:sz w:val="20"/>
          <w:szCs w:val="20"/>
          <w:color w:val="auto"/>
        </w:rPr>
        <w:t>iii.</w:t>
      </w:r>
      <w:r>
        <w:rPr>
          <w:rFonts w:ascii="Arial" w:cs="Arial" w:eastAsia="Arial" w:hAnsi="Arial"/>
          <w:sz w:val="20"/>
          <w:szCs w:val="20"/>
          <w:i w:val="1"/>
          <w:iCs w:val="1"/>
          <w:color w:val="auto"/>
        </w:rPr>
        <w:t>Acceleration of Vesting</w:t>
      </w:r>
      <w:r>
        <w:rPr>
          <w:rFonts w:ascii="Arial" w:cs="Arial" w:eastAsia="Arial" w:hAnsi="Arial"/>
          <w:sz w:val="20"/>
          <w:szCs w:val="20"/>
          <w:color w:val="auto"/>
        </w:rPr>
        <w:t>. Provide that any Risk of Forfeiture applicable to RSUs which is not based on achievement of Performance Goals or other business objectives shall lapse upon consummation of the Corporate Transaction with respect to all or a portion of the RSUs then subject to such Risk of Forfeiture.</w:t>
      </w:r>
    </w:p>
    <w:p>
      <w:pPr>
        <w:spacing w:after="0" w:line="1"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20"/>
          <w:szCs w:val="20"/>
          <w:color w:val="auto"/>
        </w:rPr>
        <w:t>iv.</w:t>
      </w:r>
      <w:r>
        <w:rPr>
          <w:rFonts w:ascii="Arial" w:cs="Arial" w:eastAsia="Arial" w:hAnsi="Arial"/>
          <w:sz w:val="20"/>
          <w:szCs w:val="20"/>
          <w:i w:val="1"/>
          <w:iCs w:val="1"/>
          <w:color w:val="auto"/>
        </w:rPr>
        <w:t>Achievement of Performance Goals</w:t>
      </w:r>
      <w:r>
        <w:rPr>
          <w:rFonts w:ascii="Arial" w:cs="Arial" w:eastAsia="Arial" w:hAnsi="Arial"/>
          <w:sz w:val="20"/>
          <w:szCs w:val="20"/>
          <w:color w:val="auto"/>
        </w:rPr>
        <w:t>. If the Award is conditioned on the achievement of Performance Goals or other business objectives, provide that such Performance Goals or objectives and the target payout opportunities shall be deemed to have been satisfied as of the effective date of the Corporate Transaction as to (i) none, (ii) all or (iii) a pro rata number of Shares based on the assumed achievement of all relevant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71" w:right="339" w:bottom="1440" w:gutter="0" w:footer="0" w:header="0"/>
        </w:sectPr>
      </w:pPr>
    </w:p>
    <w:bookmarkStart w:id="106" w:name="page107"/>
    <w:bookmarkEnd w:id="106"/>
    <w:p>
      <w:pPr>
        <w:jc w:val="both"/>
        <w:spacing w:after="0" w:line="247" w:lineRule="auto"/>
        <w:rPr>
          <w:sz w:val="20"/>
          <w:szCs w:val="20"/>
          <w:color w:val="auto"/>
        </w:rPr>
      </w:pPr>
      <w:r>
        <w:rPr>
          <w:rFonts w:ascii="Arial" w:cs="Arial" w:eastAsia="Arial" w:hAnsi="Arial"/>
          <w:sz w:val="20"/>
          <w:szCs w:val="20"/>
          <w:color w:val="auto"/>
        </w:rPr>
        <w:t>Performance Goals or other business objectives and the length of time within the Restriction Period or Performance Period which has elapsed prior to the Corporate Transaction.</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v.Any combination of the foregoing.</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None of the foregoing shall apply, however, if specifically prohibited under applicable laws, or by the rules and regulations of any governing governmental agencies or national securities exchanges on which the Common Stock is listed. Nor shall any of the foregoing apply in the case of a Qualified Performance-Based Award except to the extent the foregoing would not interfere with the qualification of the grant of the Award under Section 162(m) of the Code.</w:t>
      </w:r>
    </w:p>
    <w:p>
      <w:pPr>
        <w:spacing w:after="0" w:line="18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8"/>
          <w:szCs w:val="18"/>
          <w:b w:val="1"/>
          <w:bCs w:val="1"/>
          <w:color w:val="auto"/>
        </w:rPr>
        <w:t>Tax Withholding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All tax withholding obligations with respect to the Award shall be satisfied in accordance with Section 9.7 of the Plan.</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At the time the Grant Notice is executed, or at any time thereafter as requested by the Company, to the extent applicable, the Participant hereby authorizes withholding from payroll and any other amounts payable to the Participant, and otherwise agrees to make adequate provision for, any sums required to satisfy the federal, state, local and foreign tax and social insurance or National Insurance Contributions withholding obligations of the Company and its Affiliates, if any, which arise in connection with the RSUs, including, without limitation, obligations arising upon (i) the grant, vesting, in whole or in part, of the RSUs, (ii) the transfer, in whole or in part, of any shares acquired upon vesting of the RSUs, (iii) the operation of any law or regulation providing for the imputation of interest, or (iv) the lapsing of any restriction with respect to any shares acquired upon vesting of the RSUs (“Tax Obligations”). The RUSs are not vested unless the Tax Obligations of the Company and its Affiliates are satisfied. Accordingly, the Company shall have no obligation to deliver Shares until the Tax Obligations of the Company and its Affiliates have been satisfied by the Participant. The Participant acknowledges that the ultimate liability for all Tax Obligations legally due by the Participant is and remains the Participant’s responsibility and that the Company (a) makes no representations or undertakings regarding the treatment of any Tax Obligations in connection with any aspect of the RSUs and (b) does not commit to structure the terms of the grant or any other aspect of the RSUs to reduce or eliminate the Participant’s liability for Tax Obligations. The Company shall have no obligation to deliver Shares until the Tax Obligations of the Company and its Affiliates have been satisfied by the Participant.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10. Tax Consequences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makes no representation or warranty as to the tax treatment to the Participant of the Participant’s receipt of the Award or vesting of RSUs or upon the Participant’s sale or other disposition of the Common Stock issued pursuant to the RSUs. The Participant should rely on his or her own tax advisors for all such advice.</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11. Community Property</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Without prejudice to the actual rights of the spouses as between each other, for all purposes of this Agreement, the Participant shall be treated as agent and attorney-in-fact for that interest held or claimed by the Participant’s spouse with respect to the RSUs and Shares issued upon settlement of such RSUs and the parties hereto shall act in all matters as if the Participant was the sole owner of the RSUs and Shares. This appointment is coupled with an interest and is irrevocable.</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12. Data Privacy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following provisions shall only apply to the Participant if he or she resides outside the US, the EU, EEA, and UK: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71" w:right="339" w:bottom="1440" w:gutter="0" w:footer="0" w:header="0"/>
        </w:sectPr>
      </w:pPr>
    </w:p>
    <w:bookmarkStart w:id="107" w:name="page108"/>
    <w:bookmarkEnd w:id="107"/>
    <w:p>
      <w:pPr>
        <w:jc w:val="both"/>
        <w:ind w:firstLine="656"/>
        <w:spacing w:after="0" w:line="242" w:lineRule="auto"/>
        <w:tabs>
          <w:tab w:leader="none" w:pos="128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Participant voluntarily consents to the collection, use, disclosure and transfer to the United States and other jurisdictions, in electronic or other form, of his or her personal data as described in this Agreement and any other award materials (“</w:t>
      </w:r>
      <w:r>
        <w:rPr>
          <w:rFonts w:ascii="Arial" w:cs="Arial" w:eastAsia="Arial" w:hAnsi="Arial"/>
          <w:sz w:val="20"/>
          <w:szCs w:val="20"/>
          <w:b w:val="1"/>
          <w:bCs w:val="1"/>
          <w:color w:val="auto"/>
        </w:rPr>
        <w:t>Data</w:t>
      </w:r>
      <w:r>
        <w:rPr>
          <w:rFonts w:ascii="Arial" w:cs="Arial" w:eastAsia="Arial" w:hAnsi="Arial"/>
          <w:sz w:val="20"/>
          <w:szCs w:val="20"/>
          <w:color w:val="auto"/>
        </w:rPr>
        <w:t>”) by and among, as applicable, the Company and its Affiliates for the exclusive purpose of implementing, administering, and managing his or her participation in the Plan. If the Participant does not choose to participate in the Plan, his or her employment status or service with the Company and its Affiliates will not be adversely affected.</w:t>
      </w:r>
    </w:p>
    <w:p>
      <w:pPr>
        <w:spacing w:after="0" w:line="4" w:lineRule="exact"/>
        <w:rPr>
          <w:rFonts w:ascii="Arial" w:cs="Arial" w:eastAsia="Arial" w:hAnsi="Arial"/>
          <w:sz w:val="20"/>
          <w:szCs w:val="20"/>
          <w:color w:val="auto"/>
        </w:rPr>
      </w:pPr>
    </w:p>
    <w:p>
      <w:pPr>
        <w:jc w:val="both"/>
        <w:ind w:firstLine="656"/>
        <w:spacing w:after="0" w:line="252" w:lineRule="auto"/>
        <w:tabs>
          <w:tab w:leader="none" w:pos="128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Participant understands that the Company and its Affiliates may collect, maintain, process and disclose, certain personal information about him or her, including, but not limited to, his or her name, home address and telephone number, date of birth, social insurance number or other identification number, salary, nationality, job title, any Shares or directorships held in the Company, details of all equity awards or any other entitlement to Shares awarded, canceled, exercised, vested, unvested or outstanding in his or her favor, for the exclusive purpose of implementing, administering and, managing the Plan.</w:t>
      </w:r>
    </w:p>
    <w:p>
      <w:pPr>
        <w:jc w:val="both"/>
        <w:ind w:firstLine="656"/>
        <w:spacing w:after="0" w:line="299" w:lineRule="auto"/>
        <w:tabs>
          <w:tab w:leader="none" w:pos="128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Participant understands that Data will be transferred to one or more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including less stringent,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w:t>
      </w:r>
    </w:p>
    <w:p>
      <w:pPr>
        <w:spacing w:after="0" w:line="2" w:lineRule="exact"/>
        <w:rPr>
          <w:rFonts w:ascii="Arial" w:cs="Arial" w:eastAsia="Arial" w:hAnsi="Arial"/>
          <w:sz w:val="16"/>
          <w:szCs w:val="16"/>
          <w:color w:val="auto"/>
        </w:rPr>
      </w:pPr>
    </w:p>
    <w:p>
      <w:pPr>
        <w:jc w:val="both"/>
        <w:ind w:firstLine="656"/>
        <w:spacing w:after="0" w:line="253" w:lineRule="auto"/>
        <w:tabs>
          <w:tab w:leader="none" w:pos="128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Participant understands that Data will be held only as long as is necessary to implement, administer and manage his or her participation in the Plan, including to maintain records regarding participation. The Participant understands that if he or she resides in certain jurisdictions, to the extent required by applicable law, he or she may, at any time, request access to Data, request additional information about the storage and processing of Data, require any necessary amendments to Data or refuse or withdraw the consents given by accepting these RSUs,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Company and its Affiliates will not be adversely affected; the only consequence of refusing or withdrawing his or her consent is that the Company will not be able to grant him or her RSUs under the Plan or administer or maintain RSUs. Therefore, the Participant understands that refusing or withdrawing his or her consent may affect his or her ability to participate in the Plan (including the right to retain the RSUs). The Participant understands that he or she may contact his or her local human resources representative for more information on the consequences of his or her refusal to consent or withdrawal of consent.</w:t>
      </w:r>
    </w:p>
    <w:p>
      <w:pPr>
        <w:spacing w:after="0" w:line="21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b w:val="1"/>
          <w:bCs w:val="1"/>
          <w:i w:val="1"/>
          <w:iCs w:val="1"/>
          <w:color w:val="auto"/>
        </w:rPr>
        <w:t>The following provisions shall only apply to the Participant if he or she resides in the EU, EEA, UK, or EU privacy laws are otherwise applicable:</w:t>
      </w:r>
    </w:p>
    <w:p>
      <w:pPr>
        <w:spacing w:after="0" w:line="177" w:lineRule="exact"/>
        <w:rPr>
          <w:sz w:val="20"/>
          <w:szCs w:val="20"/>
          <w:color w:val="auto"/>
        </w:rPr>
      </w:pPr>
    </w:p>
    <w:p>
      <w:pPr>
        <w:jc w:val="both"/>
        <w:ind w:firstLine="656"/>
        <w:spacing w:after="0" w:line="255" w:lineRule="auto"/>
        <w:tabs>
          <w:tab w:leader="none" w:pos="128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Data Collected and Purposes of Collection. The Participant understands that the Company, acting as controller, as well as the employing Affiliate, will process, to the extent permissible under applicable law, certain personal information about the Participant, including name, home address and telephone number, information necessary to process the RSUs (e.g., mailing address for a check payment or bank account wire transfer information), date of birth, social insurance number or other identification number, salary, nationality, job title, employment location, details of all RSUs granted, canceled, vested, unvested or outstanding in the Participant’s favor, and where applicable service termination date and reason for termination, any capital shares or directorships held in the Company (where needed for legal or tax compliance), and any other information necessary to process mandatory tax withholding and reporting (all such personal information is referred to as “Data”). The Data is collected from the Participant, and from the Company and its Affiliates, for the purpose of implementing, administering and managing the Plan pursuant to its terms. The legal bases (that is, the legal justification) for processing the Data is that it is necessary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71" w:right="339" w:bottom="1440" w:gutter="0" w:footer="0" w:header="0"/>
        </w:sectPr>
      </w:pPr>
    </w:p>
    <w:bookmarkStart w:id="108" w:name="page109"/>
    <w:bookmarkEnd w:id="108"/>
    <w:p>
      <w:pPr>
        <w:jc w:val="both"/>
        <w:spacing w:after="0" w:line="270" w:lineRule="auto"/>
        <w:rPr>
          <w:sz w:val="20"/>
          <w:szCs w:val="20"/>
          <w:color w:val="auto"/>
        </w:rPr>
      </w:pPr>
      <w:r>
        <w:rPr>
          <w:rFonts w:ascii="Arial" w:cs="Arial" w:eastAsia="Arial" w:hAnsi="Arial"/>
          <w:sz w:val="18"/>
          <w:szCs w:val="18"/>
          <w:color w:val="auto"/>
        </w:rPr>
        <w:t>perform, administer and manage the Plan and in Company’s legitimate interests, which means the Company is using the relevant Data to conduct and develop its business activities, subject to the Participant’s interest and fundamental rights. The Data must be provided in order for the Participant to participate in the Plan and for the parties to this Agreement to perform their respective obligations thereunder. If the Participant does not provide Data, he or she will not be able to participate in the Plan and become a party to this Agreement.</w:t>
      </w:r>
    </w:p>
    <w:p>
      <w:pPr>
        <w:spacing w:after="0" w:line="3" w:lineRule="exact"/>
        <w:rPr>
          <w:sz w:val="20"/>
          <w:szCs w:val="20"/>
          <w:color w:val="auto"/>
        </w:rPr>
      </w:pPr>
    </w:p>
    <w:p>
      <w:pPr>
        <w:jc w:val="both"/>
        <w:ind w:firstLine="656"/>
        <w:spacing w:after="0" w:line="266" w:lineRule="auto"/>
        <w:tabs>
          <w:tab w:leader="none" w:pos="12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Transfers and Retention of Data. The Participant understands that the Data will be transferred to and among the Company and its Affiliates, as well as service providers (such as stock administration providers, brokers, transfer agents, accounting firms, payroll processing firms or tax firms), for the purposes explained above. The Participant understands that the recipients of the Data may be located in the United States and in other jurisdictions outside of the European Economic Area where we or our service providers have operations. The United States and some of these other jurisdictions have not been found by the European Commission to have adequate data protection safeguards. If the Company and its Affiliates transfer Data outside of the European Economic Area, we will take steps as required and recognized by the European Commission to provide adequate safeguards for the transferred Data. The Participant has a right to obtain details of the mechanism(s) under which the Participant’s Data is transferred outside of the European Economic Area, or the United Kingdom, which the Participant may exercise by contacting the Company’s Data Protection Officer as follows: Email: </w:t>
      </w:r>
      <w:r>
        <w:rPr>
          <w:rFonts w:ascii="Arial" w:cs="Arial" w:eastAsia="Arial" w:hAnsi="Arial"/>
          <w:sz w:val="18"/>
          <w:szCs w:val="18"/>
          <w:u w:val="single" w:color="auto"/>
          <w:color w:val="0563C1"/>
        </w:rPr>
        <w:t>dpo@8x8.com</w:t>
      </w:r>
      <w:r>
        <w:rPr>
          <w:rFonts w:ascii="Arial" w:cs="Arial" w:eastAsia="Arial" w:hAnsi="Arial"/>
          <w:sz w:val="18"/>
          <w:szCs w:val="18"/>
          <w:color w:val="auto"/>
        </w:rPr>
        <w:t>; 8x8, Inc. at 675 Creekside Way Campbell, CA 95008 United States; 8x8 UK Limited, Oxford House Bell Business Park Aylesbury HP19 8JR United Kingdom; or 8x8 International SARL, Bulevardul 21 Decembrie 1989 77, Cluj-Napoca 400124, Romania.</w:t>
      </w:r>
    </w:p>
    <w:p>
      <w:pPr>
        <w:spacing w:after="0" w:line="1" w:lineRule="exact"/>
        <w:rPr>
          <w:rFonts w:ascii="Arial" w:cs="Arial" w:eastAsia="Arial" w:hAnsi="Arial"/>
          <w:sz w:val="18"/>
          <w:szCs w:val="18"/>
          <w:color w:val="auto"/>
        </w:rPr>
      </w:pPr>
    </w:p>
    <w:p>
      <w:pPr>
        <w:jc w:val="both"/>
        <w:ind w:firstLine="656"/>
        <w:spacing w:after="0" w:line="253" w:lineRule="auto"/>
        <w:tabs>
          <w:tab w:leader="none" w:pos="128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Participant’s Rights in Respect of Data. The Participant has the right to access the Participant’s Data being processed by the Company as well as understand why Company is processing such Data. Additionally, subject to applicable law, the Participant is entitled to have any inadequate, incomplete or incorrect Data corrected (that is, rectified). Further, subject to applicable law, the Participant may be entitled to the following rights in regard to his or her Data: (i) to object to the processing of Data; (ii) to have his or her Data erased, under certain circumstances, such as where it is no longer necessary in relation to the purposes for which it was processed; (iii) to restrict the processing of the Participant’s Data so that it is stored but not actively processed (e.g., while the Company assesses whether the Participant is entitled to have Data erased) under certain circumstances; (iv) to port a copy of the Data provided pursuant to this Agreement or generated by the Participant, in a common machine-readable format; and (v) to obtain a copy of the appropriate safeguards under which Data is transferred to a third country or international organization. To exercise his or her rights, the Participant may contact the applicable human resources representative. The Participant may also contact the relevant data protection supervisory authority, as he or she has the right to lodge a complaint.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13. Electronic Delivery</w:t>
      </w:r>
    </w:p>
    <w:p>
      <w:pPr>
        <w:spacing w:after="0" w:line="24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Participant agrees that the Company’s delivery of any documents related to the Plan or shares of Common Stock purchased under Plan (including the Plan, the Subscription Agreement, the Plan’s prospectus, and any reports of the Company provided generally to the Company’s stockholders) to him or her may be made by electronic delivery, which may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 mail address by telephone, postal service or electronic mail. The Participant agrees that the foregoing online or electronic participation in the Plan shall have the same force and effect as documentation executed in hardcopy written form. Finally, the Participant understands that he or she is not required to consent to electronic delivery of documents.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71" w:right="339" w:bottom="1440" w:gutter="0" w:footer="0" w:header="0"/>
        </w:sectPr>
      </w:pPr>
    </w:p>
    <w:bookmarkStart w:id="109" w:name="page110"/>
    <w:bookmarkEnd w:id="109"/>
    <w:p>
      <w:pPr>
        <w:spacing w:after="0" w:line="5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14. Miscellaneous</w:t>
      </w:r>
    </w:p>
    <w:p>
      <w:pPr>
        <w:spacing w:after="0" w:line="243" w:lineRule="exact"/>
        <w:rPr>
          <w:sz w:val="20"/>
          <w:szCs w:val="20"/>
          <w:color w:val="auto"/>
        </w:rPr>
      </w:pPr>
    </w:p>
    <w:p>
      <w:pPr>
        <w:jc w:val="both"/>
        <w:ind w:firstLine="544"/>
        <w:spacing w:after="0" w:line="323"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Notice under this Agreement shall be given to the Company at its principal place of business, and shall be given to the Participant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address set forth below, or in either case at such other address as one party may subsequently furnish to the other party in writing.</w:t>
      </w:r>
    </w:p>
    <w:p>
      <w:pPr>
        <w:spacing w:after="0" w:line="145" w:lineRule="exact"/>
        <w:rPr>
          <w:sz w:val="20"/>
          <w:szCs w:val="20"/>
          <w:color w:val="auto"/>
        </w:rPr>
      </w:pPr>
    </w:p>
    <w:p>
      <w:pPr>
        <w:jc w:val="both"/>
        <w:ind w:firstLine="489"/>
        <w:spacing w:after="0" w:line="267" w:lineRule="auto"/>
        <w:rPr>
          <w:sz w:val="20"/>
          <w:szCs w:val="20"/>
          <w:color w:val="auto"/>
        </w:rPr>
      </w:pPr>
      <w:r>
        <w:rPr>
          <w:rFonts w:ascii="Arial" w:cs="Arial" w:eastAsia="Arial" w:hAnsi="Arial"/>
          <w:sz w:val="20"/>
          <w:szCs w:val="20"/>
          <w:b w:val="1"/>
          <w:bCs w:val="1"/>
          <w:color w:val="auto"/>
        </w:rPr>
        <w:t>ii.</w:t>
      </w:r>
      <w:r>
        <w:rPr>
          <w:rFonts w:ascii="Arial" w:cs="Arial" w:eastAsia="Arial" w:hAnsi="Arial"/>
          <w:sz w:val="20"/>
          <w:szCs w:val="20"/>
          <w:color w:val="auto"/>
        </w:rPr>
        <w:t>This Agreement does not confer upon the Participant any rights with respect to continuation of employment by the Company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association with the Company or any of its subsidiaries.</w:t>
      </w:r>
    </w:p>
    <w:p>
      <w:pPr>
        <w:spacing w:after="0" w:line="190" w:lineRule="exact"/>
        <w:rPr>
          <w:sz w:val="20"/>
          <w:szCs w:val="20"/>
          <w:color w:val="auto"/>
        </w:rPr>
      </w:pPr>
    </w:p>
    <w:p>
      <w:pPr>
        <w:jc w:val="both"/>
        <w:ind w:firstLine="434"/>
        <w:spacing w:after="0" w:line="253" w:lineRule="auto"/>
        <w:rPr>
          <w:sz w:val="20"/>
          <w:szCs w:val="20"/>
          <w:color w:val="auto"/>
        </w:rPr>
      </w:pPr>
      <w:r>
        <w:rPr>
          <w:rFonts w:ascii="Arial" w:cs="Arial" w:eastAsia="Arial" w:hAnsi="Arial"/>
          <w:sz w:val="20"/>
          <w:szCs w:val="20"/>
          <w:b w:val="1"/>
          <w:bCs w:val="1"/>
          <w:color w:val="auto"/>
        </w:rPr>
        <w:t>iii.</w:t>
      </w:r>
      <w:r>
        <w:rPr>
          <w:rFonts w:ascii="Arial" w:cs="Arial" w:eastAsia="Arial" w:hAnsi="Arial"/>
          <w:sz w:val="20"/>
          <w:szCs w:val="20"/>
          <w:color w:val="auto"/>
        </w:rPr>
        <w:t>The Committee may amend the terms of this Agreement, prospectively or retroactively, provided that the Agreement as amended is</w:t>
      </w:r>
      <w:r>
        <w:rPr>
          <w:rFonts w:ascii="Arial" w:cs="Arial" w:eastAsia="Arial" w:hAnsi="Arial"/>
          <w:sz w:val="20"/>
          <w:szCs w:val="20"/>
          <w:b w:val="1"/>
          <w:bCs w:val="1"/>
          <w:color w:val="auto"/>
        </w:rPr>
        <w:t xml:space="preserve"> </w:t>
      </w:r>
      <w:r>
        <w:rPr>
          <w:rFonts w:ascii="Arial" w:cs="Arial" w:eastAsia="Arial" w:hAnsi="Arial"/>
          <w:sz w:val="20"/>
          <w:szCs w:val="20"/>
          <w:color w:val="auto"/>
        </w:rPr>
        <w:t>consistent with the terms of the Plan, but no such amendment shall impair the Participant’s rights under this Agreement without the Participant’s consent.</w:t>
      </w:r>
    </w:p>
    <w:p>
      <w:pPr>
        <w:spacing w:after="0" w:line="204" w:lineRule="exact"/>
        <w:rPr>
          <w:sz w:val="20"/>
          <w:szCs w:val="20"/>
          <w:color w:val="auto"/>
        </w:rPr>
      </w:pPr>
    </w:p>
    <w:p>
      <w:pPr>
        <w:jc w:val="both"/>
        <w:ind w:firstLine="444"/>
        <w:spacing w:after="0" w:line="280" w:lineRule="auto"/>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color w:val="auto"/>
        </w:rPr>
        <w:t>This Agreement shall be construed and enforced in accordance with the laws of California, without regard to the conflicts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thereof. For purposes of litigating any dispute that arises directly or indirectly from the relationship of the parties evidenced by this grant of RSUs under the Plan and this Agreement, the parties hereby submit to and consent to the exclusive jurisdiction of the State of California, U.S.A. and agree that such litigation shall be conducted only in the courts of Santa Clara County, California, U.S.A., or the federal courts for the United States for the Northern District of California, and no other courts, where this grant is made and/or to be performed.</w:t>
      </w:r>
    </w:p>
    <w:p>
      <w:pPr>
        <w:spacing w:after="0" w:line="183" w:lineRule="exact"/>
        <w:rPr>
          <w:sz w:val="20"/>
          <w:szCs w:val="20"/>
          <w:color w:val="auto"/>
        </w:rPr>
      </w:pPr>
    </w:p>
    <w:p>
      <w:pPr>
        <w:jc w:val="both"/>
        <w:ind w:firstLine="499"/>
        <w:spacing w:after="0" w:line="267" w:lineRule="auto"/>
        <w:rPr>
          <w:sz w:val="20"/>
          <w:szCs w:val="20"/>
          <w:color w:val="auto"/>
        </w:rPr>
      </w:pPr>
      <w:r>
        <w:rPr>
          <w:rFonts w:ascii="Arial" w:cs="Arial" w:eastAsia="Arial" w:hAnsi="Arial"/>
          <w:sz w:val="20"/>
          <w:szCs w:val="20"/>
          <w:b w:val="1"/>
          <w:bCs w:val="1"/>
          <w:color w:val="auto"/>
        </w:rPr>
        <w:t>v.</w:t>
      </w:r>
      <w:r>
        <w:rPr>
          <w:rFonts w:ascii="Arial" w:cs="Arial" w:eastAsia="Arial" w:hAnsi="Arial"/>
          <w:sz w:val="20"/>
          <w:szCs w:val="20"/>
          <w:color w:val="auto"/>
        </w:rPr>
        <w:t>This Agreement shall be binding upon and inure to the benefit of any successor or assign of the Company and any executor,</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trustee, guardian or other legal representative of the Participant.</w:t>
      </w:r>
    </w:p>
    <w:p>
      <w:pPr>
        <w:spacing w:after="0" w:line="190" w:lineRule="exact"/>
        <w:rPr>
          <w:sz w:val="20"/>
          <w:szCs w:val="20"/>
          <w:color w:val="auto"/>
        </w:rPr>
      </w:pPr>
    </w:p>
    <w:p>
      <w:pPr>
        <w:jc w:val="both"/>
        <w:ind w:firstLine="444"/>
        <w:spacing w:after="0" w:line="253" w:lineRule="auto"/>
        <w:rPr>
          <w:sz w:val="20"/>
          <w:szCs w:val="20"/>
          <w:color w:val="auto"/>
        </w:rPr>
      </w:pPr>
      <w:r>
        <w:rPr>
          <w:rFonts w:ascii="Arial" w:cs="Arial" w:eastAsia="Arial" w:hAnsi="Arial"/>
          <w:sz w:val="20"/>
          <w:szCs w:val="20"/>
          <w:b w:val="1"/>
          <w:bCs w:val="1"/>
          <w:color w:val="auto"/>
        </w:rPr>
        <w:t>vi.</w:t>
      </w:r>
      <w:r>
        <w:rPr>
          <w:rFonts w:ascii="Arial" w:cs="Arial" w:eastAsia="Arial" w:hAnsi="Arial"/>
          <w:sz w:val="20"/>
          <w:szCs w:val="20"/>
          <w:color w:val="auto"/>
        </w:rPr>
        <w:t>This Agreement may be executed in counterparts. This Agreement and the Plan together constitute the entire agreement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relative to the subject matter of this Agreement, and supersede all communications, whether written or oral, relating to the subject matter of this Agreement.</w:t>
      </w:r>
    </w:p>
    <w:p>
      <w:pPr>
        <w:spacing w:after="0" w:line="204" w:lineRule="exact"/>
        <w:rPr>
          <w:sz w:val="20"/>
          <w:szCs w:val="20"/>
          <w:color w:val="auto"/>
        </w:rPr>
      </w:pPr>
    </w:p>
    <w:p>
      <w:pPr>
        <w:jc w:val="both"/>
        <w:ind w:firstLine="390"/>
        <w:spacing w:after="0" w:line="248" w:lineRule="auto"/>
        <w:rPr>
          <w:sz w:val="20"/>
          <w:szCs w:val="20"/>
          <w:color w:val="auto"/>
        </w:rPr>
      </w:pPr>
      <w:r>
        <w:rPr>
          <w:rFonts w:ascii="Arial" w:cs="Arial" w:eastAsia="Arial" w:hAnsi="Arial"/>
          <w:sz w:val="20"/>
          <w:szCs w:val="20"/>
          <w:b w:val="1"/>
          <w:bCs w:val="1"/>
          <w:color w:val="auto"/>
        </w:rPr>
        <w:t>vii.</w:t>
      </w:r>
      <w:r>
        <w:rPr>
          <w:rFonts w:ascii="Arial" w:cs="Arial" w:eastAsia="Arial" w:hAnsi="Arial"/>
          <w:sz w:val="20"/>
          <w:szCs w:val="20"/>
          <w:color w:val="auto"/>
        </w:rPr>
        <w:t>Notwithstanding any provisions in this Agreement, the RSUs grant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Participant’s country (the “Appendix”). Moreover, if the Participant relocates to one of the countries included in the Appendix, the special terms and conditions for such country will apply to Participant unless determined otherwise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binding upon the parties and entered into effective as of the Award Date set forth above.</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8x8,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500380</wp:posOffset>
            </wp:positionV>
            <wp:extent cx="1028700" cy="651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651510"/>
                    </a:xfrm>
                    <a:prstGeom prst="rect">
                      <a:avLst/>
                    </a:prstGeom>
                    <a:noFill/>
                  </pic:spPr>
                </pic:pic>
              </a:graphicData>
            </a:graphic>
          </wp:anchor>
        </w:drawing>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____________________</w:t>
      </w:r>
    </w:p>
    <w:p>
      <w:pPr>
        <w:spacing w:after="0" w:line="16" w:lineRule="exact"/>
        <w:rPr>
          <w:sz w:val="20"/>
          <w:szCs w:val="20"/>
          <w:color w:val="auto"/>
        </w:rPr>
      </w:pPr>
    </w:p>
    <w:p>
      <w:pPr>
        <w:jc w:val="center"/>
        <w:ind w:right="7659"/>
        <w:spacing w:after="0"/>
        <w:rPr>
          <w:sz w:val="20"/>
          <w:szCs w:val="20"/>
          <w:color w:val="auto"/>
        </w:rPr>
      </w:pPr>
      <w:r>
        <w:rPr>
          <w:rFonts w:ascii="Arial" w:cs="Arial" w:eastAsia="Arial" w:hAnsi="Arial"/>
          <w:sz w:val="20"/>
          <w:szCs w:val="20"/>
          <w:color w:val="auto"/>
        </w:rPr>
        <w:t>Vikram Verma</w:t>
      </w:r>
    </w:p>
    <w:p>
      <w:pPr>
        <w:spacing w:after="0" w:line="22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Employee Name:</w:t>
            </w:r>
          </w:p>
        </w:tc>
        <w:tc>
          <w:tcPr>
            <w:tcW w:w="5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%%FIRST_NAME%-% %%LAST_NAME%-%</w:t>
            </w: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54"/>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Employee ID #:</w:t>
            </w:r>
          </w:p>
        </w:tc>
        <w:tc>
          <w:tcPr>
            <w:tcW w:w="5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%%EMPLOYEE_IDENTIFIER%-%</w:t>
            </w: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54"/>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Address:</w:t>
            </w:r>
          </w:p>
        </w:tc>
        <w:tc>
          <w:tcPr>
            <w:tcW w:w="5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%%ADDRESS_LINE_1%-%, %%ADDRESS_LINE_2%-%</w:t>
            </w: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54"/>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City</w:t>
            </w:r>
          </w:p>
        </w:tc>
        <w:tc>
          <w:tcPr>
            <w:tcW w:w="5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%%CITY%-%</w:t>
            </w: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54"/>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State &amp; ZIP</w:t>
            </w:r>
          </w:p>
        </w:tc>
        <w:tc>
          <w:tcPr>
            <w:tcW w:w="5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%%STATE%-% %%ZIPCODE%-%</w:t>
            </w: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54"/>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Country</w:t>
            </w:r>
          </w:p>
        </w:tc>
        <w:tc>
          <w:tcPr>
            <w:tcW w:w="5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%%COUNTRY%-%</w:t>
            </w: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39"/>
          </w:cols>
          <w:pgMar w:left="320" w:top="144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Appendix</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to</w:t>
      </w:r>
    </w:p>
    <w:p>
      <w:pPr>
        <w:spacing w:after="0" w:line="275"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NOTICE OF GRANT OF RESTRICTED STOCK UNIT AWARD AND AGREEMENT</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UNDER THE 8x8, INC. 2012 AMENDED &amp; RESTATED EQUITY INCENTIVE PLAN</w:t>
      </w:r>
    </w:p>
    <w:p>
      <w:pPr>
        <w:spacing w:after="0" w:line="3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Appendix includes additional notifications, terms and conditions that govern the RSUs granted to the Participant under the Plan if the Participant resides in one of the countries listed below. Capitalized terms used but not defined in this Addendum have the meanings set forth in the Plan and/or this Agreement.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Participant understands and agrees that the Company strongly recommends that the Participant not rely on the information herein as the only source of information relating to the consequences of participation in the Plan because applicable rules and regulations regularly change, sometimes on a retroactive basis, and the information may be out of date at the time the RSUs vest under the Plan.</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Participant further understands and agree that if the Participant is a citizen or resident of a country other than the one in which the Participant is currently working, transfer employment after grant of the Participant, or is considered a resident of another country for applicable law purposes, the information contained herein may not apply to the Participant, and the Company shall, in its discretion, determine to what extent the terms and conditions contained herein shall apply.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AUSTRALIA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Nature of Plan and Offer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Plan is a plan to which Subdivision 83A-C of the Income Tax Assessment Act 1997 (Cth) applies (subject to the conditions in that Act).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may only make an offer of RSUs under the Plan, where the Company has reasonable grounds to believe, that at the time of making the offer, the number of Shares in a class of Shares that form part of the issued capital of the Company will not exceed 5% of the total number of Shares in that class on issue.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offer of RSUs is intended to comply with the provisions of the Corporations Act 2001, Australian Securities and Investments Commission (“ASIC”) Regulatory Guide 49 and ASIC Class Order 14/1000. Additional details are set forth in the Offer Letter for the offer of RSUs to Australian Participants, which is being provided to Participant along with this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offering and resale of the Shares acquired under the Plan to a person or entity resident in Australia may be subject to disclosure requirements under Australian law. The Participant should obtain legal advice regarding any applicable disclosure requirements prior to accepting any such offer.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 Advice or Recommendation</w:t>
      </w:r>
      <w:r>
        <w:rPr>
          <w:rFonts w:ascii="Arial" w:cs="Arial" w:eastAsia="Arial" w:hAnsi="Arial"/>
          <w:sz w:val="20"/>
          <w:szCs w:val="20"/>
          <w:b w:val="1"/>
          <w:bCs w:val="1"/>
          <w:color w:val="auto"/>
        </w:rPr>
        <w: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Agreement is not intended to provide the sole or principal basis of any investment or credit decision or any other risk evaluation. The information contained in this Agreement is not a recommendation by the Company or any other person that any investor subscribe for Shares in the Company. Each Participant must conduct his or her own investigations and analysis of the operations and prospects of the Company that it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165" w:right="339" w:bottom="1440" w:gutter="0" w:footer="0" w:header="0"/>
        </w:sectPr>
      </w:pPr>
    </w:p>
    <w:bookmarkStart w:id="112" w:name="page113"/>
    <w:bookmarkEnd w:id="112"/>
    <w:p>
      <w:pPr>
        <w:jc w:val="both"/>
        <w:spacing w:after="0" w:line="260" w:lineRule="auto"/>
        <w:rPr>
          <w:sz w:val="20"/>
          <w:szCs w:val="20"/>
          <w:color w:val="auto"/>
        </w:rPr>
      </w:pPr>
      <w:r>
        <w:rPr>
          <w:rFonts w:ascii="Arial" w:cs="Arial" w:eastAsia="Arial" w:hAnsi="Arial"/>
          <w:sz w:val="20"/>
          <w:szCs w:val="20"/>
          <w:color w:val="auto"/>
        </w:rPr>
        <w:t>considers necessary or desirable and should determine for itself its interest in acquiring Shares in the Company on the basis of such independent assessment and investigation.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Exchange Control</w:t>
      </w:r>
      <w:r>
        <w:rPr>
          <w:rFonts w:ascii="Arial" w:cs="Arial" w:eastAsia="Arial" w:hAnsi="Arial"/>
          <w:sz w:val="20"/>
          <w:szCs w:val="20"/>
          <w:b w:val="1"/>
          <w:bCs w:val="1"/>
          <w:color w:val="auto"/>
        </w:rPr>
        <w: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Participant acknowledges and agrees that it is the Participant’s sole responsibility to investigate and comply with any applicable exchange control laws in connection with the inflow of funds from the vesting of the RSUs or subsequent sale of the Shares and any dividends (if any) and that the Participant shall be responsible for any reporting of inbound international fund transfers required under Applicable Laws. The Participant is advised to seek appropriate professional advice as to how the exchange control regulations apply to the Participant’s specific situation.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Offer of RSUs</w:t>
      </w:r>
      <w:r>
        <w:rPr>
          <w:rFonts w:ascii="Arial" w:cs="Arial" w:eastAsia="Arial" w:hAnsi="Arial"/>
          <w:sz w:val="20"/>
          <w:szCs w:val="20"/>
          <w:b w:val="1"/>
          <w:bCs w:val="1"/>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Board, in its absolute discretion, may make a written offer to an eligible person who is an Australian resident it chooses to accept the RSUs.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offer shall specify the maximum number of Shares the Participant may accept under the RSUs, the Award Date, the Vesting Commerce Date, the vesting conditions (if any), any applicable holding period and any disposal restrictions attaching to the RSUs or the resulting Shares (all of which may be set by the Board in its absolute discretion).</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offer is intended to receive tax deferred treatment under Subdivision 83A-C of the Income Tax Assessment Act 1997(Cth) and that Subdivision applies to the Plan. The conditions to receive such treatment are contained in this Agreement.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offer shall be accompanied by an acceptance form and a copy of the Plan and this Agreement or, alternatively, details on how the Participant may obtain a copy of the Plan and this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Where the Board is to make an offer to a casual employee or a consultant, it will do so where:</w:t>
      </w:r>
    </w:p>
    <w:p>
      <w:pPr>
        <w:spacing w:after="0" w:line="216" w:lineRule="exact"/>
        <w:rPr>
          <w:sz w:val="20"/>
          <w:szCs w:val="20"/>
          <w:color w:val="auto"/>
        </w:rPr>
      </w:pPr>
    </w:p>
    <w:p>
      <w:pPr>
        <w:jc w:val="both"/>
        <w:ind w:firstLine="656"/>
        <w:spacing w:after="0" w:line="245" w:lineRule="auto"/>
        <w:tabs>
          <w:tab w:leader="none" w:pos="1286"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a casual employee, the individual who performs the work under or in relation to the contract is or might reasonably be expected to be, engaged to work the number of hours that are the pro-rata equivalent of 40% or more of a comparable full-time position with the Company;</w:t>
      </w:r>
    </w:p>
    <w:p>
      <w:pPr>
        <w:ind w:left="1300" w:hanging="644"/>
        <w:spacing w:after="0"/>
        <w:tabs>
          <w:tab w:leader="none" w:pos="13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a contractor:</w:t>
      </w:r>
    </w:p>
    <w:p>
      <w:pPr>
        <w:ind w:firstLine="1304"/>
        <w:spacing w:after="0" w:line="239" w:lineRule="auto"/>
        <w:tabs>
          <w:tab w:leader="none" w:pos="1934"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if an individual with whom the Company has entered into a contract for the provision of services under which the individual performs work for the Company; or</w:t>
      </w:r>
    </w:p>
    <w:p>
      <w:pPr>
        <w:ind w:firstLine="1304"/>
        <w:spacing w:after="0" w:line="244" w:lineRule="auto"/>
        <w:tabs>
          <w:tab w:leader="none" w:pos="193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if a Company with whom the Company has entered into a contract for the provision of services under which an individual, who is a director of the Company or their spouse, performs work for the Company;</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where the individual who performs the work under or in relation to the contract is, or might reasonably be expected to be, engaged to work the number of hours that are the pro-rata equivalent of 40% or more of a comparable full-time position with the Company.</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Grant of RSUs</w:t>
      </w:r>
      <w:r>
        <w:rPr>
          <w:rFonts w:ascii="Arial" w:cs="Arial" w:eastAsia="Arial" w:hAnsi="Arial"/>
          <w:sz w:val="20"/>
          <w:szCs w:val="20"/>
          <w:b w:val="1"/>
          <w:bCs w:val="1"/>
          <w:color w:val="auto"/>
        </w:rPr>
        <w: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If the Participant validly accepts the Board’s offer of RSUs, the Board must grant the Participant the RSUs for the number of Shares for which the RSUs were accepted. However, the Board must </w:t>
      </w:r>
      <w:r>
        <w:rPr>
          <w:rFonts w:ascii="Arial" w:cs="Arial" w:eastAsia="Arial" w:hAnsi="Arial"/>
          <w:sz w:val="20"/>
          <w:szCs w:val="20"/>
          <w:i w:val="1"/>
          <w:iCs w:val="1"/>
          <w:color w:val="auto"/>
        </w:rPr>
        <w:t>not</w:t>
      </w:r>
      <w:r>
        <w:rPr>
          <w:rFonts w:ascii="Arial" w:cs="Arial" w:eastAsia="Arial" w:hAnsi="Arial"/>
          <w:sz w:val="20"/>
          <w:szCs w:val="20"/>
          <w:color w:val="auto"/>
        </w:rPr>
        <w:t xml:space="preserve"> do so if the Participant has ceased to be an eligible person at the date when the RSUs are to be granted or the Company is otherwise prohibited from doing so under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(Cth) without a disclosure document, product disclosure statement or similar document.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771" w:right="339" w:bottom="1440" w:gutter="0" w:footer="0" w:header="0"/>
        </w:sectPr>
      </w:pPr>
    </w:p>
    <w:bookmarkStart w:id="113" w:name="page114"/>
    <w:bookmarkEnd w:id="113"/>
    <w:p>
      <w:pPr>
        <w:jc w:val="both"/>
        <w:ind w:right="20"/>
        <w:spacing w:after="0" w:line="260" w:lineRule="auto"/>
        <w:rPr>
          <w:sz w:val="20"/>
          <w:szCs w:val="20"/>
          <w:color w:val="auto"/>
        </w:rPr>
      </w:pPr>
      <w:r>
        <w:rPr>
          <w:rFonts w:ascii="Arial" w:cs="Arial" w:eastAsia="Arial" w:hAnsi="Arial"/>
          <w:sz w:val="20"/>
          <w:szCs w:val="20"/>
          <w:color w:val="auto"/>
        </w:rPr>
        <w:t>The Company must provide a copy of this Agreement in respect of the RSUs granted to the Participant to be executed by the Participant as part of the offer to the Participant.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CANADA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The following provision supplements Section 3 of this Agreement:</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Except as required by applicable legislation, for purposes of the RSUs, the Participant’s service will be considered terminated (regardless of the reason for such termination and whether or not later found to be invalid or in breach of labor laws in the jurisdiction where the Participant is providing services or the terms of the Participant’s service agreement, if any) as of the date that is the earliest of (1) the date the Participant’s service relationship is terminated, (2) the date the Participant receives notice of termination from employing Affiliate, or (3) the date the Participant is no longer actively providing service to the Company or any Affiliate, regardless of any notice period or period of pay in lieu of such notice required under applicable law (including, but not limited to statutory law, regulatory law and/or common law). The administrator shall have the exclusive discretion to determine when the Participant is no longer actively providing services for purposes of this RSUs (including whether the Participant may still be considered to be providing services while on a leave of absence).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Data Privacy.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supplements Section 12 of this Agreement:</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Participant hereby authorizes the Company and its representatives to discuss with and obtain all relevant information from all personnel, professional or not, involved in the administration and operation of the Plan. The Participant further authorizes the Company and its Affiliates and any stock plan service provider that may be selected by the Company to assist with the Plan to disclose and discuss the Plan with their respective advisors. The Participant further authorizes the Company and its Affiliates to record such information and to keep such information in the Participant’s employee file.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if Participant is a resident of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Language Consent.</w:t>
      </w:r>
    </w:p>
    <w:p>
      <w:pPr>
        <w:spacing w:after="0" w:line="24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parties to this Agreement acknowledge that it is their express wish that this Agreement, as well as all documents, notices, and legal proceedings entered into, given or instituted pursuant hereto or relating directly or indirectly hereto, be drawn up in English.</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Consentement relatif à la langue utilisée</w:t>
      </w:r>
    </w:p>
    <w:p>
      <w:pPr>
        <w:spacing w:after="0" w:line="243"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Les parties reconnaissent avoir exigé que cette convention («Agreement») soit rédigée en anglais, ainsi que tous les documents, avis et procédures judiciaires, éxécutés, donnés ou intentés en vertu de, ou liés directement ou indirectement à la présente.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014" w:right="339" w:bottom="1440" w:gutter="0" w:footer="0" w:header="0"/>
        </w:sectPr>
      </w:pPr>
    </w:p>
    <w:bookmarkStart w:id="114" w:name="page115"/>
    <w:bookmarkEnd w:id="114"/>
    <w:p>
      <w:pPr>
        <w:jc w:val="both"/>
        <w:spacing w:after="0" w:line="250" w:lineRule="auto"/>
        <w:rPr>
          <w:sz w:val="20"/>
          <w:szCs w:val="20"/>
          <w:color w:val="auto"/>
        </w:rPr>
      </w:pPr>
      <w:r>
        <w:rPr>
          <w:rFonts w:ascii="Arial" w:cs="Arial" w:eastAsia="Arial" w:hAnsi="Arial"/>
          <w:sz w:val="20"/>
          <w:szCs w:val="20"/>
          <w:color w:val="auto"/>
        </w:rPr>
        <w:t>The Participant is permitted to sell Shares acquired through the Plan through the designated broker appointed by the Company, provided the resale of Shares acquired under the Plan takes place outside of Canada, including, if applicable, through the facilities of a stock exchange on which the Shares are listed.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Foreign Asset/Account Reporting Information.</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Canadian residents are required to report any foreign property (e.g., Shares acquired under the Plan and possibly unvested RSUs) on form T1135 (Foreign Income Verification Statement) if the total cost of their foreign property exceeds C$100,000 at any time in the year. It is the Participant’s responsibility to comply with these reporting obligations, and the Participant should consult with his or her personal tax advisor in this regard.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Share Settlement of RSUs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anything to the contrary in the Plan or this Agreement, RSUs granted to Canadian Participants shall only be settled in Shares and shall not be settled in cash.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FINLAND</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1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grant of RSUs under the Plan is exempt or excluded from the requirement to publish a prospectus under the EU Prospectus Regulation as implemented in Finland.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FRANCE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RSUs Not Tax-Qualified.</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RSUs are not intended to be a tax-qualified or tax-preferred award, including without limitation, under Sections L. 225-197-1 to L. 225-197-6 of the French Commercial Code. The Participant is encouraged to consult with a personal tax advisor to understand the tax and social insurance implications of the RSUs.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Language Consent.</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accepting the RSUs, the Participant confirms having read and understood the documents relating to this grant (the Plan and this Agreement) which were provided in English language. The Participant accepts the terms of those documents accordingly. The Participant confirms that the Participant has a good knowledge of the English language.</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En acceptant l’Attribution, le Bénéficiaire confirme avoir lu et compris les documents relatifs à cette attribution (le Plan et ce Contrat) qui ont été fournis en langue anglaise. Le Bénéficiaire accepte les dispositions de ces documents en connaissance de cause. Etant précisé que le Titulaire a une bonne maîtrise de la langue anglaise.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RSUs under the Plan is exempt or excluded from the requirement to publish a prospectus under the EU Prospectus Regulation as implemented in France.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Foreign Asset/Account Reporting Information.</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Participant may hold Shares acquired upon vesting/settlement of the RSUs, any proceeds resulting from the sale of Shares or any dividends paid on such Shares outside of France, provided the Participant declares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771" w:right="339" w:bottom="1440" w:gutter="0" w:footer="0" w:header="0"/>
        </w:sectPr>
      </w:pPr>
    </w:p>
    <w:bookmarkStart w:id="115" w:name="page116"/>
    <w:bookmarkEnd w:id="115"/>
    <w:p>
      <w:pPr>
        <w:jc w:val="both"/>
        <w:ind w:right="20"/>
        <w:spacing w:after="0" w:line="260" w:lineRule="auto"/>
        <w:rPr>
          <w:sz w:val="20"/>
          <w:szCs w:val="20"/>
          <w:color w:val="auto"/>
        </w:rPr>
      </w:pPr>
      <w:r>
        <w:rPr>
          <w:rFonts w:ascii="Arial" w:cs="Arial" w:eastAsia="Arial" w:hAnsi="Arial"/>
          <w:sz w:val="20"/>
          <w:szCs w:val="20"/>
          <w:color w:val="auto"/>
        </w:rPr>
        <w:t>all foreign bank and brokerage accounts (including any accounts that were opened or closed during the tax year) with his or her annual income tax return. Failure to complete this reporting may trigger penalties for the Participant.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GERMANY</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RSUs under the Plan is exempt or excluded from the requirement to publish a prospectus under the EU Prospectus Regulation as implemented in Germany.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Exchange Control Information.</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the Participant remits proceeds in excess of the legally designated amount (currently at €12,500) out of or into Germany, such cross-border payment must be reported monthly to the State Central Bank. In the event that the Participant makes or receives a payment in excess of this amount, the Participant is responsible for obtaining the appropriate form from a German bank and complying with applicable reporting requirements. In addition, the Participant must also report on an annual basis in the unlikely event that the Participant holds Shares exceeding 10% of the total voting capital of the Company.</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Prohibition on Insider Dealing</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Participant should be aware of the insider dealing rules of the Regulation (EU) No 596/2014 of the European Parliament and Council (Market Abuse Regulation) apply in Germany, which may affect transactions under the Plan such as e.g. the subscription or participation, the suspension, the cancellation or an amending order, the acquisition or sale of Shares acquired under the Plan, if the Participant has inside information regarding the Company. The Participant is advised to determine carefully whether he or she has inside information in respect of the Company and whether and to what extend insider dealing rules can apply to him or her. In case of uncertainty, the Company recommends that the Participant consults with a legal advisor.</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Limitation of Liability</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Participant is responsible for compliance with any laws to be observed by the Participant in person in conjunction with the participation in the Plan. The Company cannot be held liable if the Participant violates German law or any other applicable rules to be complied with by the Participant in conjunction with the participation in the Plan including but not limited to insider dealing restrictions under the Market Abuse Regulation.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HONG KONG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Sale of Shares.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Shares received at vesting are accepted as a personal investment. In the event that any portion of this RSUs vest within six months of the grant date, The Participant agrees that he or she will not offer to the public or otherwise dispose of the Shares acquired prior to the six-month anniversary of the grant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Notice.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865" w:right="339" w:bottom="1440" w:gutter="0" w:footer="0" w:header="0"/>
        </w:sectPr>
      </w:pPr>
    </w:p>
    <w:bookmarkStart w:id="116" w:name="page117"/>
    <w:bookmarkEnd w:id="116"/>
    <w:p>
      <w:pPr>
        <w:jc w:val="both"/>
        <w:spacing w:after="0" w:line="257" w:lineRule="auto"/>
        <w:rPr>
          <w:sz w:val="20"/>
          <w:szCs w:val="20"/>
          <w:color w:val="auto"/>
        </w:rPr>
      </w:pPr>
      <w:r>
        <w:rPr>
          <w:rFonts w:ascii="Arial" w:cs="Arial" w:eastAsia="Arial" w:hAnsi="Arial"/>
          <w:sz w:val="19"/>
          <w:szCs w:val="19"/>
          <w:i w:val="1"/>
          <w:iCs w:val="1"/>
          <w:color w:val="auto"/>
        </w:rPr>
        <w:t>WARNING: The RSUs and the Shares covered by the RSUs do not constitute a public offering of securities under Hong Kong law and are available only to employees of the Company or the Affiliate participating in the Plan. The Participant should be aware that the contents of this Agreement have not been prepared in accordance with and are not intended to constitute a “prospectus” for a public offering of securities under the applicable securities legislation in Hong Kong. Nor have the documents been reviewed by any regulatory authority in Hong Kong. The RSUs are intended only for the Participant’s personal use and may not be distributed to any other person. The Participant is advised to exercise caution in relation to the offer. If the Participant is in any doubt about any of the contents of this Agreement, including this provision, or the Plan, the Participant should obtain independent professional advice.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Occupational Retirement Schemes Ordinance Alert.</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specifically intends that neither the RSUs nor the Plan will be considered or deemed an occupational retirement scheme for purposes of the Occupational Retirement Schemes Ordinance (“ORSO”).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r>
        <w:rPr>
          <w:rFonts w:ascii="Arial" w:cs="Arial" w:eastAsia="Arial" w:hAnsi="Arial"/>
          <w:sz w:val="20"/>
          <w:szCs w:val="20"/>
          <w:b w:val="1"/>
          <w:bCs w:val="1"/>
          <w:color w:val="auto"/>
        </w:rPr>
        <w:t>.</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grant of RSUs under the Plan is exempt or excluded from the requirement to publish a prospectus under the EU Prospectus Regulation as implemented in Hungary.</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 grant of RSUs made pursuant to and in compliance with the private placement rules under the Capital Markets Act CXX of 2001.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However, the Company will fill a notification with the Hungarian Financial Supervisory Authority as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Non-Qualification of Award</w:t>
      </w:r>
      <w:r>
        <w:rPr>
          <w:rFonts w:ascii="Arial" w:cs="Arial" w:eastAsia="Arial" w:hAnsi="Arial"/>
          <w:sz w:val="20"/>
          <w:szCs w:val="20"/>
          <w:b w:val="1"/>
          <w:bCs w:val="1"/>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Participant understands that the RSUs are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intended to be tax-qualified or preferred under the laws of Hungary.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Exchange Control Information</w:t>
      </w:r>
      <w:r>
        <w:rPr>
          <w:rFonts w:ascii="Arial" w:cs="Arial" w:eastAsia="Arial" w:hAnsi="Arial"/>
          <w:sz w:val="20"/>
          <w:szCs w:val="20"/>
          <w:b w:val="1"/>
          <w:bCs w:val="1"/>
          <w:color w:val="auto"/>
        </w:rPr>
        <w: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the Participant remits proceeds from the sale of Shares into Indonesia, the Indonesian bank through which the transaction is made will submit a report on the transaction to the Bank of Indonesia for statistical reporting purposes. For transactions of US$25,000 or more, a description of the transaction must be included in the report. Although the bank through which the transaction is made is required to make the report, the Participant must complete a “Transfer Report Form.” The Transfer Report Form should be provided to the Participant by the bank through which the transaction is made.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NETHERLANDS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771"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u w:val="single" w:color="auto"/>
          <w:color w:val="auto"/>
        </w:rPr>
        <w:t>Securities Law Information</w:t>
      </w:r>
      <w:r>
        <w:rPr>
          <w:rFonts w:ascii="Arial" w:cs="Arial" w:eastAsia="Arial" w:hAnsi="Arial"/>
          <w:sz w:val="20"/>
          <w:szCs w:val="20"/>
          <w:b w:val="1"/>
          <w:bCs w:val="1"/>
          <w:color w:val="auto"/>
        </w:rPr>
        <w:t>.</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RSUs under the Plan is exempt or excluded from the requirement to publish a prospectus under the EU Prospectus Regulation as implemented in the Netherlands.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Prohibition Against Insider Trading</w:t>
      </w:r>
      <w:r>
        <w:rPr>
          <w:rFonts w:ascii="Arial" w:cs="Arial" w:eastAsia="Arial" w:hAnsi="Arial"/>
          <w:sz w:val="20"/>
          <w:szCs w:val="20"/>
          <w:b w:val="1"/>
          <w:bCs w:val="1"/>
          <w:color w:val="auto"/>
        </w:rPr>
        <w:t>.</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Participant should be aware of the Dutch insider trading rules, which may affect the sale of Shares acquired under this Agreement. In particular, the Participant may be prohibited from effecting certain share transactions if the Participant has insider information regarding the Company. Below is a discussion of the applicable restrictions. The Participant is advised to read the discussion carefully to determine whether the insider rules could apply to him or her. If it is uncertain whether the insider rules apply, the Company recommends that the Participant consult with a legal advisor. The Company cannot be held liable if the Participant violates the Dutch insider trading rules. The Participant is responsible for ensuring the Participant’s compliance with these rules.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Dutch securities laws prohibit insider trading. As of 3 July 2016, the European Market Abuse Regulation (MAR), is applicable in the Netherlands. For further information, the Participant is referred to the website of the Authority for the Financial Markets (AFM): https://www.afm.nl/en/professionals/onderwerpen/marktmisbruik.</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Given the broad scope of the definition of insider information, certain employees of the Company working at its Dutch Affiliate may have insider information and thus are prohibited from making a transaction in securities in the Netherlands at a time when they have such insider information. By entering into and participating in this Agreement, the Participant acknowledges having read and understood the notification above and acknowledges that it is the Participant’s responsibility to comply with the Dutch insider trading rules, as discussed herein.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NEW ZEALAND</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Notice.</w:t>
      </w:r>
    </w:p>
    <w:p>
      <w:pPr>
        <w:spacing w:after="0" w:line="10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Participant is being offered an opportunity to participate in the Plan. In compliance with New Zealand securities law, the Participant is hereby notified that all documents related to the Plan have either been provided to the Participant or are available via website or hard copy.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A copy of the above documents will be provided to the Participant, free of charge, on written request to the Company.</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any other provisions of the Plan, every covenant or other provisions set out in an exclusion under Schedule 1 of the New Zealand Financial Markets Conduct Act 2013 ("</w:t>
      </w:r>
      <w:r>
        <w:rPr>
          <w:rFonts w:ascii="Arial" w:cs="Arial" w:eastAsia="Arial" w:hAnsi="Arial"/>
          <w:sz w:val="20"/>
          <w:szCs w:val="20"/>
          <w:b w:val="1"/>
          <w:bCs w:val="1"/>
          <w:color w:val="auto"/>
        </w:rPr>
        <w:t>FMCA</w:t>
      </w:r>
      <w:r>
        <w:rPr>
          <w:rFonts w:ascii="Arial" w:cs="Arial" w:eastAsia="Arial" w:hAnsi="Arial"/>
          <w:sz w:val="20"/>
          <w:szCs w:val="20"/>
          <w:color w:val="auto"/>
        </w:rPr>
        <w:t>") or in an exemption or modification granted from time to time by the Financial Markets Authority in respect of the Plan or which applies to the Plan pursuant to its powers under the FMCA and required to be included in the Plan in order for that exclusion, exemption or modification to have full effect, is deemed to be contained in the Plan. To the extent that any covenant or other provision deemed by this clause to be contained in the Plan is inconsistent with any other provision in the Plan, the deemed covenant or other provision will prevail.</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Participant is encouraged to read the provided materials carefully before making a decision whether to participate in the Plan. In addition, the Participant should consult a tax advisor for specific information concerning personal tax situation with regard to Plan participation.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Warning.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765" w:right="339" w:bottom="1440" w:gutter="0" w:footer="0" w:header="0"/>
        </w:sectPr>
      </w:pPr>
    </w:p>
    <w:bookmarkStart w:id="118" w:name="page119"/>
    <w:bookmarkEnd w:id="118"/>
    <w:p>
      <w:pPr>
        <w:jc w:val="both"/>
        <w:ind w:right="20"/>
        <w:spacing w:after="0" w:line="260" w:lineRule="auto"/>
        <w:rPr>
          <w:sz w:val="20"/>
          <w:szCs w:val="20"/>
          <w:color w:val="auto"/>
        </w:rPr>
      </w:pPr>
      <w:r>
        <w:rPr>
          <w:rFonts w:ascii="Arial" w:cs="Arial" w:eastAsia="Arial" w:hAnsi="Arial"/>
          <w:sz w:val="20"/>
          <w:szCs w:val="20"/>
          <w:color w:val="auto"/>
        </w:rPr>
        <w:t>If the Company runs into financial difficulties and is wound up, the Participant will be paid only after all creditors and holders of preference Shares have been paid. The Participant may lose some or all of his or her investment.</w:t>
      </w:r>
    </w:p>
    <w:p>
      <w:pPr>
        <w:spacing w:after="0" w:line="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New Zealand law normally requires people who offer financial products to give information to investors before they invest. This information is designed to help investors to make an informed decision.</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The usual rules do not apply to this offer because it is made under an equity incentive plan.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 result, the Participant may not be given all the information usually required. The Participant will also have fewer other legal protections for this investment.</w:t>
      </w:r>
    </w:p>
    <w:p>
      <w:pPr>
        <w:spacing w:after="0" w:line="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Participant has a right, upon request, to receive from the Company free of charge, a copy (or electronic copy) of the Company’s relevant financial statements for the most recently completed financial year and the auditor’s report. The relevant financial statements are those of the Company and its subsidiaries prepared in accordance with US GAAP for the most recently completed accounting period. Please address any such requests to legal-notices@8x8.com.</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Participant is encouraged to ask questions, read all documents carefully, and seek independent financial advice before committing himself or herself.</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Information Notice.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The Participant has a right to receive the following financial information, free of charge, upon request:</w:t>
      </w:r>
    </w:p>
    <w:p>
      <w:pPr>
        <w:spacing w:after="0" w:line="94"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20"/>
          <w:szCs w:val="20"/>
          <w:color w:val="auto"/>
        </w:rPr>
        <w:t>A copy of the Company’s latest annual report prepared under any enactment or overseas law (if any); and</w:t>
      </w:r>
    </w:p>
    <w:p>
      <w:pPr>
        <w:spacing w:after="0" w:line="94"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20"/>
          <w:szCs w:val="20"/>
          <w:color w:val="auto"/>
        </w:rPr>
        <w:t>A copy of the Company’s relevant financial statements and either the auditor’s report on them or a statement that they are not audited.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r>
        <w:rPr>
          <w:rFonts w:ascii="Arial" w:cs="Arial" w:eastAsia="Arial" w:hAnsi="Arial"/>
          <w:sz w:val="20"/>
          <w:szCs w:val="20"/>
          <w:b w:val="1"/>
          <w:bCs w:val="1"/>
          <w:color w:val="auto"/>
        </w:rPr>
        <w:t>.</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Participant is not permitted to sell or otherwise dispose of the Shares acquired upon vesting of the RSUs within the Philippines. The Participant will be permitted to sell or dispose of Shares acquired upon the vesting of RSUs, provided the resale of Shares takes place outside the Philippines. The Participant may sell Shares to the Company, provided the Company is located outside the Philippines, or should the Company’s Shares be publicly traded, the Participant may sell Shares through the facilities of a stock exchange on which the Shares are listed, provided it is outside the Philippines.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RSUs being offered herein have not been registered with the Philippines Securities and Exchange Commission under its Securities Regulation Code (the “SRC”) and is exempt from such registration requirement under Section 10.2 of the 2015 Implementing Rules and Regulations of SRC. Any future offer thereof is subject to the registration requirements under the SCR uncles such offer qualifies as an exempt transaction.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ROMANIA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Language Consent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865" w:right="3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20"/>
          <w:szCs w:val="20"/>
          <w:color w:val="auto"/>
        </w:rPr>
        <w:t>In accepting the grant of RSUs, the Participant acknowledges that he or she is proficient in reading and understanding English and fully understand the terms of the documents related to the grant (the Notice, this Agreement and the Plan), which were provided in the English language. The Participant accepts the terms of those documents accordingly.</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u w:val="single" w:color="auto"/>
          <w:color w:val="auto"/>
        </w:rPr>
        <w:t>Consimtamant cu privire la limba</w:t>
      </w:r>
      <w:r>
        <w:rPr>
          <w:rFonts w:ascii="Arial" w:cs="Arial" w:eastAsia="Arial" w:hAnsi="Arial"/>
          <w:sz w:val="20"/>
          <w:szCs w:val="20"/>
          <w:i w:val="1"/>
          <w:iCs w:val="1"/>
          <w:color w:val="auto"/>
        </w:rPr>
        <w:t>. Prin acceptarea acordarii de unitati de stoc, Participantul confirma ca acesta sau aceasta are un nivel</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adecvat de cunoastere in ce priveste cititirea si intelegerea limbii engleze, a citit si confirma ca a inteles pe deplin termenii documentelor referitoare la acordare (Anuntul, Acordul si Planul), care au fost furnizate in limba engleza. Participantul accepta termenii acestor documente in consecinta.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grant of the RSUs is considered a private offering and therefore is not subject to securities registration in Romania.</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Exchange Control Information</w:t>
      </w:r>
      <w:r>
        <w:rPr>
          <w:rFonts w:ascii="Arial" w:cs="Arial" w:eastAsia="Arial" w:hAnsi="Arial"/>
          <w:sz w:val="20"/>
          <w:szCs w:val="20"/>
          <w:color w:val="auto"/>
        </w:rPr>
        <w:t>.</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Participant deposits the proceeds from the sale of Shares acquired under the Plan into a bank in Romania, the Participant may be required to provide the Romanian bank through which the foreign currency is transferred with appropriate documentation explaining the source of the funds. The Participant should consult his or her personal advisor to determine whether he or she will be required to submit such documentation to the Romanian bank.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SINGAPORE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grant of the RSUs is being made pursuant to the “Qualifying Person” exemption under section 273(1)(f) of the Singapore Securities and Futures Act (Chapter 289, 2006 Ed.) (“SFA”). The Plan has not been lodged or registered as a prospectus with the Monetary Authority of Singapore. The Participant should note that the RSUs are subject to section 257 of the SFA and the Participant will not be able to make any subsequent sale in Singapore of the Shares acquired through the vesting of the RSUs or any offer of such sale in Singapore unless such sale or offer is made pursuant to the exemptions under Part XIII Division (1) Subdivision (4) (other than section 280) of the SFA.</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Director Notification Obligation.</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the Participant is the chief executive officer (“CEO”) or a director, associate director or shadow director of one of Affiliates in Singapore, the Participant is subject to certain notification requirements under the Singapore Companies Act. Among these requirements is an obligation to notify the Singapore Affiliate in writing within two business days of any of the following events: (i) acquiring or disposing of an interest in the Company (e.g., RSUs or Shares) or in any Affiliate, (ii) any change in a previously-disclosed interest (e.g., upon vesting of the RSUs), or</w:t>
      </w:r>
    </w:p>
    <w:p>
      <w:pPr>
        <w:spacing w:after="0" w:line="3" w:lineRule="exact"/>
        <w:rPr>
          <w:sz w:val="20"/>
          <w:szCs w:val="20"/>
          <w:color w:val="auto"/>
        </w:rPr>
      </w:pPr>
    </w:p>
    <w:p>
      <w:pPr>
        <w:ind w:firstLine="8"/>
        <w:spacing w:after="0" w:line="244" w:lineRule="auto"/>
        <w:tabs>
          <w:tab w:leader="none" w:pos="37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becoming the CEO or a director, associate director or shadow director of an Affiliate in Singapore, if the Participant holds such an interest at that time.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SWITZERLAND</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771" w:right="33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grant of the RSUs is considered a private offering and therefore is not subject to securities registration in Switzerland.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THAILAND</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u w:val="single" w:color="auto"/>
          <w:color w:val="auto"/>
        </w:rPr>
        <w:t>Exchange Control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Thai residents realizing cash proceeds in excess of US $200,000 in a single transaction from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dividends paid on such Shares must immediately repatriate all cash proceeds to Thailand and convert such proceeds to Thai Baht within 360 days of repatriation or deposit the funds in an authorized foreign exchange account in Thailand. The inward remittance must also be reported to the Bank of Thailand on a foreign exchange transaction form. Failure to comply with these obligations may result in penalties assessed by the Bank of Thailand. The Participant should consult with his or her personal advisor prior to taking any action with respect to the remittance of proceeds into Thailand. The Participant is responsible for ensuring compliance with all exchange control laws in Thailand.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Securities Law Information.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RSUs under the Plan is exempt from the requirement to publish a prospectus under the EU Prospectus Regulation as implemented in the United Kingdom.</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Neither this Agreement nor Appendix is an approved prospectus for the purposes of section 85(1) of the Financial Services and Markets Act 2000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FSMA</w:t>
      </w:r>
      <w:r>
        <w:rPr>
          <w:rFonts w:ascii="Arial" w:cs="Arial" w:eastAsia="Arial" w:hAnsi="Arial"/>
          <w:sz w:val="20"/>
          <w:szCs w:val="20"/>
          <w:i w:val="1"/>
          <w:iCs w:val="1"/>
          <w:color w:val="auto"/>
        </w:rPr>
        <w:t>”</w:t>
      </w:r>
      <w:r>
        <w:rPr>
          <w:rFonts w:ascii="Arial" w:cs="Arial" w:eastAsia="Arial" w:hAnsi="Arial"/>
          <w:sz w:val="20"/>
          <w:szCs w:val="20"/>
          <w:color w:val="auto"/>
        </w:rPr>
        <w:t>) and no offer of transferable securities to the public (for the purposes of section 102B of FSMA) is being made in connection with this Agreement. This Agreement and the RSUs are exclusively available in the UK to bona fide employees and former employees of the Company or its Affiliate.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Non-Qualified Grants.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RSUs are not intended to be tax-qualified or tax preferred under current tax rules and regulations in the United Kingdom.</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Consultation.</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Participant understands that he or she may suffer adverse tax consequences as a result of the Participant’s acquisition or disposition of the Shares. The Participant represents that he or she will consult with any tax advisors that the Participant deems appropriate in connection with the acquisition or disposition of the Shares and that the Participant is not relying on the Company or any Affiliates for any tax advice.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Prohibition Against Insider Dealing.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Participant should be aware of:</w:t>
      </w:r>
    </w:p>
    <w:p>
      <w:pPr>
        <w:spacing w:after="0" w:line="216" w:lineRule="exact"/>
        <w:rPr>
          <w:sz w:val="20"/>
          <w:szCs w:val="20"/>
          <w:color w:val="auto"/>
        </w:rPr>
      </w:pPr>
    </w:p>
    <w:p>
      <w:pPr>
        <w:ind w:left="660" w:hanging="328"/>
        <w:spacing w:after="0" w:line="260" w:lineRule="auto"/>
        <w:tabs>
          <w:tab w:leader="none" w:pos="6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insider dealing rules of the Regulation (EU) No 596/2014 of the European Parliament and Council (Market Abuse Regulation) which apply in the UK; and</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UK's insider dealing rules under the Criminal Justice Act 1993,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765" w:right="3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19"/>
          <w:szCs w:val="19"/>
          <w:color w:val="auto"/>
        </w:rPr>
        <w:t>each of which may affect transactions under the Plan such as the acquisition or sale of Shares acquired under the Plan, if the Participant has inside information regarding the Company. If the Participant is uncertain whether the insider dealing rules apply, the Company recommends that the Participant consults with a legal advisor. The Company cannot be held liable if the Participant violates the UK's insider dealing rules. The Participant is responsible for ensuring his or her compliance with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VIETNAM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The following terms and conditions apply if the Participant is subject to exchange control restrictions and regulations in Vietnam, including the requirements imposed by the State Bank of Vietnam (“SBV”), as determined by the Committee in its sole discretion: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This provision supplements the Vesting section of this Agreement:</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to the vesting requirements set forth in the Notice and this Agreement, settlement of the RSUs is also conditioned on the Company securing and maintaining all necessary approvals from the SBV and any other applicable government entities required to permit the operation of the Plan in Vietnam (the “SBV Registration Requirement”). If or to the extent the Company does not complete the registration or maintain the registration, no Shares shall be issued under the RSUs. In this case, the Company retains the discretion to settle any RSUs for which the vesting requirements (but not the SBV Registration Requirement) has been met in cash paid through local payroll in an amount equal to the Fair Market Value of the Shares subject to the RSUs less any withholding obligation for Tax Obligations.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Shares Must Remain With Company’s Designated Broker</w:t>
      </w:r>
      <w:r>
        <w:rPr>
          <w:rFonts w:ascii="Arial" w:cs="Arial" w:eastAsia="Arial" w:hAnsi="Arial"/>
          <w:sz w:val="20"/>
          <w:szCs w:val="20"/>
          <w:color w:val="auto"/>
        </w:rPr>
        <w:t>.</w:t>
      </w:r>
    </w:p>
    <w:p>
      <w:pPr>
        <w:spacing w:after="0" w:line="222"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The Participant agrees to hold any Shares received upon settlement of the RSUs with the Company’s designated broker until the Shares are sold. The limitation shall apply to all Shares issued to the Participant under the Plan, whether or not he or she remain in service.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Forced Sale of Shares</w:t>
      </w:r>
      <w:r>
        <w:rPr>
          <w:rFonts w:ascii="Arial" w:cs="Arial" w:eastAsia="Arial" w:hAnsi="Arial"/>
          <w:sz w:val="20"/>
          <w:szCs w:val="20"/>
          <w:color w:val="auto"/>
        </w:rPr>
        <w:t>.</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has the discretion to arrange for the sale of the Shares issued upon settlement of the RSUs, either immediately upon settlement or at any time thereafter. In any event, if the Participant ’s service is terminated, the Participant will be required to sell all Shares acquired upon settlement of the RSUs within such time period as required by the Company or the SBV. Any Shares remaining in the brokerage account at the end of this period shall be sold by the broker (on the Participant ’s behalf and the Participant hereby authorize such sale). The Participant agrees to sign any additional agreements, forms and/or consents that reasonably may be requested by the Company (or the Company’s designated broker) to effectuate the sale of Shares (including, without limitation, as to the transfer of the sale proceeds and other exchange control matters noted below) and shall otherwise cooperate with the Company with respect to such matters. The Participant acknowledges that neither the Company nor the designated broker is under any obligation to arrange for the sale of Shares at any particular price and that broker’s fees and similar expenses may be incurred in any such sale. In any event, when the Shares are sold, the sale proceeds, less any withholding for Tax Obligations, any broker’s fees or commissions, and any similar expenses of the sale will be remitted to him or her in accordance with applicable exchange control laws and regulations.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Exchange Control Restrictions</w:t>
      </w:r>
      <w:r>
        <w:rPr>
          <w:rFonts w:ascii="Arial" w:cs="Arial" w:eastAsia="Arial" w:hAnsi="Arial"/>
          <w:sz w:val="20"/>
          <w:szCs w:val="20"/>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771" w:right="339" w:bottom="1440" w:gutter="0" w:footer="0" w:header="0"/>
        </w:sectPr>
      </w:pPr>
    </w:p>
    <w:bookmarkStart w:id="122" w:name="page123"/>
    <w:bookmarkEnd w:id="122"/>
    <w:p>
      <w:pPr>
        <w:jc w:val="both"/>
        <w:spacing w:after="0" w:line="259" w:lineRule="auto"/>
        <w:rPr>
          <w:sz w:val="20"/>
          <w:szCs w:val="20"/>
          <w:color w:val="auto"/>
        </w:rPr>
      </w:pPr>
      <w:r>
        <w:rPr>
          <w:rFonts w:ascii="Arial" w:cs="Arial" w:eastAsia="Arial" w:hAnsi="Arial"/>
          <w:sz w:val="19"/>
          <w:szCs w:val="19"/>
          <w:color w:val="auto"/>
        </w:rPr>
        <w:t>The Participant understands and agree that, pursuant to local exchange control requirements, the Participant may be required to repatriate to Vietnam the proceeds from the sale of the Shares acquired under the Plan and any cash dividends paid on the Shares. The Participant further understands that such repatriation of proceeds may need to be effected through a special bank account established by the Company or any of its Affiliates retaining his or her service, and the Participant hereby consent and agree that any sale proceeds and cash dividends may be transferred to such special account by the Company or any of its Affiliates on his or her behalf prior to being delivered to him or her and that no interest shall be paid with respect to funds held in such account.</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Participant further agrees to comply with any other requirements that may be imposed by the Company in the future in order to facilitate compliance with exchange control requirements in Vietnam. The Participant acknowledges that the Company and its Affiliates retaining his or her service are under no obligation to secure any particular exchange conversion rate and that the Company and its Affiliates retaining his or her service may face delays in converting the proceeds to local currency due to exchange control restrictions. The Participant agrees to bear any currency fluctuation risk between the time the Shares are sold and the time the net proceeds are converted into local currency and distributed to him or her. The Participant further agrees to comply with any other requirements that may be imposed by the Company or any of its Affiliates retaining his or her service in the future in order to facilitate compliance with exchange control requirements in Vietnam.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77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Vikram Verma, certify that:</w:t>
      </w:r>
    </w:p>
    <w:p>
      <w:pPr>
        <w:spacing w:after="0" w:line="117" w:lineRule="exact"/>
        <w:rPr>
          <w:sz w:val="20"/>
          <w:szCs w:val="20"/>
          <w:color w:val="auto"/>
        </w:rPr>
      </w:pPr>
    </w:p>
    <w:p>
      <w:pPr>
        <w:ind w:left="360" w:hanging="190"/>
        <w:spacing w:after="0"/>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900" w:hanging="328"/>
        <w:spacing w:after="0" w:line="342" w:lineRule="auto"/>
        <w:tabs>
          <w:tab w:leader="none" w:pos="65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8345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Vikram Verma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Samuel Wilson, certify that:</w:t>
      </w:r>
    </w:p>
    <w:p>
      <w:pPr>
        <w:spacing w:after="0" w:line="117" w:lineRule="exact"/>
        <w:rPr>
          <w:sz w:val="20"/>
          <w:szCs w:val="20"/>
          <w:color w:val="auto"/>
        </w:rPr>
      </w:pPr>
    </w:p>
    <w:p>
      <w:pPr>
        <w:ind w:left="360" w:hanging="190"/>
        <w:spacing w:after="0"/>
        <w:tabs>
          <w:tab w:leader="none" w:pos="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00" w:right="40" w:hanging="168"/>
        <w:spacing w:after="0" w:line="263" w:lineRule="auto"/>
        <w:tabs>
          <w:tab w:leader="none" w:pos="49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00" w:right="20" w:hanging="168"/>
        <w:spacing w:after="0" w:line="263" w:lineRule="auto"/>
        <w:tabs>
          <w:tab w:leader="none" w:pos="5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00" w:right="100" w:hanging="168"/>
        <w:spacing w:after="0" w:line="308" w:lineRule="auto"/>
        <w:tabs>
          <w:tab w:leader="none" w:pos="49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500" w:right="140" w:hanging="168"/>
        <w:spacing w:after="0" w:line="263" w:lineRule="auto"/>
        <w:tabs>
          <w:tab w:leader="none" w:pos="5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59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Accounting and Duly Authorized Officer)</w:t>
      </w:r>
    </w:p>
    <w:p>
      <w:pPr>
        <w:sectPr>
          <w:pgSz w:w="11900" w:h="16838" w:orient="portrait"/>
          <w:cols w:equalWidth="0" w:num="1">
            <w:col w:w="11240"/>
          </w:cols>
          <w:pgMar w:left="320" w:top="113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2020,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45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Vikram Verma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p>
      <w:pPr>
        <w:spacing w:after="0" w:line="36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89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2020,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20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Accounting and Duly Authorized Officer)</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p>
      <w:pPr>
        <w:spacing w:after="0" w:line="37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1"/>
      <w:numFmt w:val="decimal"/>
      <w:start w:val="101"/>
    </w:lvl>
  </w:abstractNum>
  <w:abstractNum w:abstractNumId="6">
    <w:nsid w:val="57FC4FBB"/>
    <w:multiLevelType w:val="hybridMultilevel"/>
    <w:lvl w:ilvl="0">
      <w:lvlJc w:val="left"/>
      <w:lvlText w:val="*"/>
      <w:numFmt w:val="bullet"/>
      <w:start w:val="1"/>
    </w:lvl>
    <w:lvl w:ilvl="1">
      <w:lvlJc w:val="left"/>
      <w:lvlText w:val="%2"/>
      <w:numFmt w:val="decimal"/>
      <w:start w:val="104"/>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1)"/>
      <w:numFmt w:val="upperLetter"/>
      <w:start w:val="3"/>
    </w:lvl>
    <w:lvl w:ilvl="1">
      <w:lvlJc w:val="left"/>
      <w:lvlText w:val="(%2)"/>
      <w:numFmt w:val="lowerLetter"/>
      <w:start w:val="1"/>
    </w:lvl>
  </w:abstractNum>
  <w:abstractNum w:abstractNumId="9">
    <w:nsid w:val="60EF0119"/>
    <w:multiLevelType w:val="hybridMultilevel"/>
    <w:lvl w:ilvl="0">
      <w:lvlJc w:val="left"/>
      <w:lvlText w:val="(%1)"/>
      <w:numFmt w:val="lowerLetter"/>
      <w:start w:val="1"/>
    </w:lvl>
  </w:abstractNum>
  <w:abstractNum w:abstractNumId="10">
    <w:nsid w:val="26F324BA"/>
    <w:multiLevelType w:val="hybridMultilevel"/>
    <w:lvl w:ilvl="0">
      <w:lvlJc w:val="left"/>
      <w:lvlText w:val="(%1)"/>
      <w:numFmt w:val="lowerLetter"/>
      <w:start w:val="1"/>
    </w:lvl>
  </w:abstractNum>
  <w:abstractNum w:abstractNumId="11">
    <w:nsid w:val="7F01579B"/>
    <w:multiLevelType w:val="hybridMultilevel"/>
    <w:lvl w:ilvl="0">
      <w:lvlJc w:val="left"/>
      <w:lvlText w:val="(%1)"/>
      <w:numFmt w:val="lowerLetter"/>
      <w:start w:val="2"/>
    </w:lvl>
  </w:abstractNum>
  <w:abstractNum w:abstractNumId="12">
    <w:nsid w:val="49DA307D"/>
    <w:multiLevelType w:val="hybridMultilevel"/>
    <w:lvl w:ilvl="0">
      <w:lvlJc w:val="left"/>
      <w:lvlText w:val="(%1)"/>
      <w:numFmt w:val="lowerRoman"/>
      <w:start w:val="1"/>
    </w:lvl>
  </w:abstractNum>
  <w:abstractNum w:abstractNumId="13">
    <w:nsid w:val="7055A5F5"/>
    <w:multiLevelType w:val="hybridMultilevel"/>
    <w:lvl w:ilvl="0">
      <w:lvlJc w:val="left"/>
      <w:lvlText w:val="(%1)"/>
      <w:numFmt w:val="lowerLetter"/>
      <w:start w:val="6"/>
    </w:lvl>
  </w:abstractNum>
  <w:abstractNum w:abstractNumId="14">
    <w:nsid w:val="5FB8370B"/>
    <w:multiLevelType w:val="hybridMultilevel"/>
    <w:lvl w:ilvl="0">
      <w:lvlJc w:val="left"/>
      <w:lvlText w:val="(%1)"/>
      <w:numFmt w:val="lowerLetter"/>
      <w:start w:val="1"/>
    </w:lvl>
  </w:abstractNum>
  <w:abstractNum w:abstractNumId="15">
    <w:nsid w:val="50801EE1"/>
    <w:multiLevelType w:val="hybridMultilevel"/>
    <w:lvl w:ilvl="0">
      <w:lvlJc w:val="left"/>
      <w:lvlText w:val="(%1)"/>
      <w:numFmt w:val="lowerLetter"/>
      <w:start w:val="1"/>
    </w:lvl>
  </w:abstractNum>
  <w:abstractNum w:abstractNumId="16">
    <w:nsid w:val="488AC1A"/>
    <w:multiLevelType w:val="hybridMultilevel"/>
    <w:lvl w:ilvl="0">
      <w:lvlJc w:val="left"/>
      <w:lvlText w:val="(%1)"/>
      <w:numFmt w:val="lowerLetter"/>
      <w:start w:val="3"/>
    </w:lvl>
  </w:abstractNum>
  <w:abstractNum w:abstractNumId="17">
    <w:nsid w:val="5FB8011C"/>
    <w:multiLevelType w:val="hybridMultilevel"/>
    <w:lvl w:ilvl="0">
      <w:lvlJc w:val="left"/>
      <w:lvlText w:val="(%1)"/>
      <w:numFmt w:val="lowerLetter"/>
      <w:start w:val="1"/>
    </w:lvl>
  </w:abstractNum>
  <w:abstractNum w:abstractNumId="18">
    <w:nsid w:val="6AA78F7F"/>
    <w:multiLevelType w:val="hybridMultilevel"/>
    <w:lvl w:ilvl="0">
      <w:lvlJc w:val="left"/>
      <w:lvlText w:val="(%1)"/>
      <w:numFmt w:val="lowerLetter"/>
      <w:start w:val="1"/>
    </w:lvl>
  </w:abstractNum>
  <w:abstractNum w:abstractNumId="19">
    <w:nsid w:val="7672BD23"/>
    <w:multiLevelType w:val="hybridMultilevel"/>
    <w:lvl w:ilvl="0">
      <w:lvlJc w:val="left"/>
      <w:lvlText w:val="(%1)"/>
      <w:numFmt w:val="lowerLetter"/>
      <w:start w:val="1"/>
    </w:lvl>
  </w:abstractNum>
  <w:abstractNum w:abstractNumId="20">
    <w:nsid w:val="6FC75AF8"/>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1">
    <w:nsid w:val="6A5F7029"/>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22">
    <w:nsid w:val="7D5E18F8"/>
    <w:multiLevelType w:val="hybridMultilevel"/>
    <w:lvl w:ilvl="0">
      <w:lvlJc w:val="left"/>
      <w:lvlText w:val="(%1)"/>
      <w:numFmt w:val="lowerRoman"/>
      <w:start w:val="13"/>
    </w:lvl>
    <w:lvl w:ilvl="1">
      <w:lvlJc w:val="left"/>
      <w:lvlText w:val="%2"/>
      <w:numFmt w:val="lowerLetter"/>
      <w:start w:val="1"/>
    </w:lvl>
    <w:lvl w:ilvl="2">
      <w:lvlJc w:val="left"/>
      <w:lvlText w:val="%3"/>
      <w:numFmt w:val="lowerRoman"/>
      <w:start w:val="1"/>
    </w:lvl>
  </w:abstractNum>
  <w:abstractNum w:abstractNumId="23">
    <w:nsid w:val="5F3534A4"/>
    <w:multiLevelType w:val="hybridMultilevel"/>
    <w:lvl w:ilvl="0">
      <w:lvlJc w:val="left"/>
      <w:lvlText w:val="(%1)"/>
      <w:numFmt w:val="lowerRoman"/>
      <w:start w:val="21"/>
    </w:lvl>
    <w:lvl w:ilvl="1">
      <w:lvlJc w:val="left"/>
      <w:lvlText w:val="%2"/>
      <w:numFmt w:val="lowerLetter"/>
      <w:start w:val="1"/>
    </w:lvl>
    <w:lvl w:ilvl="2">
      <w:lvlJc w:val="left"/>
      <w:lvlText w:val="(%3)"/>
      <w:numFmt w:val="lowerRoman"/>
      <w:start w:val="2"/>
    </w:lvl>
  </w:abstractNum>
  <w:abstractNum w:abstractNumId="24">
    <w:nsid w:val="73A1821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5">
    <w:nsid w:val="7DE67713"/>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26">
    <w:nsid w:val="555C55B5"/>
    <w:multiLevelType w:val="hybridMultilevel"/>
    <w:lvl w:ilvl="0">
      <w:lvlJc w:val="left"/>
      <w:lvlText w:val="(%1)"/>
      <w:numFmt w:val="lowerRoman"/>
      <w:start w:val="4"/>
    </w:lvl>
  </w:abstractNum>
  <w:abstractNum w:abstractNumId="27">
    <w:nsid w:val="3FA62ACA"/>
    <w:multiLevelType w:val="hybridMultilevel"/>
    <w:lvl w:ilvl="0">
      <w:lvlJc w:val="left"/>
      <w:lvlText w:val="(%1)"/>
      <w:numFmt w:val="lowerLetter"/>
      <w:start w:val="1"/>
    </w:lvl>
    <w:lvl w:ilvl="1">
      <w:lvlJc w:val="left"/>
      <w:lvlText w:val="(%2)"/>
      <w:numFmt w:val="decimal"/>
      <w:start w:val="1"/>
    </w:lvl>
  </w:abstractNum>
  <w:abstractNum w:abstractNumId="28">
    <w:nsid w:val="14FCE74E"/>
    <w:multiLevelType w:val="hybridMultilevel"/>
    <w:lvl w:ilvl="0">
      <w:lvlJc w:val="left"/>
      <w:lvlText w:val="%1"/>
      <w:numFmt w:val="decimal"/>
      <w:start w:val="1"/>
    </w:lvl>
    <w:lvl w:ilvl="1">
      <w:lvlJc w:val="left"/>
      <w:lvlText w:val="(%2)"/>
      <w:numFmt w:val="upperLetter"/>
      <w:start w:val="1"/>
    </w:lvl>
  </w:abstractNum>
  <w:abstractNum w:abstractNumId="29">
    <w:nsid w:val="6A3DD3E8"/>
    <w:multiLevelType w:val="hybridMultilevel"/>
    <w:lvl w:ilvl="0">
      <w:lvlJc w:val="left"/>
      <w:lvlText w:val="(%1)"/>
      <w:numFmt w:val="decimal"/>
      <w:start w:val="3"/>
    </w:lvl>
    <w:lvl w:ilvl="1">
      <w:lvlJc w:val="left"/>
      <w:lvlText w:val="(%2)"/>
      <w:numFmt w:val="upperLetter"/>
      <w:start w:val="1"/>
    </w:lvl>
  </w:abstractNum>
  <w:abstractNum w:abstractNumId="30">
    <w:nsid w:val="71C91298"/>
    <w:multiLevelType w:val="hybridMultilevel"/>
    <w:lvl w:ilvl="0">
      <w:lvlJc w:val="left"/>
      <w:lvlText w:val="(%1)"/>
      <w:numFmt w:val="lowerRoman"/>
      <w:start w:val="3"/>
    </w:lvl>
    <w:lvl w:ilvl="1">
      <w:lvlJc w:val="left"/>
      <w:lvlText w:val="(%2)"/>
      <w:numFmt w:val="decimal"/>
      <w:start w:val="5"/>
    </w:lvl>
  </w:abstractNum>
  <w:abstractNum w:abstractNumId="31">
    <w:nsid w:val="9DAF632"/>
    <w:multiLevelType w:val="hybridMultilevel"/>
    <w:lvl w:ilvl="0">
      <w:lvlJc w:val="left"/>
      <w:lvlText w:val="(%1)"/>
      <w:numFmt w:val="lowerLetter"/>
      <w:start w:val="2"/>
    </w:lvl>
  </w:abstractNum>
  <w:abstractNum w:abstractNumId="32">
    <w:nsid w:val="53299938"/>
    <w:multiLevelType w:val="hybridMultilevel"/>
    <w:lvl w:ilvl="0">
      <w:lvlJc w:val="left"/>
      <w:lvlText w:val="(%1)"/>
      <w:numFmt w:val="lowerLetter"/>
      <w:start w:val="3"/>
    </w:lvl>
  </w:abstractNum>
  <w:abstractNum w:abstractNumId="33">
    <w:nsid w:val="1FBFE8E0"/>
    <w:multiLevelType w:val="hybridMultilevel"/>
    <w:lvl w:ilvl="0">
      <w:lvlJc w:val="left"/>
      <w:lvlText w:val="(%1)"/>
      <w:numFmt w:val="lowerLetter"/>
      <w:start w:val="1"/>
    </w:lvl>
  </w:abstractNum>
  <w:abstractNum w:abstractNumId="34">
    <w:nsid w:val="5092CA79"/>
    <w:multiLevelType w:val="hybridMultilevel"/>
    <w:lvl w:ilvl="0">
      <w:lvlJc w:val="left"/>
      <w:lvlText w:val="%1."/>
      <w:numFmt w:val="decimal"/>
      <w:start w:val="1"/>
    </w:lvl>
  </w:abstractNum>
  <w:abstractNum w:abstractNumId="35">
    <w:nsid w:val="1D545C4D"/>
    <w:multiLevelType w:val="hybridMultilevel"/>
    <w:lvl w:ilvl="0">
      <w:lvlJc w:val="left"/>
      <w:lvlText w:val="%1."/>
      <w:numFmt w:val="decimal"/>
      <w:start w:val="3"/>
    </w:lvl>
    <w:lvl w:ilvl="1">
      <w:lvlJc w:val="left"/>
      <w:lvlText w:val="%2."/>
      <w:numFmt w:val="lowerLetter"/>
      <w:start w:val="1"/>
    </w:lvl>
  </w:abstractNum>
  <w:abstractNum w:abstractNumId="36">
    <w:nsid w:val="59ADEA3D"/>
    <w:multiLevelType w:val="hybridMultilevel"/>
    <w:lvl w:ilvl="0">
      <w:lvlJc w:val="left"/>
      <w:lvlText w:val="%1."/>
      <w:numFmt w:val="lowerLetter"/>
      <w:start w:val="2"/>
    </w:lvl>
  </w:abstractNum>
  <w:abstractNum w:abstractNumId="37">
    <w:nsid w:val="288F1A34"/>
    <w:multiLevelType w:val="hybridMultilevel"/>
    <w:lvl w:ilvl="0">
      <w:lvlJc w:val="left"/>
      <w:lvlText w:val="%1."/>
      <w:numFmt w:val="upperLetter"/>
      <w:start w:val="1"/>
    </w:lvl>
  </w:abstractNum>
  <w:abstractNum w:abstractNumId="38">
    <w:nsid w:val="2A155DBC"/>
    <w:multiLevelType w:val="hybridMultilevel"/>
    <w:lvl w:ilvl="0">
      <w:lvlJc w:val="left"/>
      <w:lvlText w:val="%1."/>
      <w:numFmt w:val="decimal"/>
      <w:start w:val="5"/>
    </w:lvl>
  </w:abstractNum>
  <w:abstractNum w:abstractNumId="39">
    <w:nsid w:val="1D9F6E5F"/>
    <w:multiLevelType w:val="hybridMultilevel"/>
    <w:lvl w:ilvl="0">
      <w:lvlJc w:val="left"/>
      <w:lvlText w:val="%1."/>
      <w:numFmt w:val="lowerLetter"/>
      <w:start w:val="1"/>
    </w:lvl>
  </w:abstractNum>
  <w:abstractNum w:abstractNumId="40">
    <w:nsid w:val="97E1B4E"/>
    <w:multiLevelType w:val="hybridMultilevel"/>
    <w:lvl w:ilvl="0">
      <w:lvlJc w:val="left"/>
      <w:lvlText w:val="%1."/>
      <w:numFmt w:val="decimal"/>
      <w:start w:val="5"/>
    </w:lvl>
    <w:lvl w:ilvl="1">
      <w:lvlJc w:val="left"/>
      <w:lvlText w:val="&quot;"/>
      <w:numFmt w:val="bullet"/>
      <w:start w:val="1"/>
    </w:lvl>
    <w:lvl w:ilvl="2">
      <w:lvlJc w:val="left"/>
      <w:lvlText w:val="%3."/>
      <w:numFmt w:val="lowerLetter"/>
      <w:start w:val="1"/>
    </w:lvl>
  </w:abstractNum>
  <w:abstractNum w:abstractNumId="41">
    <w:nsid w:val="51088277"/>
    <w:multiLevelType w:val="hybridMultilevel"/>
    <w:lvl w:ilvl="0">
      <w:lvlJc w:val="left"/>
      <w:lvlText w:val="%1"/>
      <w:numFmt w:val="lowerRoman"/>
      <w:start w:val="1"/>
    </w:lvl>
    <w:lvl w:ilvl="1">
      <w:lvlJc w:val="left"/>
      <w:lvlText w:val="%2."/>
      <w:numFmt w:val="lowerRoman"/>
      <w:start w:val="1"/>
    </w:lvl>
  </w:abstractNum>
  <w:abstractNum w:abstractNumId="42">
    <w:nsid w:val="1CA0C5FA"/>
    <w:multiLevelType w:val="hybridMultilevel"/>
    <w:lvl w:ilvl="0">
      <w:lvlJc w:val="left"/>
      <w:lvlText w:val="%1."/>
      <w:numFmt w:val="lowerRoman"/>
      <w:start w:val="4"/>
    </w:lvl>
    <w:lvl w:ilvl="1">
      <w:lvlJc w:val="left"/>
      <w:lvlText w:val="%2"/>
      <w:numFmt w:val="lowerRoman"/>
      <w:start w:val="1"/>
    </w:lvl>
  </w:abstractNum>
  <w:abstractNum w:abstractNumId="43">
    <w:nsid w:val="53584BCB"/>
    <w:multiLevelType w:val="hybridMultilevel"/>
    <w:lvl w:ilvl="0">
      <w:lvlJc w:val="left"/>
      <w:lvlText w:val="%1."/>
      <w:numFmt w:val="lowerLetter"/>
      <w:start w:val="1"/>
    </w:lvl>
  </w:abstractNum>
  <w:abstractNum w:abstractNumId="44">
    <w:nsid w:val="415E286C"/>
    <w:multiLevelType w:val="hybridMultilevel"/>
    <w:lvl w:ilvl="0">
      <w:lvlJc w:val="left"/>
      <w:lvlText w:val="%1."/>
      <w:numFmt w:val="lowerLetter"/>
      <w:start w:val="3"/>
    </w:lvl>
  </w:abstractNum>
  <w:abstractNum w:abstractNumId="45">
    <w:nsid w:val="7C58FD05"/>
    <w:multiLevelType w:val="hybridMultilevel"/>
    <w:lvl w:ilvl="0">
      <w:lvlJc w:val="left"/>
      <w:lvlText w:val="%1."/>
      <w:numFmt w:val="lowerLetter"/>
      <w:start w:val="1"/>
    </w:lvl>
  </w:abstractNum>
  <w:abstractNum w:abstractNumId="46">
    <w:nsid w:val="23D86AAC"/>
    <w:multiLevelType w:val="hybridMultilevel"/>
    <w:lvl w:ilvl="0">
      <w:lvlJc w:val="left"/>
      <w:lvlText w:val="%1."/>
      <w:numFmt w:val="lowerLetter"/>
      <w:start w:val="6"/>
    </w:lvl>
  </w:abstractNum>
  <w:abstractNum w:abstractNumId="47">
    <w:nsid w:val="45E6D486"/>
    <w:multiLevelType w:val="hybridMultilevel"/>
    <w:lvl w:ilvl="0">
      <w:lvlJc w:val="left"/>
      <w:lvlText w:val="%1."/>
      <w:numFmt w:val="lowerLetter"/>
      <w:start w:val="8"/>
    </w:lvl>
  </w:abstractNum>
  <w:abstractNum w:abstractNumId="48">
    <w:nsid w:val="5C10FE21"/>
    <w:multiLevelType w:val="hybridMultilevel"/>
    <w:lvl w:ilvl="0">
      <w:lvlJc w:val="left"/>
      <w:lvlText w:val="%1."/>
      <w:numFmt w:val="lowerLetter"/>
      <w:start w:val="1"/>
    </w:lvl>
  </w:abstractNum>
  <w:abstractNum w:abstractNumId="49">
    <w:nsid w:val="E7FFA2B"/>
    <w:multiLevelType w:val="hybridMultilevel"/>
    <w:lvl w:ilvl="0">
      <w:lvlJc w:val="left"/>
      <w:lvlText w:val="%1."/>
      <w:numFmt w:val="lowerLetter"/>
      <w:start w:val="1"/>
    </w:lvl>
  </w:abstractNum>
  <w:abstractNum w:abstractNumId="50">
    <w:nsid w:val="3C5991AA"/>
    <w:multiLevelType w:val="hybridMultilevel"/>
    <w:lvl w:ilvl="0">
      <w:lvlJc w:val="left"/>
      <w:lvlText w:val="%1."/>
      <w:numFmt w:val="lowerLetter"/>
      <w:start w:val="2"/>
    </w:lvl>
  </w:abstractNum>
  <w:abstractNum w:abstractNumId="51">
    <w:nsid w:val="4BD8591A"/>
    <w:multiLevelType w:val="hybridMultilevel"/>
    <w:lvl w:ilvl="0">
      <w:lvlJc w:val="left"/>
      <w:lvlText w:val="%1."/>
      <w:numFmt w:val="decimal"/>
      <w:start w:val="7"/>
    </w:lvl>
  </w:abstractNum>
  <w:abstractNum w:abstractNumId="52">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decimal"/>
      <w:start w:val="1"/>
    </w:lvl>
  </w:abstractNum>
  <w:abstractNum w:abstractNumId="53">
    <w:nsid w:val="39B7AAA2"/>
    <w:multiLevelType w:val="hybridMultilevel"/>
    <w:lvl w:ilvl="0">
      <w:lvlJc w:val="left"/>
      <w:lvlText w:val="%1."/>
      <w:numFmt w:val="decimal"/>
      <w:start w:val="4"/>
    </w:lvl>
  </w:abstractNum>
  <w:abstractNum w:abstractNumId="54">
    <w:nsid w:val="2B0D8DBE"/>
    <w:multiLevelType w:val="hybridMultilevel"/>
    <w:lvl w:ilvl="0">
      <w:lvlJc w:val="left"/>
      <w:lvlText w:val="%1"/>
      <w:numFmt w:val="lowerRoman"/>
      <w:start w:val="1"/>
    </w:lvl>
    <w:lvl w:ilvl="1">
      <w:lvlJc w:val="left"/>
      <w:lvlText w:val="(%2)"/>
      <w:numFmt w:val="lowerRoman"/>
      <w:start w:val="2"/>
    </w:lvl>
  </w:abstractNum>
  <w:abstractNum w:abstractNumId="55">
    <w:nsid w:val="6C80EC70"/>
    <w:multiLevelType w:val="hybridMultilevel"/>
    <w:lvl w:ilvl="0">
      <w:lvlJc w:val="left"/>
      <w:lvlText w:val="%1."/>
      <w:numFmt w:val="lowerRoman"/>
      <w:start w:val="1"/>
    </w:lvl>
    <w:lvl w:ilvl="1">
      <w:lvlJc w:val="left"/>
      <w:lvlText w:val="%2"/>
      <w:numFmt w:val="lowerRoman"/>
      <w:start w:val="1"/>
    </w:lvl>
  </w:abstractNum>
  <w:abstractNum w:abstractNumId="56">
    <w:nsid w:val="379E21B5"/>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57">
    <w:nsid w:val="69E37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8">
    <w:nsid w:val="2C27173B"/>
    <w:multiLevelType w:val="hybridMultilevel"/>
    <w:lvl w:ilvl="0">
      <w:lvlJc w:val="left"/>
      <w:lvlText w:val="(%1)"/>
      <w:numFmt w:val="lowerLetter"/>
      <w:start w:val="2"/>
    </w:lvl>
  </w:abstractNum>
  <w:abstractNum w:abstractNumId="59">
    <w:nsid w:val="4C9B0904"/>
    <w:multiLevelType w:val="hybridMultilevel"/>
    <w:lvl w:ilvl="0">
      <w:lvlJc w:val="left"/>
      <w:lvlText w:val="%1."/>
      <w:numFmt w:val="decimal"/>
      <w:start w:val="9"/>
    </w:lvl>
  </w:abstractNum>
  <w:abstractNum w:abstractNumId="60">
    <w:nsid w:val="6AA7B75C"/>
    <w:multiLevelType w:val="hybridMultilevel"/>
    <w:lvl w:ilvl="0">
      <w:lvlJc w:val="left"/>
      <w:lvlText w:val="%1."/>
      <w:numFmt w:val="decimal"/>
      <w:start w:val="12"/>
    </w:lvl>
  </w:abstractNum>
  <w:abstractNum w:abstractNumId="61">
    <w:nsid w:val="1DF029D3"/>
    <w:multiLevelType w:val="hybridMultilevel"/>
    <w:lvl w:ilvl="0">
      <w:lvlJc w:val="left"/>
      <w:lvlText w:val="%1."/>
      <w:numFmt w:val="decimal"/>
      <w:start w:val="17"/>
    </w:lvl>
  </w:abstractNum>
  <w:abstractNum w:abstractNumId="62">
    <w:nsid w:val="5675FF36"/>
    <w:multiLevelType w:val="hybridMultilevel"/>
    <w:lvl w:ilvl="0">
      <w:lvlJc w:val="left"/>
      <w:lvlText w:val="%1."/>
      <w:numFmt w:val="decimal"/>
      <w:start w:val="1"/>
    </w:lvl>
  </w:abstractNum>
  <w:abstractNum w:abstractNumId="63">
    <w:nsid w:val="3DD15094"/>
    <w:multiLevelType w:val="hybridMultilevel"/>
    <w:lvl w:ilvl="0">
      <w:lvlJc w:val="left"/>
      <w:lvlText w:val="%1."/>
      <w:numFmt w:val="decimal"/>
      <w:start w:val="2"/>
    </w:lvl>
  </w:abstractNum>
  <w:abstractNum w:abstractNumId="64">
    <w:nsid w:val="3DB012B3"/>
    <w:multiLevelType w:val="hybridMultilevel"/>
    <w:lvl w:ilvl="0">
      <w:lvlJc w:val="left"/>
      <w:lvlText w:val="(%1)"/>
      <w:numFmt w:val="lowerRoman"/>
      <w:start w:val="22"/>
    </w:lvl>
  </w:abstractNum>
  <w:abstractNum w:abstractNumId="65">
    <w:nsid w:val="2708C9AF"/>
    <w:multiLevelType w:val="hybridMultilevel"/>
    <w:lvl w:ilvl="0">
      <w:lvlJc w:val="left"/>
      <w:lvlText w:val="%1."/>
      <w:numFmt w:val="decimal"/>
      <w:start w:val="3"/>
    </w:lvl>
  </w:abstractNum>
  <w:abstractNum w:abstractNumId="66">
    <w:nsid w:val="5B25ACE2"/>
    <w:multiLevelType w:val="hybridMultilevel"/>
    <w:lvl w:ilvl="0">
      <w:lvlJc w:val="left"/>
      <w:lvlText w:val="(%1)"/>
      <w:numFmt w:val="lowerLetter"/>
      <w:start w:val="1"/>
    </w:lvl>
  </w:abstractNum>
  <w:abstractNum w:abstractNumId="67">
    <w:nsid w:val="175DFCF0"/>
    <w:multiLevelType w:val="hybridMultilevel"/>
    <w:lvl w:ilvl="0">
      <w:lvlJc w:val="left"/>
      <w:lvlText w:val="%1."/>
      <w:numFmt w:val="decimal"/>
      <w:start w:val="4"/>
    </w:lvl>
  </w:abstractNum>
  <w:abstractNum w:abstractNumId="68">
    <w:nsid w:val="4F97E3E4"/>
    <w:multiLevelType w:val="hybridMultilevel"/>
    <w:lvl w:ilvl="0">
      <w:lvlJc w:val="left"/>
      <w:lvlText w:val="(%1)"/>
      <w:numFmt w:val="lowerLetter"/>
      <w:start w:val="1"/>
    </w:lvl>
  </w:abstractNum>
  <w:abstractNum w:abstractNumId="69">
    <w:nsid w:val="53B0A9E"/>
    <w:multiLevelType w:val="hybridMultilevel"/>
    <w:lvl w:ilvl="0">
      <w:lvlJc w:val="left"/>
      <w:lvlText w:val="%1."/>
      <w:numFmt w:val="decimal"/>
      <w:start w:val="5"/>
    </w:lvl>
  </w:abstractNum>
  <w:abstractNum w:abstractNumId="70">
    <w:nsid w:val="34FD6B4F"/>
    <w:multiLevelType w:val="hybridMultilevel"/>
    <w:lvl w:ilvl="0">
      <w:lvlJc w:val="left"/>
      <w:lvlText w:val="%1"/>
      <w:numFmt w:val="lowerLetter"/>
      <w:start w:val="1"/>
    </w:lvl>
    <w:lvl w:ilvl="1">
      <w:lvlJc w:val="left"/>
      <w:lvlText w:val="(%2)"/>
      <w:numFmt w:val="lowerLetter"/>
      <w:start w:val="1"/>
    </w:lvl>
  </w:abstractNum>
  <w:abstractNum w:abstractNumId="71">
    <w:nsid w:val="5915FF32"/>
    <w:multiLevelType w:val="hybridMultilevel"/>
    <w:lvl w:ilvl="0">
      <w:lvlJc w:val="left"/>
      <w:lvlText w:val="(%1)"/>
      <w:numFmt w:val="lowerLetter"/>
      <w:start w:val="2"/>
    </w:lvl>
    <w:lvl w:ilvl="1">
      <w:lvlJc w:val="left"/>
      <w:lvlText w:val="%2"/>
      <w:numFmt w:val="lowerLetter"/>
      <w:start w:val="1"/>
    </w:lvl>
  </w:abstractNum>
  <w:abstractNum w:abstractNumId="72">
    <w:nsid w:val="56438D15"/>
    <w:multiLevelType w:val="hybridMultilevel"/>
    <w:lvl w:ilvl="0">
      <w:lvlJc w:val="left"/>
      <w:lvlText w:val="(%1)"/>
      <w:numFmt w:val="lowerLetter"/>
      <w:start w:val="2"/>
    </w:lvl>
  </w:abstractNum>
  <w:abstractNum w:abstractNumId="73">
    <w:nsid w:val="519E3149"/>
    <w:multiLevelType w:val="hybridMultilevel"/>
    <w:lvl w:ilvl="0">
      <w:lvlJc w:val="left"/>
      <w:lvlText w:val="%1."/>
      <w:numFmt w:val="decimal"/>
      <w:start w:val="6"/>
    </w:lvl>
    <w:lvl w:ilvl="1">
      <w:lvlJc w:val="left"/>
      <w:lvlText w:val="(%2)"/>
      <w:numFmt w:val="lowerLetter"/>
      <w:start w:val="1"/>
    </w:lvl>
  </w:abstractNum>
  <w:abstractNum w:abstractNumId="74">
    <w:nsid w:val="2C6E4AFD"/>
    <w:multiLevelType w:val="hybridMultilevel"/>
    <w:lvl w:ilvl="0">
      <w:lvlJc w:val="left"/>
      <w:lvlText w:val="(%1)"/>
      <w:numFmt w:val="lowerLetter"/>
      <w:start w:val="3"/>
    </w:lvl>
    <w:lvl w:ilvl="1">
      <w:lvlJc w:val="left"/>
      <w:lvlText w:val="(%2)"/>
      <w:numFmt w:val="lowerRoman"/>
      <w:start w:val="1"/>
    </w:lvl>
  </w:abstractNum>
  <w:abstractNum w:abstractNumId="75">
    <w:nsid w:val="17A1B582"/>
    <w:multiLevelType w:val="hybridMultilevel"/>
    <w:lvl w:ilvl="0">
      <w:lvlJc w:val="left"/>
      <w:lvlText w:val="(%1)"/>
      <w:numFmt w:val="lowerLetter"/>
      <w:start w:val="1"/>
    </w:lvl>
  </w:abstractNum>
  <w:abstractNum w:abstractNumId="76">
    <w:nsid w:val="4DF72E4E"/>
    <w:multiLevelType w:val="hybridMultilevel"/>
    <w:lvl w:ilvl="0">
      <w:lvlJc w:val="left"/>
      <w:lvlText w:val="(%1)"/>
      <w:numFmt w:val="lowerLetter"/>
      <w:start w:val="1"/>
    </w:lvl>
  </w:abstractNum>
  <w:abstractNum w:abstractNumId="77">
    <w:nsid w:val="5046B5A9"/>
    <w:multiLevelType w:val="hybridMultilevel"/>
    <w:lvl w:ilvl="0">
      <w:lvlJc w:val="left"/>
      <w:lvlText w:val="(%1)"/>
      <w:numFmt w:val="lowerLetter"/>
      <w:start w:val="3"/>
    </w:lvl>
  </w:abstractNum>
  <w:abstractNum w:abstractNumId="78">
    <w:nsid w:val="5D888A08"/>
    <w:multiLevelType w:val="hybridMultilevel"/>
    <w:lvl w:ilvl="0">
      <w:lvlJc w:val="left"/>
      <w:lvlText w:val="(%1)"/>
      <w:numFmt w:val="lowerLetter"/>
      <w:start w:val="5"/>
    </w:lvl>
  </w:abstractNum>
  <w:abstractNum w:abstractNumId="79">
    <w:nsid w:val="2A082C70"/>
    <w:multiLevelType w:val="hybridMultilevel"/>
    <w:lvl w:ilvl="0">
      <w:lvlJc w:val="left"/>
      <w:lvlText w:val="(%1)"/>
      <w:numFmt w:val="lowerLetter"/>
      <w:start w:val="1"/>
    </w:lvl>
  </w:abstractNum>
  <w:abstractNum w:abstractNumId="80">
    <w:nsid w:val="5EC6AFD4"/>
    <w:multiLevelType w:val="hybridMultilevel"/>
    <w:lvl w:ilvl="0">
      <w:lvlJc w:val="left"/>
      <w:lvlText w:val="(%1)"/>
      <w:numFmt w:val="lowerLetter"/>
      <w:start w:val="1"/>
    </w:lvl>
  </w:abstractNum>
  <w:abstractNum w:abstractNumId="81">
    <w:nsid w:val="19E21BB2"/>
    <w:multiLevelType w:val="hybridMultilevel"/>
    <w:lvl w:ilvl="0">
      <w:lvlJc w:val="left"/>
      <w:lvlText w:val="(%1)"/>
      <w:numFmt w:val="lowerLetter"/>
      <w:start w:val="2"/>
    </w:lvl>
  </w:abstractNum>
  <w:abstractNum w:abstractNumId="82">
    <w:nsid w:val="75E0858A"/>
    <w:multiLevelType w:val="hybridMultilevel"/>
    <w:lvl w:ilvl="0">
      <w:lvlJc w:val="left"/>
      <w:lvlText w:val="%1."/>
      <w:numFmt w:val="decimal"/>
      <w:start w:val="7"/>
    </w:lvl>
  </w:abstractNum>
  <w:abstractNum w:abstractNumId="83">
    <w:nsid w:val="57A61A29"/>
    <w:multiLevelType w:val="hybridMultilevel"/>
    <w:lvl w:ilvl="0">
      <w:lvlJc w:val="left"/>
      <w:lvlText w:val="(%1)"/>
      <w:numFmt w:val="lowerLetter"/>
      <w:start w:val="1"/>
    </w:lvl>
    <w:lvl w:ilvl="1">
      <w:lvlJc w:val="left"/>
      <w:lvlText w:val="(%2)"/>
      <w:numFmt w:val="lowerLetter"/>
      <w:start w:val="9"/>
    </w:lvl>
  </w:abstractNum>
  <w:abstractNum w:abstractNumId="84">
    <w:nsid w:val="5399C654"/>
    <w:multiLevelType w:val="hybridMultilevel"/>
    <w:lvl w:ilvl="0">
      <w:lvlJc w:val="left"/>
      <w:lvlText w:val="(%1)"/>
      <w:numFmt w:val="lowerRoman"/>
      <w:start w:val="2"/>
    </w:lvl>
    <w:lvl w:ilvl="1">
      <w:lvlJc w:val="left"/>
      <w:lvlText w:val="(%2)"/>
      <w:numFmt w:val="upperLetter"/>
      <w:start w:val="1"/>
    </w:lvl>
  </w:abstractNum>
  <w:abstractNum w:abstractNumId="85">
    <w:nsid w:val="20EE1348"/>
    <w:multiLevelType w:val="hybridMultilevel"/>
    <w:lvl w:ilvl="0">
      <w:lvlJc w:val="left"/>
      <w:lvlText w:val="%1"/>
      <w:numFmt w:val="lowerRoman"/>
      <w:start w:val="1"/>
    </w:lvl>
    <w:lvl w:ilvl="1">
      <w:lvlJc w:val="left"/>
      <w:lvlText w:val="(%2)"/>
      <w:numFmt w:val="lowerRoman"/>
      <w:start w:val="6"/>
    </w:lvl>
  </w:abstractNum>
  <w:abstractNum w:abstractNumId="86">
    <w:nsid w:val="4427069A"/>
    <w:multiLevelType w:val="hybridMultilevel"/>
    <w:lvl w:ilvl="0">
      <w:lvlJc w:val="left"/>
      <w:lvlText w:val="(%1)"/>
      <w:numFmt w:val="lowerRoman"/>
      <w:start w:val="7"/>
    </w:lvl>
    <w:lvl w:ilvl="1">
      <w:lvlJc w:val="left"/>
      <w:lvlText w:val="%2"/>
      <w:numFmt w:val="lowerRoman"/>
      <w:start w:val="1"/>
    </w:lvl>
  </w:abstractNum>
  <w:abstractNum w:abstractNumId="87">
    <w:nsid w:val="B37E80A"/>
    <w:multiLevelType w:val="hybridMultilevel"/>
    <w:lvl w:ilvl="0">
      <w:lvlJc w:val="left"/>
      <w:lvlText w:val="(%1)"/>
      <w:numFmt w:val="lowerLetter"/>
      <w:start w:val="2"/>
    </w:lvl>
  </w:abstractNum>
  <w:abstractNum w:abstractNumId="88">
    <w:nsid w:val="2157F6BC"/>
    <w:multiLevelType w:val="hybridMultilevel"/>
    <w:lvl w:ilvl="0">
      <w:lvlJc w:val="left"/>
      <w:lvlText w:val="%1."/>
      <w:numFmt w:val="decimal"/>
      <w:start w:val="8"/>
    </w:lvl>
  </w:abstractNum>
  <w:abstractNum w:abstractNumId="89">
    <w:nsid w:val="704E1DD5"/>
    <w:multiLevelType w:val="hybridMultilevel"/>
    <w:lvl w:ilvl="0">
      <w:lvlJc w:val="left"/>
      <w:lvlText w:val="(%1)"/>
      <w:numFmt w:val="lowerLetter"/>
      <w:start w:val="1"/>
    </w:lvl>
  </w:abstractNum>
  <w:abstractNum w:abstractNumId="90">
    <w:nsid w:val="57D2F10E"/>
    <w:multiLevelType w:val="hybridMultilevel"/>
    <w:lvl w:ilvl="0">
      <w:lvlJc w:val="left"/>
      <w:lvlText w:val="%1."/>
      <w:numFmt w:val="decimal"/>
      <w:start w:val="9"/>
    </w:lvl>
  </w:abstractNum>
  <w:abstractNum w:abstractNumId="91">
    <w:nsid w:val="BFFAE18"/>
    <w:multiLevelType w:val="hybridMultilevel"/>
    <w:lvl w:ilvl="0">
      <w:lvlJc w:val="left"/>
      <w:lvlText w:val="%1."/>
      <w:numFmt w:val="decimal"/>
      <w:start w:val="10"/>
    </w:lvl>
  </w:abstractNum>
  <w:abstractNum w:abstractNumId="92">
    <w:nsid w:val="E3E47A8"/>
    <w:multiLevelType w:val="hybridMultilevel"/>
    <w:lvl w:ilvl="0">
      <w:lvlJc w:val="left"/>
      <w:lvlText w:val="%1."/>
      <w:numFmt w:val="decimal"/>
      <w:start w:val="11"/>
    </w:lvl>
  </w:abstractNum>
  <w:abstractNum w:abstractNumId="93">
    <w:nsid w:val="2E48F044"/>
    <w:multiLevelType w:val="hybridMultilevel"/>
    <w:lvl w:ilvl="0">
      <w:lvlJc w:val="left"/>
      <w:lvlText w:val="%1."/>
      <w:numFmt w:val="decimal"/>
      <w:start w:val="12"/>
    </w:lvl>
  </w:abstractNum>
  <w:abstractNum w:abstractNumId="94">
    <w:nsid w:val="49D0FEAC"/>
    <w:multiLevelType w:val="hybridMultilevel"/>
    <w:lvl w:ilvl="0">
      <w:lvlJc w:val="left"/>
      <w:lvlText w:val="%1."/>
      <w:numFmt w:val="decimal"/>
      <w:start w:val="13"/>
    </w:lvl>
  </w:abstractNum>
  <w:abstractNum w:abstractNumId="95">
    <w:nsid w:val="4BEE5A5B"/>
    <w:multiLevelType w:val="hybridMultilevel"/>
    <w:lvl w:ilvl="0">
      <w:lvlJc w:val="left"/>
      <w:lvlText w:val="%1."/>
      <w:numFmt w:val="decimal"/>
      <w:start w:val="14"/>
    </w:lvl>
  </w:abstractNum>
  <w:abstractNum w:abstractNumId="96">
    <w:nsid w:val="5551B9F3"/>
    <w:multiLevelType w:val="hybridMultilevel"/>
    <w:lvl w:ilvl="0">
      <w:lvlJc w:val="left"/>
      <w:lvlText w:val="%1."/>
      <w:numFmt w:val="decimal"/>
      <w:start w:val="15"/>
    </w:lvl>
  </w:abstractNum>
  <w:abstractNum w:abstractNumId="97">
    <w:nsid w:val="24F6AB8E"/>
    <w:multiLevelType w:val="hybridMultilevel"/>
    <w:lvl w:ilvl="0">
      <w:lvlJc w:val="left"/>
      <w:lvlText w:val="%1."/>
      <w:numFmt w:val="decimal"/>
      <w:start w:val="16"/>
    </w:lvl>
  </w:abstractNum>
  <w:abstractNum w:abstractNumId="98">
    <w:nsid w:val="634C574C"/>
    <w:multiLevelType w:val="hybridMultilevel"/>
    <w:lvl w:ilvl="0">
      <w:lvlJc w:val="left"/>
      <w:lvlText w:val="%1."/>
      <w:numFmt w:val="decimal"/>
      <w:start w:val="17"/>
    </w:lvl>
  </w:abstractNum>
  <w:abstractNum w:abstractNumId="99">
    <w:nsid w:val="24E99DD7"/>
    <w:multiLevelType w:val="hybridMultilevel"/>
    <w:lvl w:ilvl="0">
      <w:lvlJc w:val="left"/>
      <w:lvlText w:val="%1."/>
      <w:numFmt w:val="decimal"/>
      <w:start w:val="1"/>
    </w:lvl>
  </w:abstractNum>
  <w:abstractNum w:abstractNumId="100">
    <w:nsid w:val="2A31B62D"/>
    <w:multiLevelType w:val="hybridMultilevel"/>
    <w:lvl w:ilvl="0">
      <w:lvlJc w:val="left"/>
      <w:lvlText w:val="%1."/>
      <w:numFmt w:val="decimal"/>
      <w:start w:val="1"/>
    </w:lvl>
    <w:lvl w:ilvl="1">
      <w:lvlJc w:val="left"/>
      <w:lvlText w:val="%2"/>
      <w:numFmt w:val="lowerLetter"/>
      <w:start w:val="1"/>
    </w:lvl>
  </w:abstractNum>
  <w:abstractNum w:abstractNumId="101">
    <w:nsid w:val="1849C29B"/>
    <w:multiLevelType w:val="hybridMultilevel"/>
    <w:lvl w:ilvl="0">
      <w:lvlJc w:val="left"/>
      <w:lvlText w:val="%1."/>
      <w:numFmt w:val="lowerLetter"/>
      <w:start w:val="1"/>
    </w:lvl>
  </w:abstractNum>
  <w:abstractNum w:abstractNumId="102">
    <w:nsid w:val="7DFF9D09"/>
    <w:multiLevelType w:val="hybridMultilevel"/>
    <w:lvl w:ilvl="0">
      <w:lvlJc w:val="left"/>
      <w:lvlText w:val="%1."/>
      <w:numFmt w:val="lowerLetter"/>
      <w:start w:val="1"/>
    </w:lvl>
  </w:abstractNum>
  <w:abstractNum w:abstractNumId="103">
    <w:nsid w:val="754342"/>
    <w:multiLevelType w:val="hybridMultilevel"/>
    <w:lvl w:ilvl="0">
      <w:lvlJc w:val="left"/>
      <w:lvlText w:val="%1."/>
      <w:numFmt w:val="lowerLetter"/>
      <w:start w:val="1"/>
    </w:lvl>
  </w:abstractNum>
  <w:abstractNum w:abstractNumId="104">
    <w:nsid w:val="69E7F3E5"/>
    <w:multiLevelType w:val="hybridMultilevel"/>
    <w:lvl w:ilvl="0">
      <w:lvlJc w:val="left"/>
      <w:lvlText w:val="%1."/>
      <w:numFmt w:val="lowerLetter"/>
      <w:start w:val="1"/>
    </w:lvl>
  </w:abstractNum>
  <w:abstractNum w:abstractNumId="105">
    <w:nsid w:val="2A6DE806"/>
    <w:multiLevelType w:val="hybridMultilevel"/>
    <w:lvl w:ilvl="0">
      <w:lvlJc w:val="left"/>
      <w:lvlText w:val="%1."/>
      <w:numFmt w:val="lowerLetter"/>
      <w:start w:val="1"/>
    </w:lvl>
  </w:abstractNum>
  <w:abstractNum w:abstractNumId="106">
    <w:nsid w:val="1816F8C4"/>
    <w:multiLevelType w:val="hybridMultilevel"/>
    <w:lvl w:ilvl="0">
      <w:lvlJc w:val="left"/>
      <w:lvlText w:val="%1."/>
      <w:numFmt w:val="lowerLetter"/>
      <w:start w:val="1"/>
    </w:lvl>
  </w:abstractNum>
  <w:abstractNum w:abstractNumId="107">
    <w:nsid w:val="37DF2233"/>
    <w:multiLevelType w:val="hybridMultilevel"/>
    <w:lvl w:ilvl="0">
      <w:lvlJc w:val="left"/>
      <w:lvlText w:val="%1."/>
      <w:numFmt w:val="lowerLetter"/>
      <w:start w:val="1"/>
    </w:lvl>
  </w:abstractNum>
  <w:abstractNum w:abstractNumId="108">
    <w:nsid w:val="7AB49DAF"/>
    <w:multiLevelType w:val="hybridMultilevel"/>
    <w:lvl w:ilvl="0">
      <w:lvlJc w:val="left"/>
      <w:lvlText w:val="%1."/>
      <w:numFmt w:val="lowerLetter"/>
      <w:start w:val="1"/>
    </w:lvl>
  </w:abstractNum>
  <w:abstractNum w:abstractNumId="109">
    <w:nsid w:val="759F82CD"/>
    <w:multiLevelType w:val="hybridMultilevel"/>
    <w:lvl w:ilvl="0">
      <w:lvlJc w:val="left"/>
      <w:lvlText w:val="%1."/>
      <w:numFmt w:val="lowerLetter"/>
      <w:start w:val="1"/>
    </w:lvl>
  </w:abstractNum>
  <w:abstractNum w:abstractNumId="110">
    <w:nsid w:val="61E74EA3"/>
    <w:multiLevelType w:val="hybridMultilevel"/>
    <w:lvl w:ilvl="0">
      <w:lvlJc w:val="left"/>
      <w:lvlText w:val="%1."/>
      <w:numFmt w:val="lowerLetter"/>
      <w:start w:val="1"/>
    </w:lvl>
  </w:abstractNum>
  <w:abstractNum w:abstractNumId="111">
    <w:nsid w:val="597B4D84"/>
    <w:multiLevelType w:val="hybridMultilevel"/>
    <w:lvl w:ilvl="0">
      <w:lvlJc w:val="left"/>
      <w:lvlText w:val="%1."/>
      <w:numFmt w:val="lowerRoman"/>
      <w:start w:val="1"/>
    </w:lvl>
  </w:abstractNum>
  <w:abstractNum w:abstractNumId="112">
    <w:nsid w:val="F819E7F"/>
    <w:multiLevelType w:val="hybridMultilevel"/>
    <w:lvl w:ilvl="0">
      <w:lvlJc w:val="left"/>
      <w:lvlText w:val="%1."/>
      <w:numFmt w:val="lowerRoman"/>
      <w:start w:val="1"/>
    </w:lvl>
  </w:abstractNum>
  <w:abstractNum w:abstractNumId="113">
    <w:nsid w:val="57C7D42D"/>
    <w:multiLevelType w:val="hybridMultilevel"/>
    <w:lvl w:ilvl="0">
      <w:lvlJc w:val="left"/>
      <w:lvlText w:val="%1"/>
      <w:numFmt w:val="lowerLetter"/>
      <w:start w:val="1"/>
    </w:lvl>
    <w:lvl w:ilvl="1">
      <w:lvlJc w:val="left"/>
      <w:lvlText w:val="%2."/>
      <w:numFmt w:val="lowerLetter"/>
      <w:start w:val="9"/>
    </w:lvl>
  </w:abstractNum>
  <w:abstractNum w:abstractNumId="114">
    <w:nsid w:val="312167AD"/>
    <w:multiLevelType w:val="hybridMultilevel"/>
    <w:lvl w:ilvl="0">
      <w:lvlJc w:val="left"/>
      <w:lvlText w:val="%1."/>
      <w:numFmt w:val="lowerLetter"/>
      <w:start w:val="1"/>
    </w:lvl>
    <w:lvl w:ilvl="1">
      <w:lvlJc w:val="left"/>
      <w:lvlText w:val="%2"/>
      <w:numFmt w:val="lowerLetter"/>
      <w:start w:val="1"/>
    </w:lvl>
  </w:abstractNum>
  <w:abstractNum w:abstractNumId="115">
    <w:nsid w:val="631B64D4"/>
    <w:multiLevelType w:val="hybridMultilevel"/>
    <w:lvl w:ilvl="0">
      <w:lvlJc w:val="left"/>
      <w:lvlText w:val="%1."/>
      <w:numFmt w:val="lowerLetter"/>
      <w:start w:val="1"/>
    </w:lvl>
  </w:abstractNum>
  <w:abstractNum w:abstractNumId="116">
    <w:nsid w:val="78B5E776"/>
    <w:multiLevelType w:val="hybridMultilevel"/>
    <w:lvl w:ilvl="0">
      <w:lvlJc w:val="left"/>
      <w:lvlText w:val="%1."/>
      <w:numFmt w:val="lowerLetter"/>
      <w:start w:val="1"/>
    </w:lvl>
  </w:abstractNum>
  <w:abstractNum w:abstractNumId="117">
    <w:nsid w:val="75486E47"/>
    <w:multiLevelType w:val="hybridMultilevel"/>
    <w:lvl w:ilvl="0">
      <w:lvlJc w:val="left"/>
      <w:lvlText w:val="%1."/>
      <w:numFmt w:val="lowerLetter"/>
      <w:start w:val="1"/>
    </w:lvl>
  </w:abstractNum>
  <w:abstractNum w:abstractNumId="118">
    <w:nsid w:val="6E534CDE"/>
    <w:multiLevelType w:val="hybridMultilevel"/>
    <w:lvl w:ilvl="0">
      <w:lvlJc w:val="left"/>
      <w:lvlText w:val="%1."/>
      <w:numFmt w:val="lowerLetter"/>
      <w:start w:val="1"/>
    </w:lvl>
  </w:abstractNum>
  <w:abstractNum w:abstractNumId="119">
    <w:nsid w:val="1A0DDE32"/>
    <w:multiLevelType w:val="hybridMultilevel"/>
    <w:lvl w:ilvl="0">
      <w:lvlJc w:val="left"/>
      <w:lvlText w:val="%1."/>
      <w:numFmt w:val="lowerLetter"/>
      <w:start w:val="1"/>
    </w:lvl>
  </w:abstractNum>
  <w:abstractNum w:abstractNumId="120">
    <w:nsid w:val="65968C1C"/>
    <w:multiLevelType w:val="hybridMultilevel"/>
    <w:lvl w:ilvl="0">
      <w:lvlJc w:val="left"/>
      <w:lvlText w:val="%1."/>
      <w:numFmt w:val="lowerLetter"/>
      <w:start w:val="1"/>
    </w:lvl>
  </w:abstractNum>
  <w:abstractNum w:abstractNumId="121">
    <w:nsid w:val="46263DEC"/>
    <w:multiLevelType w:val="hybridMultilevel"/>
    <w:lvl w:ilvl="0">
      <w:lvlJc w:val="left"/>
      <w:lvlText w:val="%1."/>
      <w:numFmt w:val="lowerLetter"/>
      <w:start w:val="1"/>
    </w:lvl>
  </w:abstractNum>
  <w:abstractNum w:abstractNumId="122">
    <w:nsid w:val="260D8C4A"/>
    <w:multiLevelType w:val="hybridMultilevel"/>
    <w:lvl w:ilvl="0">
      <w:lvlJc w:val="left"/>
      <w:lvlText w:val="%1"/>
      <w:numFmt w:val="decimal"/>
      <w:start w:val="1"/>
    </w:lvl>
    <w:lvl w:ilvl="1">
      <w:lvlJc w:val="left"/>
      <w:lvlText w:val="%2."/>
      <w:numFmt w:val="lowerLetter"/>
      <w:start w:val="1"/>
    </w:lvl>
  </w:abstractNum>
  <w:abstractNum w:abstractNumId="123">
    <w:nsid w:val="73D4D3C4"/>
    <w:multiLevelType w:val="hybridMultilevel"/>
    <w:lvl w:ilvl="0">
      <w:lvlJc w:val="left"/>
      <w:lvlText w:val="%1."/>
      <w:numFmt w:val="decimal"/>
      <w:start w:val="1"/>
    </w:lvl>
    <w:lvl w:ilvl="1">
      <w:lvlJc w:val="left"/>
      <w:lvlText w:val="%2."/>
      <w:numFmt w:val="lowerLetter"/>
      <w:start w:val="1"/>
    </w:lvl>
  </w:abstractNum>
  <w:abstractNum w:abstractNumId="124">
    <w:nsid w:val="746F2E30"/>
    <w:multiLevelType w:val="hybridMultilevel"/>
    <w:lvl w:ilvl="0">
      <w:lvlJc w:val="left"/>
      <w:lvlText w:val="%1."/>
      <w:numFmt w:val="lowerLetter"/>
      <w:start w:val="1"/>
    </w:lvl>
  </w:abstractNum>
  <w:abstractNum w:abstractNumId="125">
    <w:nsid w:val="6FDE8AF6"/>
    <w:multiLevelType w:val="hybridMultilevel"/>
    <w:lvl w:ilvl="0">
      <w:lvlJc w:val="left"/>
      <w:lvlText w:val="%1."/>
      <w:numFmt w:val="decimal"/>
      <w:start w:val="1"/>
    </w:lvl>
  </w:abstractNum>
  <w:abstractNum w:abstractNumId="126">
    <w:nsid w:val="3FC32E20"/>
    <w:multiLevelType w:val="hybridMultilevel"/>
    <w:lvl w:ilvl="0">
      <w:lvlJc w:val="left"/>
      <w:lvlText w:val="%1."/>
      <w:numFmt w:val="decimal"/>
      <w:start w:val="1"/>
    </w:lvl>
    <w:lvl w:ilvl="1">
      <w:lvlJc w:val="left"/>
      <w:lvlText w:val="%2"/>
      <w:numFmt w:val="lowerLetter"/>
      <w:start w:val="1"/>
    </w:lvl>
  </w:abstractNum>
  <w:abstractNum w:abstractNumId="127">
    <w:nsid w:val="49C0E823"/>
    <w:multiLevelType w:val="hybridMultilevel"/>
    <w:lvl w:ilvl="0">
      <w:lvlJc w:val="left"/>
      <w:lvlText w:val="%1"/>
      <w:numFmt w:val="decimal"/>
      <w:start w:val="1"/>
    </w:lvl>
    <w:lvl w:ilvl="1">
      <w:lvlJc w:val="left"/>
      <w:lvlText w:val="%2."/>
      <w:numFmt w:val="lowerLetter"/>
      <w:start w:val="1"/>
    </w:lvl>
  </w:abstractNum>
  <w:abstractNum w:abstractNumId="128">
    <w:nsid w:val="14D53685"/>
    <w:multiLevelType w:val="hybridMultilevel"/>
    <w:lvl w:ilvl="0">
      <w:lvlJc w:val="left"/>
      <w:lvlText w:val="%1."/>
      <w:numFmt w:val="decimal"/>
      <w:start w:val="1"/>
    </w:lvl>
    <w:lvl w:ilvl="1">
      <w:lvlJc w:val="left"/>
      <w:lvlText w:val="%2."/>
      <w:numFmt w:val="lowerLetter"/>
      <w:start w:val="1"/>
    </w:lvl>
  </w:abstractNum>
  <w:abstractNum w:abstractNumId="129">
    <w:nsid w:val="230F856C"/>
    <w:multiLevelType w:val="hybridMultilevel"/>
    <w:lvl w:ilvl="0">
      <w:lvlJc w:val="left"/>
      <w:lvlText w:val="%1."/>
      <w:numFmt w:val="lowerLetter"/>
      <w:start w:val="1"/>
    </w:lvl>
  </w:abstractNum>
  <w:abstractNum w:abstractNumId="130">
    <w:nsid w:val="6EAA85FB"/>
    <w:multiLevelType w:val="hybridMultilevel"/>
    <w:lvl w:ilvl="0">
      <w:lvlJc w:val="left"/>
      <w:lvlText w:val="%1."/>
      <w:numFmt w:val="lowerLetter"/>
      <w:start w:val="1"/>
    </w:lvl>
  </w:abstractNum>
  <w:abstractNum w:abstractNumId="131">
    <w:nsid w:val="3F06ECB2"/>
    <w:multiLevelType w:val="hybridMultilevel"/>
    <w:lvl w:ilvl="0">
      <w:lvlJc w:val="left"/>
      <w:lvlText w:val="%1."/>
      <w:numFmt w:val="lowerLetter"/>
      <w:start w:val="1"/>
    </w:lvl>
  </w:abstractNum>
  <w:abstractNum w:abstractNumId="132">
    <w:nsid w:val="3B594807"/>
    <w:multiLevelType w:val="hybridMultilevel"/>
    <w:lvl w:ilvl="0">
      <w:lvlJc w:val="left"/>
      <w:lvlText w:val="%1"/>
      <w:numFmt w:val="decimal"/>
      <w:start w:val="1"/>
    </w:lvl>
    <w:lvl w:ilvl="1">
      <w:lvlJc w:val="left"/>
      <w:lvlText w:val="%2."/>
      <w:numFmt w:val="lowerLetter"/>
      <w:start w:val="1"/>
    </w:lvl>
  </w:abstractNum>
  <w:abstractNum w:abstractNumId="133">
    <w:nsid w:val="6CAA2304"/>
    <w:multiLevelType w:val="hybridMultilevel"/>
    <w:lvl w:ilvl="0">
      <w:lvlJc w:val="left"/>
      <w:lvlText w:val="%1."/>
      <w:numFmt w:val="decimal"/>
      <w:start w:val="1"/>
    </w:lvl>
    <w:lvl w:ilvl="1">
      <w:lvlJc w:val="left"/>
      <w:lvlText w:val="%2"/>
      <w:numFmt w:val="lowerLetter"/>
      <w:start w:val="1"/>
    </w:lvl>
  </w:abstractNum>
  <w:abstractNum w:abstractNumId="134">
    <w:nsid w:val="3F7C2FF4"/>
    <w:multiLevelType w:val="hybridMultilevel"/>
    <w:lvl w:ilvl="0">
      <w:lvlJc w:val="left"/>
      <w:lvlText w:val="%1."/>
      <w:numFmt w:val="decimal"/>
      <w:start w:val="1"/>
    </w:lvl>
  </w:abstractNum>
  <w:abstractNum w:abstractNumId="135">
    <w:nsid w:val="25413BEC"/>
    <w:multiLevelType w:val="hybridMultilevel"/>
    <w:lvl w:ilvl="0">
      <w:lvlJc w:val="left"/>
      <w:lvlText w:val="%1."/>
      <w:numFmt w:val="decimal"/>
      <w:start w:val="1"/>
    </w:lvl>
  </w:abstractNum>
  <w:abstractNum w:abstractNumId="136">
    <w:nsid w:val="17180B0B"/>
    <w:multiLevelType w:val="hybridMultilevel"/>
    <w:lvl w:ilvl="0">
      <w:lvlJc w:val="left"/>
      <w:lvlText w:val="%1."/>
      <w:numFmt w:val="decimal"/>
      <w:start w:val="1"/>
    </w:lvl>
    <w:lvl w:ilvl="1">
      <w:lvlJc w:val="left"/>
      <w:lvlText w:val="%2"/>
      <w:numFmt w:val="lowerLetter"/>
      <w:start w:val="1"/>
    </w:lvl>
  </w:abstractNum>
  <w:abstractNum w:abstractNumId="137">
    <w:nsid w:val="579328B9"/>
    <w:multiLevelType w:val="hybridMultilevel"/>
    <w:lvl w:ilvl="0">
      <w:lvlJc w:val="left"/>
      <w:lvlText w:val="%1."/>
      <w:numFmt w:val="lowerLetter"/>
      <w:start w:val="1"/>
    </w:lvl>
  </w:abstractNum>
  <w:abstractNum w:abstractNumId="138">
    <w:nsid w:val="5D205E20"/>
    <w:multiLevelType w:val="hybridMultilevel"/>
    <w:lvl w:ilvl="0">
      <w:lvlJc w:val="left"/>
      <w:lvlText w:val="%1"/>
      <w:numFmt w:val="decimal"/>
      <w:start w:val="1"/>
    </w:lvl>
    <w:lvl w:ilvl="1">
      <w:lvlJc w:val="left"/>
      <w:lvlText w:val="%2."/>
      <w:numFmt w:val="lowerLetter"/>
      <w:start w:val="1"/>
    </w:lvl>
  </w:abstractNum>
  <w:abstractNum w:abstractNumId="139">
    <w:nsid w:val="11CCA8BA"/>
    <w:multiLevelType w:val="hybridMultilevel"/>
    <w:lvl w:ilvl="0">
      <w:lvlJc w:val="left"/>
      <w:lvlText w:val="%1."/>
      <w:numFmt w:val="decimal"/>
      <w:start w:val="1"/>
    </w:lvl>
    <w:lvl w:ilvl="1">
      <w:lvlJc w:val="left"/>
      <w:lvlText w:val="%2"/>
      <w:numFmt w:val="lowerLetter"/>
      <w:start w:val="1"/>
    </w:lvl>
  </w:abstractNum>
  <w:abstractNum w:abstractNumId="140">
    <w:nsid w:val="4D32AB86"/>
    <w:multiLevelType w:val="hybridMultilevel"/>
    <w:lvl w:ilvl="0">
      <w:lvlJc w:val="left"/>
      <w:lvlText w:val="%1."/>
      <w:numFmt w:val="decimal"/>
      <w:start w:val="1"/>
    </w:lvl>
  </w:abstractNum>
  <w:abstractNum w:abstractNumId="141">
    <w:nsid w:val="3F07ACC3"/>
    <w:multiLevelType w:val="hybridMultilevel"/>
    <w:lvl w:ilvl="0">
      <w:lvlJc w:val="left"/>
      <w:lvlText w:val="%1."/>
      <w:numFmt w:val="lowerLetter"/>
      <w:start w:val="1"/>
    </w:lvl>
  </w:abstractNum>
  <w:abstractNum w:abstractNumId="142">
    <w:nsid w:val="6B47F63E"/>
    <w:multiLevelType w:val="hybridMultilevel"/>
    <w:lvl w:ilvl="0">
      <w:lvlJc w:val="left"/>
      <w:lvlText w:val="%1."/>
      <w:numFmt w:val="lowerLetter"/>
      <w:start w:val="1"/>
    </w:lvl>
  </w:abstractNum>
  <w:abstractNum w:abstractNumId="143">
    <w:nsid w:val="5CB44A05"/>
    <w:multiLevelType w:val="hybridMultilevel"/>
    <w:lvl w:ilvl="0">
      <w:lvlJc w:val="left"/>
      <w:lvlText w:val="%1"/>
      <w:numFmt w:val="decimal"/>
      <w:start w:val="1"/>
    </w:lvl>
    <w:lvl w:ilvl="1">
      <w:lvlJc w:val="left"/>
      <w:lvlText w:val="%2."/>
      <w:numFmt w:val="lowerLetter"/>
      <w:start w:val="1"/>
    </w:lvl>
  </w:abstractNum>
  <w:abstractNum w:abstractNumId="144">
    <w:nsid w:val="16CF80F1"/>
    <w:multiLevelType w:val="hybridMultilevel"/>
    <w:lvl w:ilvl="0">
      <w:lvlJc w:val="left"/>
      <w:lvlText w:val="%1."/>
      <w:numFmt w:val="decimal"/>
      <w:start w:val="1"/>
    </w:lvl>
    <w:lvl w:ilvl="1">
      <w:lvlJc w:val="left"/>
      <w:lvlText w:val="%2."/>
      <w:numFmt w:val="lowerLetter"/>
      <w:start w:val="1"/>
    </w:lvl>
  </w:abstractNum>
  <w:abstractNum w:abstractNumId="145">
    <w:nsid w:val="1C695DEC"/>
    <w:multiLevelType w:val="hybridMultilevel"/>
    <w:lvl w:ilvl="0">
      <w:lvlJc w:val="left"/>
      <w:lvlText w:val="%1."/>
      <w:numFmt w:val="lowerLetter"/>
      <w:start w:val="1"/>
    </w:lvl>
  </w:abstractNum>
  <w:abstractNum w:abstractNumId="146">
    <w:nsid w:val="3FCFAED9"/>
    <w:multiLevelType w:val="hybridMultilevel"/>
    <w:lvl w:ilvl="0">
      <w:lvlJc w:val="left"/>
      <w:lvlText w:val="%1."/>
      <w:numFmt w:val="decimal"/>
      <w:start w:val="1"/>
    </w:lvl>
    <w:lvl w:ilvl="1">
      <w:lvlJc w:val="left"/>
      <w:lvlText w:val="%2"/>
      <w:numFmt w:val="lowerLetter"/>
      <w:start w:val="1"/>
    </w:lvl>
  </w:abstractNum>
  <w:abstractNum w:abstractNumId="147">
    <w:nsid w:val="F856867"/>
    <w:multiLevelType w:val="hybridMultilevel"/>
    <w:lvl w:ilvl="0">
      <w:lvlJc w:val="left"/>
      <w:lvlText w:val="%1"/>
      <w:numFmt w:val="decimal"/>
      <w:start w:val="1"/>
    </w:lvl>
    <w:lvl w:ilvl="1">
      <w:lvlJc w:val="left"/>
      <w:lvlText w:val="%2."/>
      <w:numFmt w:val="lowerLetter"/>
      <w:start w:val="1"/>
    </w:lvl>
  </w:abstractNum>
  <w:abstractNum w:abstractNumId="148">
    <w:nsid w:val="11B1CC33"/>
    <w:multiLevelType w:val="hybridMultilevel"/>
    <w:lvl w:ilvl="0">
      <w:lvlJc w:val="left"/>
      <w:lvlText w:val="%1."/>
      <w:numFmt w:val="decimal"/>
      <w:start w:val="1"/>
    </w:lvl>
    <w:lvl w:ilvl="1">
      <w:lvlJc w:val="left"/>
      <w:lvlText w:val="%2"/>
      <w:numFmt w:val="lowerLetter"/>
      <w:start w:val="1"/>
    </w:lvl>
  </w:abstractNum>
  <w:abstractNum w:abstractNumId="149">
    <w:nsid w:val="2E22FBB7"/>
    <w:multiLevelType w:val="hybridMultilevel"/>
    <w:lvl w:ilvl="0">
      <w:lvlJc w:val="left"/>
      <w:lvlText w:val="%1."/>
      <w:numFmt w:val="decimal"/>
      <w:start w:val="1"/>
    </w:lvl>
  </w:abstractNum>
  <w:abstractNum w:abstractNumId="150">
    <w:nsid w:val="29934699"/>
    <w:multiLevelType w:val="hybridMultilevel"/>
    <w:lvl w:ilvl="0">
      <w:lvlJc w:val="left"/>
      <w:lvlText w:val="%1."/>
      <w:numFmt w:val="decimal"/>
      <w:start w:val="1"/>
    </w:lvl>
  </w:abstractNum>
  <w:abstractNum w:abstractNumId="151">
    <w:nsid w:val="77485850"/>
    <w:multiLevelType w:val="hybridMultilevel"/>
    <w:lvl w:ilvl="0">
      <w:lvlJc w:val="left"/>
      <w:lvlText w:val="%1."/>
      <w:numFmt w:val="decimal"/>
      <w:start w:val="1"/>
    </w:lvl>
    <w:lvl w:ilvl="1">
      <w:lvlJc w:val="left"/>
      <w:lvlText w:val="%2"/>
      <w:numFmt w:val="lowerLetter"/>
      <w:start w:val="1"/>
    </w:lvl>
  </w:abstractNum>
  <w:abstractNum w:abstractNumId="152">
    <w:nsid w:val="744939A3"/>
    <w:multiLevelType w:val="hybridMultilevel"/>
    <w:lvl w:ilvl="0">
      <w:lvlJc w:val="left"/>
      <w:lvlText w:val="%1."/>
      <w:numFmt w:val="lowerLetter"/>
      <w:start w:val="1"/>
    </w:lvl>
  </w:abstractNum>
  <w:abstractNum w:abstractNumId="153">
    <w:nsid w:val="4FA0D2E3"/>
    <w:multiLevelType w:val="hybridMultilevel"/>
    <w:lvl w:ilvl="0">
      <w:lvlJc w:val="left"/>
      <w:lvlText w:val="%1"/>
      <w:numFmt w:val="decimal"/>
      <w:start w:val="1"/>
    </w:lvl>
    <w:lvl w:ilvl="1">
      <w:lvlJc w:val="left"/>
      <w:lvlText w:val="%2."/>
      <w:numFmt w:val="lowerLetter"/>
      <w:start w:val="1"/>
    </w:lvl>
  </w:abstractNum>
  <w:abstractNum w:abstractNumId="154">
    <w:nsid w:val="6B1D2C14"/>
    <w:multiLevelType w:val="hybridMultilevel"/>
    <w:lvl w:ilvl="0">
      <w:lvlJc w:val="left"/>
      <w:lvlText w:val="%1."/>
      <w:numFmt w:val="decimal"/>
      <w:start w:val="1"/>
    </w:lvl>
    <w:lvl w:ilvl="1">
      <w:lvlJc w:val="left"/>
      <w:lvlText w:val="%2."/>
      <w:numFmt w:val="lowerLetter"/>
      <w:start w:val="1"/>
    </w:lvl>
  </w:abstractNum>
  <w:abstractNum w:abstractNumId="155">
    <w:nsid w:val="68B867D3"/>
    <w:multiLevelType w:val="hybridMultilevel"/>
    <w:lvl w:ilvl="0">
      <w:lvlJc w:val="left"/>
      <w:lvlText w:val="%1."/>
      <w:numFmt w:val="lowerLetter"/>
      <w:start w:val="1"/>
    </w:lvl>
  </w:abstractNum>
  <w:abstractNum w:abstractNumId="156">
    <w:nsid w:val="3F7F5DD9"/>
    <w:multiLevelType w:val="hybridMultilevel"/>
    <w:lvl w:ilvl="0">
      <w:lvlJc w:val="left"/>
      <w:lvlText w:val="%1."/>
      <w:numFmt w:val="lowerLetter"/>
      <w:start w:val="1"/>
    </w:lvl>
  </w:abstractNum>
  <w:abstractNum w:abstractNumId="157">
    <w:nsid w:val="2AE05A34"/>
    <w:multiLevelType w:val="hybridMultilevel"/>
    <w:lvl w:ilvl="0">
      <w:lvlJc w:val="left"/>
      <w:lvlText w:val="%1."/>
      <w:numFmt w:val="lowerRoman"/>
      <w:start w:val="1"/>
    </w:lvl>
  </w:abstractNum>
  <w:abstractNum w:abstractNumId="158">
    <w:nsid w:val="32794FF7"/>
    <w:multiLevelType w:val="hybridMultilevel"/>
    <w:lvl w:ilvl="0">
      <w:lvlJc w:val="left"/>
      <w:lvlText w:val="%1."/>
      <w:numFmt w:val="lowerRoman"/>
      <w:start w:val="1"/>
    </w:lvl>
  </w:abstractNum>
  <w:abstractNum w:abstractNumId="159">
    <w:nsid w:val="5454945E"/>
    <w:multiLevelType w:val="hybridMultilevel"/>
    <w:lvl w:ilvl="0">
      <w:lvlJc w:val="left"/>
      <w:lvlText w:val="%1."/>
      <w:numFmt w:val="lowerRoman"/>
      <w:start w:val="1"/>
    </w:lvl>
  </w:abstractNum>
  <w:abstractNum w:abstractNumId="160">
    <w:nsid w:val="4DEFDFA0"/>
    <w:multiLevelType w:val="hybridMultilevel"/>
    <w:lvl w:ilvl="0">
      <w:lvlJc w:val="left"/>
      <w:lvlText w:val="%1."/>
      <w:numFmt w:val="decimal"/>
      <w:start w:val="1"/>
    </w:lvl>
  </w:abstractNum>
  <w:abstractNum w:abstractNumId="161">
    <w:nsid w:val="2123D5F2"/>
    <w:multiLevelType w:val="hybridMultilevel"/>
    <w:lvl w:ilvl="0">
      <w:lvlJc w:val="left"/>
      <w:lvlText w:val="%1."/>
      <w:numFmt w:val="decimal"/>
      <w:start w:val="1"/>
    </w:lvl>
  </w:abstractNum>
  <w:abstractNum w:abstractNumId="162">
    <w:nsid w:val="135B8110"/>
    <w:multiLevelType w:val="hybridMultilevel"/>
    <w:lvl w:ilvl="0">
      <w:lvlJc w:val="left"/>
      <w:lvlText w:val="%1."/>
      <w:numFmt w:val="decimal"/>
      <w:start w:val="1"/>
    </w:lvl>
  </w:abstractNum>
  <w:abstractNum w:abstractNumId="163">
    <w:nsid w:val="94927A8"/>
    <w:multiLevelType w:val="hybridMultilevel"/>
    <w:lvl w:ilvl="0">
      <w:lvlJc w:val="left"/>
      <w:lvlText w:val="%1."/>
      <w:numFmt w:val="decimal"/>
      <w:start w:val="2"/>
    </w:lvl>
    <w:lvl w:ilvl="1">
      <w:lvlJc w:val="left"/>
      <w:lvlText w:val="%2."/>
      <w:numFmt w:val="lowerLetter"/>
      <w:start w:val="1"/>
    </w:lvl>
  </w:abstractNum>
  <w:abstractNum w:abstractNumId="164">
    <w:nsid w:val="DCDF8F6"/>
    <w:multiLevelType w:val="hybridMultilevel"/>
    <w:lvl w:ilvl="0">
      <w:lvlJc w:val="left"/>
      <w:lvlText w:val="%1."/>
      <w:numFmt w:val="decimal"/>
      <w:start w:val="1"/>
    </w:lvl>
  </w:abstractNum>
  <w:abstractNum w:abstractNumId="165">
    <w:nsid w:val="52D7B105"/>
    <w:multiLevelType w:val="hybridMultilevel"/>
    <w:lvl w:ilvl="0">
      <w:lvlJc w:val="left"/>
      <w:lvlText w:val="%1"/>
      <w:numFmt w:val="decimal"/>
      <w:start w:val="1"/>
    </w:lvl>
    <w:lvl w:ilvl="1">
      <w:lvlJc w:val="left"/>
      <w:lvlText w:val="%2."/>
      <w:numFmt w:val="decimal"/>
      <w:start w:val="6"/>
    </w:lvl>
  </w:abstractNum>
  <w:abstractNum w:abstractNumId="166">
    <w:nsid w:val="2E8A6394"/>
    <w:multiLevelType w:val="hybridMultilevel"/>
    <w:lvl w:ilvl="0">
      <w:lvlJc w:val="left"/>
      <w:lvlText w:val="%1."/>
      <w:numFmt w:val="decimal"/>
      <w:start w:val="7"/>
    </w:lvl>
    <w:lvl w:ilvl="1">
      <w:lvlJc w:val="left"/>
      <w:lvlText w:val="%2"/>
      <w:numFmt w:val="decimal"/>
      <w:start w:val="1"/>
    </w:lvl>
  </w:abstractNum>
  <w:abstractNum w:abstractNumId="167">
    <w:nsid w:val="24E60401"/>
    <w:multiLevelType w:val="hybridMultilevel"/>
    <w:lvl w:ilvl="0">
      <w:lvlJc w:val="left"/>
      <w:lvlText w:val="(%1)"/>
      <w:numFmt w:val="lowerLetter"/>
      <w:start w:val="1"/>
    </w:lvl>
  </w:abstractNum>
  <w:abstractNum w:abstractNumId="168">
    <w:nsid w:val="2A6AD9BE"/>
    <w:multiLevelType w:val="hybridMultilevel"/>
    <w:lvl w:ilvl="0">
      <w:lvlJc w:val="left"/>
      <w:lvlText w:val="(%1)"/>
      <w:numFmt w:val="lowerLetter"/>
      <w:start w:val="1"/>
    </w:lvl>
  </w:abstractNum>
  <w:abstractNum w:abstractNumId="169">
    <w:nsid w:val="BAAC1B4"/>
    <w:multiLevelType w:val="hybridMultilevel"/>
    <w:lvl w:ilvl="0">
      <w:lvlJc w:val="left"/>
      <w:lvlText w:val="(%1)"/>
      <w:numFmt w:val="lowerLetter"/>
      <w:start w:val="2"/>
    </w:lvl>
  </w:abstractNum>
  <w:abstractNum w:abstractNumId="170">
    <w:nsid w:val="36B2ACBC"/>
    <w:multiLevelType w:val="hybridMultilevel"/>
    <w:lvl w:ilvl="0">
      <w:lvlJc w:val="left"/>
      <w:lvlText w:val="(%1)"/>
      <w:numFmt w:val="lowerLetter"/>
      <w:start w:val="1"/>
    </w:lvl>
    <w:lvl w:ilvl="1">
      <w:lvlJc w:val="left"/>
      <w:lvlText w:val="(%2)"/>
      <w:numFmt w:val="lowerLetter"/>
      <w:start w:val="1"/>
    </w:lvl>
  </w:abstractNum>
  <w:abstractNum w:abstractNumId="171">
    <w:nsid w:val="779D8544"/>
    <w:multiLevelType w:val="hybridMultilevel"/>
    <w:lvl w:ilvl="0">
      <w:lvlJc w:val="left"/>
      <w:lvlText w:val="•"/>
      <w:numFmt w:val="bullet"/>
      <w:start w:val="1"/>
    </w:lvl>
  </w:abstractNum>
  <w:abstractNum w:abstractNumId="172">
    <w:nsid w:val="4AB26E78"/>
    <w:multiLevelType w:val="hybridMultilevel"/>
    <w:lvl w:ilvl="0">
      <w:lvlJc w:val="left"/>
      <w:lvlText w:val="(%1)"/>
      <w:numFmt w:val="lowerRoman"/>
      <w:start w:val="3"/>
    </w:lvl>
  </w:abstractNum>
  <w:abstractNum w:abstractNumId="173">
    <w:nsid w:val="21FAA2FA"/>
    <w:multiLevelType w:val="hybridMultilevel"/>
    <w:lvl w:ilvl="0">
      <w:lvlJc w:val="left"/>
      <w:lvlText w:val="%1."/>
      <w:numFmt w:val="decimal"/>
      <w:start w:val="1"/>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2020-10-29T15:25:53Z</dcterms:created>
  <dcterms:modified xsi:type="dcterms:W3CDTF">2020-10-29T15:25:53Z</dcterms:modified>
</cp:coreProperties>
</file>