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UNITED STATES</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SECURITIES AND EXCHANGE COMMISSION</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Washington, D.C. 20549</w:t>
      </w:r>
    </w:p>
    <w:tbl>
      <w:tblPr>
        <w:tblW w:w="2814" w:type="dxa"/>
        <w:jc w:val="center"/>
        <w:tblInd w:w="0" w:type="dxa"/>
        <w:tblLayout w:type="fixed"/>
        <w:tblCellMar>
          <w:top w:w="28" w:type="dxa"/>
          <w:left w:w="28" w:type="dxa"/>
          <w:bottom w:w="28" w:type="dxa"/>
          <w:right w:w="28" w:type="dxa"/>
        </w:tblCellMar>
      </w:tblPr>
      <w:tblGrid>
        <w:gridCol w:w="124"/>
        <w:gridCol w:w="109"/>
        <w:gridCol w:w="109"/>
        <w:gridCol w:w="380"/>
        <w:gridCol w:w="380"/>
        <w:gridCol w:w="381"/>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chivo;sans-serif" w:hAnsi="Archivo;sans-serif"/>
                <w:b/>
                <w:color w:val="000000"/>
                <w:sz w:val="32"/>
              </w:rPr>
            </w:pPr>
            <w:r>
              <w:rPr>
                <w:rFonts w:ascii="Archivo;sans-serif" w:hAnsi="Archivo;sans-serif"/>
                <w:b/>
                <w:color w:val="000000"/>
                <w:sz w:val="32"/>
              </w:rPr>
              <w:t>FORM</w:t>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2"/>
              </w:rPr>
            </w:pPr>
            <w:r>
              <w:rPr>
                <w:rFonts w:ascii="Archivo;sans-serif" w:hAnsi="Archivo;sans-serif"/>
                <w:b/>
                <w:color w:val="000000"/>
                <w:sz w:val="32"/>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color w:val="000000"/>
        </w:rPr>
        <w:t xml:space="preserve">☒ </w:t>
      </w:r>
      <w:r>
        <w:rPr>
          <w:rFonts w:ascii="Archivo;sans-serif" w:hAnsi="Archivo;sans-serif"/>
          <w:b/>
          <w:color w:val="000000"/>
          <w:sz w:val="18"/>
        </w:rPr>
        <w:t>QUARTERLY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quarterly period ended June 30, 2026</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or</w:t>
      </w:r>
    </w:p>
    <w:p>
      <w:pPr>
        <w:pStyle w:val="TextBody"/>
        <w:bidi w:val="0"/>
        <w:spacing w:lineRule="auto" w:line="288" w:before="120" w:after="120"/>
        <w:jc w:val="center"/>
        <w:rPr/>
      </w:pPr>
      <w:r>
        <w:rPr>
          <w:color w:val="000000"/>
        </w:rPr>
        <w:t xml:space="preserve">☐ </w:t>
      </w:r>
      <w:r>
        <w:rPr>
          <w:rFonts w:ascii="Archivo;sans-serif" w:hAnsi="Archivo;sans-serif"/>
          <w:b/>
          <w:color w:val="000000"/>
          <w:sz w:val="18"/>
        </w:rPr>
        <w:t>TRANSITION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transition period from ________to _________</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Commission file number: 001-38312</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before="60" w:after="60"/>
        <w:jc w:val="center"/>
        <w:rPr/>
      </w:pPr>
      <w:r>
        <w:rPr/>
        <w:drawing>
          <wp:inline distT="0" distB="0" distL="0" distR="0">
            <wp:extent cx="17430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800100"/>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color w:val="000000"/>
          <w:sz w:val="28"/>
        </w:rPr>
      </w:pPr>
      <w:r>
        <w:rPr>
          <w:rFonts w:ascii="Archivo;sans-serif" w:hAnsi="Archivo;sans-serif"/>
          <w:b/>
          <w:color w:val="000000"/>
          <w:sz w:val="28"/>
        </w:rPr>
        <w:t>8x8, INC.</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(Exact name of Registrant as Specified in its Charter)</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tbl>
      <w:tblPr>
        <w:tblW w:w="8862" w:type="dxa"/>
        <w:jc w:val="center"/>
        <w:tblInd w:w="0" w:type="dxa"/>
        <w:tblLayout w:type="fixed"/>
        <w:tblCellMar>
          <w:top w:w="28" w:type="dxa"/>
          <w:left w:w="28" w:type="dxa"/>
          <w:bottom w:w="28" w:type="dxa"/>
          <w:right w:w="28" w:type="dxa"/>
        </w:tblCellMar>
      </w:tblPr>
      <w:tblGrid>
        <w:gridCol w:w="1868"/>
        <w:gridCol w:w="1640"/>
        <w:gridCol w:w="1652"/>
        <w:gridCol w:w="109"/>
        <w:gridCol w:w="109"/>
        <w:gridCol w:w="109"/>
        <w:gridCol w:w="988"/>
        <w:gridCol w:w="988"/>
        <w:gridCol w:w="1399"/>
      </w:tblGrid>
      <w:tr>
        <w:trP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77-0142404</w:t>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 xml:space="preserve">675 Creekside Way </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Campbell, CA 95008</w:t>
      </w:r>
    </w:p>
    <w:tbl>
      <w:tblPr>
        <w:tblW w:w="3420" w:type="dxa"/>
        <w:jc w:val="center"/>
        <w:tblInd w:w="0" w:type="dxa"/>
        <w:tblLayout w:type="fixed"/>
        <w:tblCellMar>
          <w:top w:w="28" w:type="dxa"/>
          <w:left w:w="28" w:type="dxa"/>
          <w:bottom w:w="28" w:type="dxa"/>
          <w:right w:w="28" w:type="dxa"/>
        </w:tblCellMar>
      </w:tblPr>
      <w:tblGrid>
        <w:gridCol w:w="1094"/>
        <w:gridCol w:w="963"/>
        <w:gridCol w:w="1363"/>
      </w:tblGrid>
      <w:tr>
        <w:trP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(Address of principal executive offices)</w:t>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 xml:space="preserve">(408) 727-1885 </w:t>
      </w:r>
    </w:p>
    <w:tbl>
      <w:tblPr>
        <w:tblW w:w="4605" w:type="dxa"/>
        <w:jc w:val="center"/>
        <w:tblInd w:w="0" w:type="dxa"/>
        <w:tblLayout w:type="fixed"/>
        <w:tblCellMar>
          <w:top w:w="28" w:type="dxa"/>
          <w:left w:w="28" w:type="dxa"/>
          <w:bottom w:w="28" w:type="dxa"/>
          <w:right w:w="28" w:type="dxa"/>
        </w:tblCellMar>
      </w:tblPr>
      <w:tblGrid>
        <w:gridCol w:w="1474"/>
        <w:gridCol w:w="1294"/>
        <w:gridCol w:w="1837"/>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(Registrant's telephone number, including area code)</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003" w:type="dxa"/>
        <w:jc w:val="center"/>
        <w:tblInd w:w="0" w:type="dxa"/>
        <w:tblLayout w:type="fixed"/>
        <w:tblCellMar>
          <w:top w:w="28" w:type="dxa"/>
          <w:left w:w="28" w:type="dxa"/>
          <w:bottom w:w="28" w:type="dxa"/>
          <w:right w:w="28" w:type="dxa"/>
        </w:tblCellMar>
      </w:tblPr>
      <w:tblGrid>
        <w:gridCol w:w="1501"/>
        <w:gridCol w:w="1320"/>
        <w:gridCol w:w="1333"/>
        <w:gridCol w:w="524"/>
        <w:gridCol w:w="524"/>
        <w:gridCol w:w="526"/>
        <w:gridCol w:w="1252"/>
        <w:gridCol w:w="1252"/>
        <w:gridCol w:w="1771"/>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Trading Symbol</w:t>
            </w:r>
          </w:p>
        </w:tc>
        <w:tc>
          <w:tcPr>
            <w:tcW w:w="42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Name of each exchange on which registered</w:t>
            </w:r>
          </w:p>
        </w:tc>
      </w:tr>
      <w:tr>
        <w:trPr/>
        <w:tc>
          <w:tcPr>
            <w:tcW w:w="41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COMMON STOCK, PAR VALUE $0.001 PER SHARE</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EGHT</w:t>
            </w:r>
          </w:p>
        </w:tc>
        <w:tc>
          <w:tcPr>
            <w:tcW w:w="42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Nasdaq Global Select Market</w:t>
            </w:r>
          </w:p>
        </w:tc>
      </w:tr>
    </w:tbl>
    <w:p>
      <w:pPr>
        <w:pStyle w:val="TextBody"/>
        <w:bidi w:val="0"/>
        <w:spacing w:lineRule="auto" w:line="288" w:before="0" w:after="60"/>
        <w:jc w:val="both"/>
        <w:rPr/>
      </w:pPr>
      <w:r>
        <w:rPr>
          <w:rFonts w:ascii="Archivo;sans-serif" w:hAnsi="Archivo;sans-serif"/>
          <w:b w:val="false"/>
          <w:color w:val="000000"/>
          <w:sz w:val="16"/>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w:t>
      </w:r>
      <w:r>
        <w:rPr>
          <w:color w:val="000000"/>
        </w:rPr>
        <w:t xml:space="preserve"> ☒ </w:t>
      </w:r>
      <w:r>
        <w:rPr>
          <w:rFonts w:ascii="Archivo;sans-serif" w:hAnsi="Archivo;sans-serif"/>
          <w:b w:val="false"/>
          <w:color w:val="000000"/>
          <w:sz w:val="16"/>
        </w:rPr>
        <w:t>Yes </w:t>
      </w:r>
      <w:r>
        <w:rPr>
          <w:color w:val="000000"/>
        </w:rPr>
        <w:t xml:space="preserve">☐ </w:t>
      </w:r>
      <w:r>
        <w:rPr>
          <w:rFonts w:ascii="Archivo;sans-serif" w:hAnsi="Archivo;sans-serif"/>
          <w:b w:val="false"/>
          <w:color w:val="000000"/>
          <w:sz w:val="16"/>
        </w:rPr>
        <w:t>No</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chivo;sans-serif" w:hAnsi="Archivo;sans-serif"/>
          <w:b w:val="false"/>
          <w:color w:val="000000"/>
          <w:sz w:val="16"/>
        </w:rPr>
        <w:t>No</w:t>
      </w:r>
      <w:r>
        <w:rPr>
          <w:color w:val="000000"/>
        </w:rPr>
        <w:t> ☐</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chivo;sans-serif" w:hAnsi="Archivo;sans-serif"/>
          <w:b w:val="false"/>
          <w:color w:val="000000"/>
          <w:sz w:val="18"/>
        </w:rPr>
        <w:t>.</w:t>
      </w:r>
    </w:p>
    <w:tbl>
      <w:tblPr>
        <w:tblW w:w="6089"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109"/>
        <w:gridCol w:w="109"/>
        <w:gridCol w:w="109"/>
        <w:gridCol w:w="799"/>
        <w:gridCol w:w="799"/>
        <w:gridCol w:w="80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Archivo;sans-serif" w:hAnsi="Archiv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is a shell company (as defined in Rule 12b-2 of the Exchange Act). Yes</w:t>
      </w:r>
      <w:r>
        <w:rPr>
          <w:color w:val="000000"/>
        </w:rPr>
        <w:t xml:space="preserve"> ☐ </w:t>
      </w:r>
      <w:r>
        <w:rPr>
          <w:rFonts w:ascii="Archivo;sans-serif" w:hAnsi="Archivo;sans-serif"/>
          <w:b w:val="false"/>
          <w:color w:val="000000"/>
          <w:sz w:val="16"/>
        </w:rPr>
        <w:t>No</w:t>
      </w:r>
      <w:r>
        <w:rPr>
          <w:color w:val="000000"/>
        </w:rPr>
        <w:t xml:space="preserve"> ☒</w:t>
      </w:r>
    </w:p>
    <w:p>
      <w:pPr>
        <w:pStyle w:val="TextBody"/>
        <w:bidi w:val="0"/>
        <w:spacing w:lineRule="auto" w:line="288" w:before="60" w:after="60"/>
        <w:jc w:val="both"/>
        <w:rPr>
          <w:rFonts w:ascii="Archivo;sans-serif" w:hAnsi="Archivo;sans-serif"/>
          <w:b w:val="false"/>
          <w:color w:val="000000"/>
          <w:sz w:val="16"/>
        </w:rPr>
      </w:pPr>
      <w:r>
        <w:rPr>
          <w:rFonts w:ascii="Archivo;sans-serif" w:hAnsi="Archivo;sans-serif"/>
          <w:b w:val="false"/>
          <w:color w:val="000000"/>
          <w:sz w:val="16"/>
        </w:rPr>
        <w:t>The number of shares of the Registrant's Common Stock outstanding as of July 31, 2026 was 144,435,501.</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8X8, INC.</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INDEX TO QUARTERLY REPORT ON FORM 10-Q</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FOR THE QUARTER ENDED JUNE 30, 2026</w:t>
      </w:r>
    </w:p>
    <w:tbl>
      <w:tblPr>
        <w:tblW w:w="9376" w:type="dxa"/>
        <w:jc w:val="left"/>
        <w:tblInd w:w="0" w:type="dxa"/>
        <w:tblLayout w:type="fixed"/>
        <w:tblCellMar>
          <w:top w:w="28" w:type="dxa"/>
          <w:left w:w="28" w:type="dxa"/>
          <w:bottom w:w="28" w:type="dxa"/>
          <w:right w:w="28" w:type="dxa"/>
        </w:tblCellMar>
      </w:tblPr>
      <w:tblGrid>
        <w:gridCol w:w="3159"/>
        <w:gridCol w:w="2775"/>
        <w:gridCol w:w="2781"/>
        <w:gridCol w:w="193"/>
        <w:gridCol w:w="193"/>
        <w:gridCol w:w="275"/>
      </w:tblGrid>
      <w:tr>
        <w:trPr/>
        <w:tc>
          <w:tcPr>
            <w:tcW w:w="315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Page</w:t>
            </w:r>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0">
              <w:r>
                <w:rPr>
                  <w:rStyle w:val="InternetLink"/>
                  <w:rFonts w:ascii="Archivo;sans-serif" w:hAnsi="Archivo;sans-serif"/>
                  <w:b/>
                  <w:strike w:val="false"/>
                  <w:dstrike w:val="false"/>
                  <w:color w:val="0000FF"/>
                  <w:sz w:val="18"/>
                  <w:u w:val="none"/>
                  <w:effect w:val="none"/>
                </w:rPr>
                <w:t>Forward-Looking Statements and Risk Factors</w:t>
              </w:r>
            </w:hyperlink>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ede2fa447d824d62b81fe529ff9b7a10_5782">
              <w:r>
                <w:rPr>
                  <w:rStyle w:val="InternetLink"/>
                  <w:rFonts w:ascii="Archivo;sans-serif" w:hAnsi="Archivo;sans-serif"/>
                  <w:b w:val="false"/>
                  <w:strike w:val="false"/>
                  <w:dstrike w:val="false"/>
                  <w:color w:val="0000FF"/>
                  <w:sz w:val="18"/>
                  <w:u w:val="none"/>
                  <w:effect w:val="none"/>
                </w:rPr>
                <w:t>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3">
              <w:r>
                <w:rPr>
                  <w:rStyle w:val="InternetLink"/>
                  <w:rFonts w:ascii="Archivo;sans-serif" w:hAnsi="Archivo;sans-serif"/>
                  <w:b/>
                  <w:strike w:val="false"/>
                  <w:dstrike w:val="false"/>
                  <w:color w:val="0000FF"/>
                  <w:sz w:val="18"/>
                  <w:u w:val="none"/>
                  <w:effect w:val="none"/>
                </w:rPr>
                <w:t>PART I. FINANCIAL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df96883f0b4e76a4b6816960c322ad_33">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6">
              <w:r>
                <w:rPr>
                  <w:rStyle w:val="InternetLink"/>
                  <w:rFonts w:ascii="Archivo;sans-serif" w:hAnsi="Archivo;sans-serif"/>
                  <w:b w:val="false"/>
                  <w:strike w:val="false"/>
                  <w:dstrike w:val="false"/>
                  <w:color w:val="0000FF"/>
                  <w:sz w:val="18"/>
                  <w:u w:val="none"/>
                  <w:effect w:val="none"/>
                </w:rPr>
                <w:t>Item 1. Financial Statements (unaudited):</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681f158e984464b617d7a490b8265f_32">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9">
              <w:r>
                <w:rPr>
                  <w:rStyle w:val="InternetLink"/>
                  <w:rFonts w:ascii="Archivo;sans-serif" w:hAnsi="Archivo;sans-serif"/>
                  <w:b w:val="false"/>
                  <w:strike w:val="false"/>
                  <w:dstrike w:val="false"/>
                  <w:color w:val="0000FF"/>
                  <w:sz w:val="18"/>
                  <w:u w:val="none"/>
                  <w:effect w:val="none"/>
                </w:rPr>
                <w:t>Condensed 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c3e816fbd248b8ae19c3eab529d0f7_106">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22">
              <w:r>
                <w:rPr>
                  <w:rStyle w:val="InternetLink"/>
                  <w:rFonts w:ascii="Archivo;sans-serif" w:hAnsi="Archivo;sans-serif"/>
                  <w:b w:val="false"/>
                  <w:strike w:val="false"/>
                  <w:dstrike w:val="false"/>
                  <w:color w:val="0000FF"/>
                  <w:sz w:val="18"/>
                  <w:u w:val="none"/>
                  <w:effect w:val="none"/>
                </w:rPr>
                <w:t>Condensed Consolidated Statements of Operations and Comprehensive Income (Loss</w:t>
              </w:r>
            </w:hyperlink>
            <w:r>
              <w:rPr>
                <w:rFonts w:ascii="Archivo;sans-serif" w:hAnsi="Archivo;sans-serif"/>
                <w:b w:val="false"/>
                <w:color w:val="000000"/>
                <w:sz w:val="18"/>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78b7ce30ae46e2a0c578f9e3cd665c_146">
              <w:r>
                <w:rPr>
                  <w:rStyle w:val="InternetLink"/>
                  <w:rFonts w:ascii="Archivo;sans-serif" w:hAnsi="Archivo;sans-serif"/>
                  <w:b w:val="false"/>
                  <w:strike w:val="false"/>
                  <w:dstrike w:val="false"/>
                  <w:color w:val="0000FF"/>
                  <w:sz w:val="18"/>
                  <w:u w:val="none"/>
                  <w:effect w:val="none"/>
                </w:rPr>
                <w:t>4</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25">
              <w:r>
                <w:rPr>
                  <w:rStyle w:val="InternetLink"/>
                  <w:rFonts w:ascii="Archivo;sans-serif" w:hAnsi="Archivo;sans-serif"/>
                  <w:b w:val="false"/>
                  <w:strike w:val="false"/>
                  <w:dstrike w:val="false"/>
                  <w:color w:val="0000FF"/>
                  <w:sz w:val="18"/>
                  <w:u w:val="none"/>
                  <w:effect w:val="none"/>
                </w:rPr>
                <w:t>Condensed Consolidated Statements of Stockholders' Equity</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1dceeae54648f1ba60f0544fbdbc68_101">
              <w:r>
                <w:rPr>
                  <w:rStyle w:val="InternetLink"/>
                  <w:rFonts w:ascii="Archivo;sans-serif" w:hAnsi="Archivo;sans-serif"/>
                  <w:b w:val="false"/>
                  <w:strike w:val="false"/>
                  <w:dstrike w:val="false"/>
                  <w:color w:val="0000FF"/>
                  <w:sz w:val="18"/>
                  <w:u w:val="none"/>
                  <w:effect w:val="none"/>
                </w:rPr>
                <w:t>5</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28">
              <w:r>
                <w:rPr>
                  <w:rStyle w:val="InternetLink"/>
                  <w:rFonts w:ascii="Archivo;sans-serif" w:hAnsi="Archivo;sans-serif"/>
                  <w:b w:val="false"/>
                  <w:strike w:val="false"/>
                  <w:dstrike w:val="false"/>
                  <w:color w:val="0000FF"/>
                  <w:sz w:val="18"/>
                  <w:u w:val="none"/>
                  <w:effect w:val="none"/>
                </w:rPr>
                <w:t>Condensed 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e5abc8c52e4c919322c576d970fab6_88">
              <w:r>
                <w:rPr>
                  <w:rStyle w:val="InternetLink"/>
                  <w:rFonts w:ascii="Archivo;sans-serif" w:hAnsi="Archivo;sans-serif"/>
                  <w:b w:val="false"/>
                  <w:strike w:val="false"/>
                  <w:dstrike w:val="false"/>
                  <w:color w:val="0000FF"/>
                  <w:sz w:val="18"/>
                  <w:u w:val="none"/>
                  <w:effect w:val="none"/>
                </w:rPr>
                <w:t>6</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31">
              <w:r>
                <w:rPr>
                  <w:rStyle w:val="InternetLink"/>
                  <w:rFonts w:ascii="Archivo;sans-serif" w:hAnsi="Archivo;sans-serif"/>
                  <w:b w:val="false"/>
                  <w:strike w:val="false"/>
                  <w:dstrike w:val="false"/>
                  <w:color w:val="0000FF"/>
                  <w:sz w:val="18"/>
                  <w:u w:val="none"/>
                  <w:effect w:val="none"/>
                </w:rPr>
                <w:t>Notes to Unaudited Condensed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367c40decf842a7bde99cf6a9b79c89_78">
              <w:r>
                <w:rPr>
                  <w:rStyle w:val="InternetLink"/>
                  <w:rFonts w:ascii="Archivo;sans-serif" w:hAnsi="Archivo;sans-serif"/>
                  <w:b w:val="false"/>
                  <w:strike w:val="false"/>
                  <w:dstrike w:val="false"/>
                  <w:color w:val="0000FF"/>
                  <w:sz w:val="18"/>
                  <w:u w:val="none"/>
                  <w:effect w:val="none"/>
                </w:rPr>
                <w:t>7</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76">
              <w:r>
                <w:rPr>
                  <w:rStyle w:val="InternetLink"/>
                  <w:rFonts w:ascii="Archivo;sans-serif" w:hAnsi="Archivo;sans-serif"/>
                  <w:b w:val="false"/>
                  <w:strike w:val="false"/>
                  <w:dstrike w:val="false"/>
                  <w:color w:val="0000FF"/>
                  <w:sz w:val="18"/>
                  <w:u w:val="none"/>
                  <w:effect w:val="none"/>
                </w:rPr>
                <w:t>Item 2. Management's Discussion and Analysis of Financial Condition and Results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db9d652324f518e3bb4a043fc1705_97">
              <w:r>
                <w:rPr>
                  <w:rStyle w:val="InternetLink"/>
                  <w:rFonts w:ascii="Archivo;sans-serif" w:hAnsi="Archivo;sans-serif"/>
                  <w:b w:val="false"/>
                  <w:strike w:val="false"/>
                  <w:dstrike w:val="false"/>
                  <w:color w:val="0000FF"/>
                  <w:sz w:val="18"/>
                  <w:u w:val="none"/>
                  <w:effect w:val="none"/>
                </w:rPr>
                <w:t>21</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97">
              <w:r>
                <w:rPr>
                  <w:rStyle w:val="InternetLink"/>
                  <w:rFonts w:ascii="Archivo;sans-serif" w:hAnsi="Archivo;sans-serif"/>
                  <w:b w:val="false"/>
                  <w:strike w:val="false"/>
                  <w:dstrike w:val="false"/>
                  <w:color w:val="0000FF"/>
                  <w:sz w:val="18"/>
                  <w:u w:val="none"/>
                  <w:effect w:val="none"/>
                </w:rPr>
                <w:t>Item 3. Quantitative and Qualitative Disclosures About Market Risk</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3fe77e0c9740309662d8e69c5029de_329">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00">
              <w:r>
                <w:rPr>
                  <w:rStyle w:val="InternetLink"/>
                  <w:rFonts w:ascii="Archivo;sans-serif" w:hAnsi="Archivo;sans-serif"/>
                  <w:b w:val="false"/>
                  <w:strike w:val="false"/>
                  <w:dstrike w:val="false"/>
                  <w:color w:val="0000FF"/>
                  <w:sz w:val="18"/>
                  <w:u w:val="none"/>
                  <w:effect w:val="none"/>
                </w:rPr>
                <w:t>Item 4. Controls and Procedures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9cbc66231a49018cf85ac638f76804_1613">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03">
              <w:r>
                <w:rPr>
                  <w:rStyle w:val="InternetLink"/>
                  <w:rFonts w:ascii="Archivo;sans-serif" w:hAnsi="Archivo;sans-serif"/>
                  <w:b/>
                  <w:strike w:val="false"/>
                  <w:dstrike w:val="false"/>
                  <w:color w:val="0000FF"/>
                  <w:sz w:val="18"/>
                  <w:u w:val="none"/>
                  <w:effect w:val="none"/>
                </w:rPr>
                <w:t>PART II.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ddca64bc2847b6b2846a872682aeca_30">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06">
              <w:r>
                <w:rPr>
                  <w:rStyle w:val="InternetLink"/>
                  <w:rFonts w:ascii="Archivo;sans-serif" w:hAnsi="Archivo;sans-serif"/>
                  <w:b w:val="false"/>
                  <w:strike w:val="false"/>
                  <w:dstrike w:val="false"/>
                  <w:color w:val="0000FF"/>
                  <w:sz w:val="18"/>
                  <w:u w:val="none"/>
                  <w:effect w:val="none"/>
                </w:rPr>
                <w:t>Item 1. Legal Proceedings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aef08609d34ae38ba80df7800ef93e_326">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09">
              <w:r>
                <w:rPr>
                  <w:rStyle w:val="InternetLink"/>
                  <w:rFonts w:ascii="Archivo;sans-serif" w:hAnsi="Archivo;sans-serif"/>
                  <w:b w:val="false"/>
                  <w:strike w:val="false"/>
                  <w:dstrike w:val="false"/>
                  <w:color w:val="0000FF"/>
                  <w:sz w:val="18"/>
                  <w:u w:val="none"/>
                  <w:effect w:val="none"/>
                </w:rPr>
                <w:t>Item 1A. Risk Factors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5fa26823fd461ba9896f26f605ab34_663">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12">
              <w:r>
                <w:rPr>
                  <w:rStyle w:val="InternetLink"/>
                  <w:rFonts w:ascii="Archivo;sans-serif" w:hAnsi="Archivo;sans-serif"/>
                  <w:b w:val="false"/>
                  <w:strike w:val="false"/>
                  <w:dstrike w:val="false"/>
                  <w:color w:val="0000FF"/>
                  <w:sz w:val="18"/>
                  <w:u w:val="none"/>
                  <w:effect w:val="none"/>
                </w:rPr>
                <w:t>Item 2. Unregistered Sales of Equity Securities and Use of Proceeds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409b42d49c433c873bcd5843c433ad_720">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15">
              <w:r>
                <w:rPr>
                  <w:rStyle w:val="InternetLink"/>
                  <w:rFonts w:ascii="Archivo;sans-serif" w:hAnsi="Archivo;sans-serif"/>
                  <w:b w:val="false"/>
                  <w:strike w:val="false"/>
                  <w:dstrike w:val="false"/>
                  <w:color w:val="0000FF"/>
                  <w:sz w:val="18"/>
                  <w:u w:val="none"/>
                  <w:effect w:val="none"/>
                </w:rPr>
                <w:t>Item 3. Defaults Upon Senior Securities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deff7887ca465996de7030a3f409b7_49">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18">
              <w:r>
                <w:rPr>
                  <w:rStyle w:val="InternetLink"/>
                  <w:rFonts w:ascii="Archivo;sans-serif" w:hAnsi="Archivo;sans-serif"/>
                  <w:b w:val="false"/>
                  <w:strike w:val="false"/>
                  <w:dstrike w:val="false"/>
                  <w:color w:val="0000FF"/>
                  <w:sz w:val="18"/>
                  <w:u w:val="none"/>
                  <w:effect w:val="none"/>
                </w:rPr>
                <w:t>Item 4. Mine Safety Disclosures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a741ad037974edda3d68ce5461d01d4_51">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21">
              <w:r>
                <w:rPr>
                  <w:rStyle w:val="InternetLink"/>
                  <w:rFonts w:ascii="Archivo;sans-serif" w:hAnsi="Archivo;sans-serif"/>
                  <w:b w:val="false"/>
                  <w:strike w:val="false"/>
                  <w:dstrike w:val="false"/>
                  <w:color w:val="0000FF"/>
                  <w:sz w:val="18"/>
                  <w:u w:val="none"/>
                  <w:effect w:val="none"/>
                </w:rPr>
                <w:t>Item 5.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ef20a294b345e6b241e1d78101e038_1368">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0140fa273b4bc0a628c148305beaa5_127">
              <w:r>
                <w:rPr>
                  <w:rStyle w:val="InternetLink"/>
                  <w:rFonts w:ascii="Archivo;sans-serif" w:hAnsi="Archivo;sans-serif"/>
                  <w:b w:val="false"/>
                  <w:strike w:val="false"/>
                  <w:dstrike w:val="false"/>
                  <w:color w:val="0000FF"/>
                  <w:sz w:val="18"/>
                  <w:u w:val="none"/>
                  <w:effect w:val="none"/>
                </w:rPr>
                <w:t>Item 6. Exhibits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c91f2d08de4669b68b8a28efaa1bb9_21">
              <w:r>
                <w:rPr>
                  <w:rStyle w:val="InternetLink"/>
                  <w:rFonts w:ascii="Archivo;sans-serif" w:hAnsi="Archivo;sans-serif"/>
                  <w:b w:val="false"/>
                  <w:strike w:val="false"/>
                  <w:dstrike w:val="false"/>
                  <w:color w:val="0000FF"/>
                  <w:sz w:val="18"/>
                  <w:u w:val="none"/>
                  <w:effect w:val="none"/>
                </w:rPr>
                <w:t>31</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30140fa273b4bc0a628c148305beaa5_130">
              <w:r>
                <w:rPr>
                  <w:rStyle w:val="InternetLink"/>
                  <w:rFonts w:ascii="Archivo;sans-serif" w:hAnsi="Archivo;sans-serif"/>
                  <w:b/>
                  <w:strike w:val="false"/>
                  <w:dstrike w:val="false"/>
                  <w:color w:val="0000FF"/>
                  <w:sz w:val="18"/>
                  <w:u w:val="none"/>
                  <w:effect w:val="none"/>
                </w:rPr>
                <w:t>Signature</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68a989ef1b743f29bc262f4ce8a5966_337">
              <w:r>
                <w:rPr>
                  <w:rStyle w:val="InternetLink"/>
                  <w:rFonts w:ascii="Archivo;sans-serif" w:hAnsi="Archivo;sans-serif"/>
                  <w:b w:val="false"/>
                  <w:strike w:val="false"/>
                  <w:dstrike w:val="false"/>
                  <w:color w:val="0000FF"/>
                  <w:sz w:val="18"/>
                  <w:u w:val="none"/>
                  <w:effect w:val="non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3"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18"/>
        </w:rPr>
      </w:pPr>
      <w:bookmarkStart w:id="1" w:name="iede2fa447d824d62b81fe529ff9b7a10_5782"/>
      <w:bookmarkEnd w:id="1"/>
      <w:r>
        <w:rPr>
          <w:rFonts w:ascii="Archivo;sans-serif" w:hAnsi="Archivo;sans-serif"/>
          <w:b/>
          <w:color w:val="000000"/>
          <w:sz w:val="18"/>
        </w:rPr>
        <w:t>Forward-Looking Statements and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Statements contained in this quarterly report on Form 10-Q, or this "Quarterly Report", regarding our expectations, beliefs, estimates, intentions or strategies are “forward-looking statements” within the meaning of the Private Securities Litigation Reform Act of 1995, Section 27A of the Securities Act of 1933 (the "Securities Act"), and Section 21E of the Securities Exchange Act of 1934 (the "Exchange Act"), in each case, as amended from time to time. Any statements contained herein that are not statements of historical fact may be deemed to be forward-looking statements. For example, words such as "may," "will," "should," "estimates," "predicts," "potential," "continue," "strategy," "believes," "anticipates," "plans," "expects," "intends," “opportunity,” and similar expressions are intended to identify forward-looking statements.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Forward-looking statements contained in this Quarterly Report include, but are not limited to, statements about: our future financial performance, including revenue, margins, and operating expenses; trends in our business and the technology industry; the sufficiency of our cash, cash equivalents, investments, and operating cash flows to meet our liquidity needs; our ability to service and refinance our debt; our market position, opportunity, and growth strategy; our ability to compete successfully; our product strategy, innovation efforts and evolving artificial intelligence ("AI") capabilities; our ability to operate under evolving macroeconomic conditions, including geopolitical instability, tariffs, inflationary pressures, increased interest rates, supply chain disruptions, decreased economic output, and currency volatility; our ability to attract and retain customers; our ability to expand into new markets and internationally; our ability to manage growth and future expenses; and the impact of recent accounting pronouncements on our consolidated financial statements.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Forward-looking statements may appear throughout this Quarterly Report, including in the section entitled: “Management’s Discussion and Analysis of Financial Condition and Results of Operations” (Part I, Item 2). We describe risks and uncertainties that could impact forward-looking statements or cause actual results and events to differ materially in the sections entitled “Risk Factors,” “Management’s Discussion and Analysis of Financial Condition and Results of Operations,” and “Quantitative and Qualitative Disclosures About Market Risk” (Part II, Item 7A of our Annual Report on Form 10-K for the fiscal year ended March 31, 2026, as filed with the Securities and Exchange Commission (the "SEC") on May 22, 2026 (the "Form 10-K")).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fiscal year ends on March 31 of each calendar year. Each reference to a fiscal year in this Quarterly Report refers to the fiscal year ended March 31 of the calendar year indicated (for example, fiscal 2027 refers to the fiscal year ending March 31, 2027). Unless the context requires otherwise, references to "we," "us," "our," "8x8," and the "Company" refer to 8x8, Inc. and its consolidated subsidiaries. All dollar amounts within this Quarterly Report are in thousands of United States Dollars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4"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20"/>
        </w:rPr>
      </w:pPr>
      <w:bookmarkStart w:id="2" w:name="i36df96883f0b4e76a4b6816960c322ad_33"/>
      <w:bookmarkEnd w:id="2"/>
      <w:r>
        <w:rPr>
          <w:rFonts w:ascii="Archivo;sans-serif" w:hAnsi="Archiv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chivo;sans-serif" w:hAnsi="Archivo;sans-serif"/>
          <w:b/>
          <w:color w:val="000000"/>
          <w:sz w:val="22"/>
        </w:rPr>
      </w:pPr>
      <w:bookmarkStart w:id="3" w:name="i42681f158e984464b617d7a490b8265f_32"/>
      <w:bookmarkEnd w:id="3"/>
      <w:r>
        <w:rPr>
          <w:rFonts w:ascii="Archivo;sans-serif" w:hAnsi="Archivo;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chivo;sans-serif" w:hAnsi="Archivo;sans-serif"/>
          <w:b/>
          <w:color w:val="000000"/>
          <w:sz w:val="20"/>
        </w:rPr>
      </w:pPr>
      <w:bookmarkStart w:id="4" w:name="i7dc3e816fbd248b8ae19c3eab529d0f7_106"/>
      <w:bookmarkEnd w:id="4"/>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BALANCE SHEETS</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2"/>
        <w:gridCol w:w="2096"/>
        <w:gridCol w:w="2070"/>
        <w:gridCol w:w="237"/>
        <w:gridCol w:w="996"/>
        <w:gridCol w:w="114"/>
        <w:gridCol w:w="109"/>
        <w:gridCol w:w="109"/>
        <w:gridCol w:w="109"/>
        <w:gridCol w:w="248"/>
        <w:gridCol w:w="1041"/>
        <w:gridCol w:w="174"/>
      </w:tblGrid>
      <w:tr>
        <w:trPr/>
        <w:tc>
          <w:tcPr>
            <w:tcW w:w="2902"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assets: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90,595 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93,260 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cash</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receivable,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70,428 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57,004 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23,174 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25,193 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37,809 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32,650 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assets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223,713 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209,809 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Property and equipment,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44,552 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45,821 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right-of-use assets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28,184 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Intangible assets,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53,776 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57,589 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Goodwill</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276,372 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34,562 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assets, non-current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672,806 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662,821 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LIABILITIES AND STOCKHOLDERS' EQUITY</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liabilities: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payable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38,121 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36,714 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and other liabilities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35,334 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36,699 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 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37,277 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liabilities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213,490 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192,855 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39,473 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39,100 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Convertible senior notes,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200,091 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199,830 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 non-current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69,985 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82,431 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liabilities,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524,989 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516,212 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 xml:space="preserve">Commitments and contingencies (Note </w:t>
            </w:r>
            <w:hyperlink w:anchor="if30140fa273b4bc0a628c148305beaa5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Preferred stock: $0.001 par value, 5,000 shares authorized, none issued and outstanding as of June 30, 2026 and March 31, 2026</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Common stock: $0.001 par value, 300,000 shares authorized, 143,970 shares and 141,164 shares issued and outstanding as of June 30, 2026 and March 31, 2026, respectively</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Additional paid-in capital</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1,041,051 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1,038,745 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other comprehensive loss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deficit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(887,273)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(886,073)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stockholders' equity</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147,817 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146,609 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 and stockholders' equity</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672,806 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662,821 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11175"/>
                <wp:effectExtent l="0" t="0" r="0" b="0"/>
                <wp:wrapNone/>
                <wp:docPr id="5" name="Frame4"/>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5" w:name="i2e78b7ce30ae46e2a0c578f9e3cd665c_146"/>
      <w:bookmarkEnd w:id="5"/>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OPERATIONS AND COMPREHENSIVE INCOME (LOSS)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tbl>
      <w:tblPr>
        <w:tblW w:w="7364" w:type="dxa"/>
        <w:jc w:val="left"/>
        <w:tblInd w:w="0" w:type="dxa"/>
        <w:tblLayout w:type="fixed"/>
        <w:tblCellMar>
          <w:top w:w="28" w:type="dxa"/>
          <w:left w:w="28" w:type="dxa"/>
          <w:bottom w:w="28" w:type="dxa"/>
          <w:right w:w="28" w:type="dxa"/>
        </w:tblCellMar>
      </w:tblPr>
      <w:tblGrid>
        <w:gridCol w:w="1369"/>
        <w:gridCol w:w="1201"/>
        <w:gridCol w:w="1210"/>
        <w:gridCol w:w="242"/>
        <w:gridCol w:w="1017"/>
        <w:gridCol w:w="117"/>
        <w:gridCol w:w="117"/>
        <w:gridCol w:w="117"/>
        <w:gridCol w:w="117"/>
        <w:gridCol w:w="242"/>
        <w:gridCol w:w="1017"/>
        <w:gridCol w:w="117"/>
        <w:gridCol w:w="109"/>
        <w:gridCol w:w="109"/>
        <w:gridCol w:w="109"/>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185,346 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176,308 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190,170 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181,361 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67,635 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53,822 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cost of revenue</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73,799 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60,921 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Gross profit</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116,371 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120,440 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expenses:</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28,406 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68,184 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operating expenses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111,992 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119,875 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from operations</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before provision for income taxes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(3,039)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loss per share:</w:t>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 and diluted</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number of shares:</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 and diluted</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141,973 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Comprehensive income (loss)</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Comprehensive income (loss)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1,943 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11175"/>
                <wp:effectExtent l="0" t="0" r="0" b="0"/>
                <wp:wrapNone/>
                <wp:docPr id="6" name="Frame5"/>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6" w:name="i291dceeae54648f1ba60f0544fbdbc68_101"/>
      <w:bookmarkEnd w:id="6"/>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STOCKHOLDERS' EQUITY</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1108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26"/>
        <w:gridCol w:w="94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2026</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141,164 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(6,204)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(886,073)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2026</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143,970 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1,041,051 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(6,105)</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(887,273)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147,817 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8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26"/>
        <w:gridCol w:w="94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2025</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134,355 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1,018,902 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(9,111)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(887,721)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Repurchase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2025</w:t>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135,747 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(2,853)</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(892,036)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128,190 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11175"/>
                <wp:effectExtent l="0" t="0" r="0" b="0"/>
                <wp:wrapNone/>
                <wp:docPr id="7" name="Frame6"/>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7" w:name="i3ee5abc8c52e4c919322c576d970fab6_88"/>
      <w:bookmarkEnd w:id="7"/>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CASH FLOWS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10205" w:type="dxa"/>
        <w:jc w:val="center"/>
        <w:tblInd w:w="0" w:type="dxa"/>
        <w:tblLayout w:type="fixed"/>
        <w:tblCellMar>
          <w:top w:w="28" w:type="dxa"/>
          <w:left w:w="28" w:type="dxa"/>
          <w:bottom w:w="28" w:type="dxa"/>
          <w:right w:w="28" w:type="dxa"/>
        </w:tblCellMar>
      </w:tblPr>
      <w:tblGrid>
        <w:gridCol w:w="2566"/>
        <w:gridCol w:w="2243"/>
        <w:gridCol w:w="2256"/>
        <w:gridCol w:w="263"/>
        <w:gridCol w:w="963"/>
        <w:gridCol w:w="126"/>
        <w:gridCol w:w="126"/>
        <w:gridCol w:w="126"/>
        <w:gridCol w:w="126"/>
        <w:gridCol w:w="263"/>
        <w:gridCol w:w="963"/>
        <w:gridCol w:w="184"/>
      </w:tblGrid>
      <w:tr>
        <w:trPr/>
        <w:tc>
          <w:tcPr>
            <w:tcW w:w="256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operating activities:</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Adjustments to reconcile net loss to net cash provided by operating activities:</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Depreciation</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intangible assets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capitalized internal-use software costs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deferred contract acquisition costs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8,956 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Allowance for credit losses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expense, net of accretion</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on debt extinguishment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Gain on remeasurement of warrants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Changes in assets and liabilities:</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receivable,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(14,407)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(9,503)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(4,471)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and non-current assets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(2,997)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payable and accrued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24,979 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3,347 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provided by operating activities</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11,873 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investing activities:</w:t>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Purchases of property and equipment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Capitalized internal-use software costs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Payments for other investing activities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used in investing activities</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(3,148)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(4,416)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financing activities:</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Repurchase of common stock</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Repayment of principal on term loan</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(15,000)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financing activities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used in financing activities</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(16,184)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(17,337)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Effect of exchange rate changes on cash</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2,788 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decrease in cash and cash equivalents</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(7,092)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cash equivalents and restricted cash, beginning of year</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94,962 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cash equivalents and restricted cash, end of period</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92,302 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82,232 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Supplemental disclosures of cash flow information:</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paid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taxes paid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Payables and accruals for property and equipment</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11175"/>
                <wp:effectExtent l="0" t="0" r="0" b="0"/>
                <wp:wrapNone/>
                <wp:docPr id="8" name="Frame7"/>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8" w:name="i5367c40decf842a7bde99cf6a9b79c89_78"/>
      <w:bookmarkEnd w:id="8"/>
      <w:r>
        <w:rPr>
          <w:rFonts w:ascii="Archivo;sans-serif" w:hAnsi="Archivo;sans-serif"/>
          <w:b/>
          <w:color w:val="000000"/>
          <w:sz w:val="20"/>
        </w:rPr>
        <w:t>8X8, INC.</w:t>
      </w:r>
    </w:p>
    <w:p>
      <w:pPr>
        <w:pStyle w:val="TextBody"/>
        <w:bidi w:val="0"/>
        <w:spacing w:lineRule="auto" w:line="288" w:before="0" w:after="360"/>
        <w:jc w:val="center"/>
        <w:rPr>
          <w:rFonts w:ascii="Archivo;sans-serif" w:hAnsi="Archivo;sans-serif"/>
          <w:b/>
          <w:color w:val="000000"/>
          <w:sz w:val="20"/>
        </w:rPr>
      </w:pPr>
      <w:r>
        <w:rPr>
          <w:rFonts w:ascii="Archivo;sans-serif" w:hAnsi="Archivo;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 The Company and Significant Accounting Policies</w:t>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The Company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8x8, Inc. ("8x8" or the "Company") was incorporated in California in February 1987 and was reincorporated in Delaware in December 1996. The Company trades under the symbol "EGHT" on the Nasdaq Global Select Market.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Basis of Presentation and Consolidation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2026 and notes thereto included in the Form 10-K.</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unaudited condensed consolidated financial statements include the accounts of the Company and its wholly owned subsidiaries. All material intercompany accounts and transactions have been eliminated in consolidation. The Company conducts its operations through one operating and reportable segment.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2027.</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Use of Estimates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preparation of the condensed consolidated financial statements in conformity with U.S. GAAP requires management to make estimates and assumptions that affect the reported amounts of assets, liabilities and equity,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revenue recognition,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contract acquisition costs, stock-based compensation, incremental borrowing rate used to calculate operating lease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Significant Accounting Policies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There have been no material changes from the significant accounting policies previously disclosed in Part II, Item 8 of the Form 10-K, except for the following:</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Net Income (Loss) Per Share</w:t>
      </w:r>
    </w:p>
    <w:p>
      <w:pPr>
        <w:pStyle w:val="TextBody"/>
        <w:bidi w:val="0"/>
        <w:spacing w:lineRule="auto" w:line="288" w:before="160" w:after="160"/>
        <w:jc w:val="both"/>
        <w:rPr/>
      </w:pPr>
      <w:r>
        <w:rPr>
          <w:rFonts w:ascii="Archivo;sans-serif" w:hAnsi="Archivo;sans-serif"/>
          <w:b w:val="false"/>
          <w:color w:val="000000"/>
          <w:sz w:val="18"/>
        </w:rPr>
        <w:t xml:space="preserve">Basic net income (loss) per share is computed by dividing net income (loss) available to stockholders (numerator) by the weighted average number of vested, unrestricted shares of common stock outstanding during the period (denominator). Diluted net income per share is computed on the basis of the weighted average number of shares of common stock, plus the effect of dilutive potential shares of common stock outstanding during the period. Dilutive potential shares of common stock from stock options, shares under the Amended and Restated 1996 Employee Stock Purchase Plan (the "ESPP"), Restricted Stock Units ("RSUs"), Performance Stock Units ("PSUs") and warrants are computed using the treasury stock method. Potential shares of common stock attributable to the Company's convertible senior notes due 2028 (the "2028 Notes") as discussed below in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are evaluated using the if-converted method, which requires testing both cash and share settlement assumptions and applying the more dilutive result. For periods where a net loss was recognized, basic and diluted net loss per share are the same, as the effect of potential shares of common stock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Change in Reporting Presentation</w:t>
      </w:r>
    </w:p>
    <w:p>
      <w:pPr>
        <w:pStyle w:val="TextBody"/>
        <w:bidi w:val="0"/>
        <w:spacing w:lineRule="auto" w:line="288" w:before="160" w:after="160"/>
        <w:jc w:val="both"/>
        <w:rPr/>
      </w:pPr>
      <w:r>
        <w:rPr>
          <w:rFonts w:ascii="Archivo;sans-serif" w:hAnsi="Archivo;sans-serif"/>
          <w:b w:val="false"/>
          <w:color w:val="000000"/>
          <w:sz w:val="18"/>
        </w:rPr>
        <w:t xml:space="preserve">The Company has revised its anti-dilutive shares disclosure for the three months ended June 30, 2025 to include approximately 28.2 million potential shares of common stock attributable to its 2028 Notes. These shares are anti-dilutive in all periods presented under the if-converted method. This revision had no impact on basic or diluted net loss per share and the condensed consolidated financial statements for any period presented. See Note </w:t>
      </w:r>
      <w:hyperlink w:anchor="if30140fa273b4bc0a628c148305beaa5_70">
        <w:r>
          <w:rPr>
            <w:rStyle w:val="InternetLink"/>
            <w:rFonts w:ascii="Archivo;sans-serif" w:hAnsi="Archivo;sans-serif"/>
            <w:b w:val="false"/>
            <w:strike w:val="false"/>
            <w:dstrike w:val="false"/>
            <w:color w:val="0000FF"/>
            <w:sz w:val="18"/>
            <w:u w:val="none"/>
            <w:effect w:val="none"/>
          </w:rPr>
          <w:t>11</w:t>
        </w:r>
      </w:hyperlink>
      <w:r>
        <w:rPr>
          <w:rFonts w:ascii="Archivo;sans-serif" w:hAnsi="Archivo;sans-serif"/>
          <w:b w:val="false"/>
          <w:color w:val="000000"/>
          <w:sz w:val="18"/>
        </w:rPr>
        <w:t>, Net Loss Per Share, for further details.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Recently Adopted Accounting Pronouncements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2024-04, Debt - Debt with Conversion and Other Options (Subtopic 470-20): Induced Conversions of Convertible Debt Instruments, which clarifies whether the induced conversion guidance can be applied to the settlement of a convertible debt instrument that does not require the issuance of equity securities upon conversion. This update is effective for annual reporting periods beginning after December 15, 2025, and interim reporting periods within those annual reporting periods. The Company has adopted ASU 2024-04 on a prospective basis, and this ASU does not have a material impact on the condensed consolidated financial statements.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July 2025, the FASB issued ASU 2025-05, Financial Instruments - Credit Losses (Topic 326): Measurement of Credit Losses for Accounts Receivable and Contract Assets, providing a practical expedient to calculating current expected credit loss by assuming that the current conditions as of the balance sheet date will not change for the remaining life of the asset. This expedient can only be applied to current accounts receivable and current contract assets. This update is effective for annual reporting periods beginning after December 15, 2025, and interim periods within those annual reporting periods, and this update is applied prospectively. The Company has elected the expedient and adopted ASU 2025-05 on a prospective basis during the three months ended June 30, 2026. This ASU does not have a material impact on the condensed consolidated financial statements.</w:t>
      </w:r>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Recently Issued Not Yet Adopted Accounting Pronouncements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2024-03, Disaggregation of Income Statement Expenses (Topic 220): Income Statement - Reporting Comprehensive Income - Expense Disaggregation Disclosures, and issued subsequent amendments to the implementation guidance (including ASU 2025-01), which requires companies to disclose additional information about specific expense categories in the notes to financial statements. This guidance will be effective for the Company's annual disclosures beginning for the fiscal year ending March 31, 2028 and for interim period disclosures beginning in the fiscal year ending March 31, 2029. The Company is currently evaluating the impact this guidance will have on the presentation of its condensed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September 2025, the FASB issued ASU 2025-06, Intangibles - Goodwill and Other - Internal-Use Software (Subtopic 350-40): Targeted Improvements to the Accounting for Internal-Use Software, which updates the accounting model by replacing the project stage approach with a probable-to-complete threshold, relocates website development guidance into Subtopic 350-40, and requires enhanced disclosures for capitalized software costs. This guidance will be effective for the Company's interim and annual disclosures beginning for the fiscal year ending March 31, 2029. The Company is currently evaluating the impact this guidance will have on its condensed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There have been no other recent accounting pronouncements, changes in accounting pronouncements or recently adopted accounting guidance during the three months ended June 30, 2026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2. Segment and Revenue Information</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Segment Information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operates in and reports its results in a single operating and reportable segment offering SaaS solutions through the Company's Platform for Customer Experience ("CX"), which delivers unified communications-as-a-service ("UCaaS"), contact center-as-a-service ("CCaaS"), and communications platform-as-a-service ("CPaaS"). The Company derives revenue in the United States, United Kingdom and other international geographical locations from service revenue, other revenue and manages the business activities on a consolidated basis.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Chief Executive Officer ("CEO"), who reviews operating results to make decisions about allocating resources and assessing performance for the entire Company, has been identified as the chief operating decision maker ("CODM"). The CEO manages and reviews financial information presented on a consolidated basis and uses consolidated net income (loss) for purposes of making operating decisions, evaluating operating expenses, assessing financial performance and the allocation of resources. The measure of segment assets is reported on the consolidated balance sheets as total assets. Our CODM does not assess segment performance or make decisions using asset or liability information. The consolidated financial information provided to the CODM, including significant expenses, is presented in a manner consistent with the information already disclosed in the accompanying condensed consolidated financial statements and the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Disaggregation of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believes that the nature, amount, timing, and uncertainty of its revenue and cash flows are most appropriately depicted by (i) geographic region and (ii) type of revenue or service provided. Revenue is disaggregated between subscription and platform usage, as these categories reflect key differences in economic characteristics, including recurring, over-time subscription revenue and variable, usage-based revenue driven by customer consumption.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sets forth the revenue geographic information based on the billing address of customers for each period (in thousands):</w:t>
      </w:r>
    </w:p>
    <w:tbl>
      <w:tblPr>
        <w:tblW w:w="5503" w:type="dxa"/>
        <w:jc w:val="left"/>
        <w:tblInd w:w="0" w:type="dxa"/>
        <w:tblLayout w:type="fixed"/>
        <w:tblCellMar>
          <w:top w:w="28" w:type="dxa"/>
          <w:left w:w="28" w:type="dxa"/>
          <w:bottom w:w="28" w:type="dxa"/>
          <w:right w:w="28" w:type="dxa"/>
        </w:tblCellMar>
      </w:tblPr>
      <w:tblGrid>
        <w:gridCol w:w="695"/>
        <w:gridCol w:w="610"/>
        <w:gridCol w:w="614"/>
        <w:gridCol w:w="242"/>
        <w:gridCol w:w="1017"/>
        <w:gridCol w:w="117"/>
        <w:gridCol w:w="117"/>
        <w:gridCol w:w="117"/>
        <w:gridCol w:w="117"/>
        <w:gridCol w:w="242"/>
        <w:gridCol w:w="1017"/>
        <w:gridCol w:w="117"/>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105,801 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113,091 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Kingdom</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33,320 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30,731 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International</w:t>
            </w:r>
            <w:r>
              <w:rPr>
                <w:rFonts w:ascii="Archivo;sans-serif" w:hAnsi="Archivo;sans-serif"/>
                <w:b w:val="false"/>
                <w:color w:val="000000"/>
                <w:sz w:val="12"/>
              </w:rPr>
              <w:t>1</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51,049 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37,539 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190,170 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181,361 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Service revenue consists of communication services subscriptions and platform usage revenue and related fees from our UCaaS, CCaaS and CPaaS offerings. Subscription, platform usage, and other revenue were as follows (in thousands):</w:t>
      </w:r>
    </w:p>
    <w:tbl>
      <w:tblPr>
        <w:tblW w:w="5849" w:type="dxa"/>
        <w:jc w:val="left"/>
        <w:tblInd w:w="0" w:type="dxa"/>
        <w:tblLayout w:type="fixed"/>
        <w:tblCellMar>
          <w:top w:w="28" w:type="dxa"/>
          <w:left w:w="28" w:type="dxa"/>
          <w:bottom w:w="28" w:type="dxa"/>
          <w:right w:w="28" w:type="dxa"/>
        </w:tblCellMar>
      </w:tblPr>
      <w:tblGrid>
        <w:gridCol w:w="820"/>
        <w:gridCol w:w="720"/>
        <w:gridCol w:w="725"/>
        <w:gridCol w:w="242"/>
        <w:gridCol w:w="1017"/>
        <w:gridCol w:w="117"/>
        <w:gridCol w:w="117"/>
        <w:gridCol w:w="117"/>
        <w:gridCol w:w="117"/>
        <w:gridCol w:w="242"/>
        <w:gridCol w:w="1017"/>
        <w:gridCol w:w="117"/>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Subscription revenue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137,429 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146,921 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Platform usage revenue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service revenue</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185,346 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176,308 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190,170 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181,361 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Contract Balances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contract assets and deferred revenue from contracts with customers (in thousands):</w:t>
      </w:r>
    </w:p>
    <w:tbl>
      <w:tblPr>
        <w:tblW w:w="10000" w:type="dxa"/>
        <w:jc w:val="left"/>
        <w:tblInd w:w="0" w:type="dxa"/>
        <w:tblLayout w:type="fixed"/>
        <w:tblCellMar>
          <w:top w:w="28" w:type="dxa"/>
          <w:left w:w="28" w:type="dxa"/>
          <w:bottom w:w="28" w:type="dxa"/>
          <w:right w:w="28" w:type="dxa"/>
        </w:tblCellMar>
      </w:tblPr>
      <w:tblGrid>
        <w:gridCol w:w="2358"/>
        <w:gridCol w:w="2073"/>
        <w:gridCol w:w="2078"/>
        <w:gridCol w:w="319"/>
        <w:gridCol w:w="997"/>
        <w:gridCol w:w="154"/>
        <w:gridCol w:w="109"/>
        <w:gridCol w:w="109"/>
        <w:gridCol w:w="109"/>
        <w:gridCol w:w="352"/>
        <w:gridCol w:w="1102"/>
        <w:gridCol w:w="240"/>
      </w:tblGrid>
      <w:tr>
        <w:trPr/>
        <w:tc>
          <w:tcPr>
            <w:tcW w:w="235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current (component of Other current assets)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6,113 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non-current (component of Other non-current assets)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6,356 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current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36,699 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Archivo;sans-serif" w:hAnsi="Archivo;sans-serif"/>
          <w:b w:val="false"/>
          <w:color w:val="000000"/>
          <w:sz w:val="18"/>
        </w:rPr>
        <w:t xml:space="preserve">Contract assets are recorded for contract consideration not yet invoiced but for which the performance obligations are completed. Contract assets, net of allowances for credit losses, are included in other current assets or other assets in the Company's condensed consolidated balance sheets, depending on if their reduction will be recognized during the succeeding twelve-month period or beyond. The allowance applied to our contract assets as of June 30, 2026 and March 31, 2026 and the activity in this account, including the current-period provision for expected credit losses for the three months ended June 30, 2026, was not material. As of March 31, 2025, contract assets, current and non-current were $7.0 million and $7.3 million, respectively. Accounts receivable, net, which also represents a contract balance arising from contracts with customers, including trade accounts receivable and unbilled trade accounts receivable, is disclosed in Note </w:t>
      </w:r>
      <w:hyperlink w:anchor="if30140fa273b4bc0a628c148305beaa5_46">
        <w:r>
          <w:rPr>
            <w:rStyle w:val="InternetLink"/>
            <w:rFonts w:ascii="Archivo;sans-serif" w:hAnsi="Archivo;sans-serif"/>
            <w:b w:val="false"/>
            <w:strike w:val="false"/>
            <w:dstrike w:val="false"/>
            <w:color w:val="0000FF"/>
            <w:sz w:val="18"/>
            <w:u w:val="none"/>
            <w:effect w:val="none"/>
          </w:rPr>
          <w:t>4</w:t>
        </w:r>
      </w:hyperlink>
      <w:r>
        <w:rPr>
          <w:rFonts w:ascii="Archivo;sans-serif" w:hAnsi="Archivo;sans-serif"/>
          <w:b w:val="false"/>
          <w:color w:val="000000"/>
          <w:sz w:val="18"/>
        </w:rPr>
        <w:t>, Financial Statement Components.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change in contract assets was primarily driven by the recognition of revenue for the fulfillment of performance obligations in advance of billing. The change in deferred revenue was primarily driven by the recognition of subscription and professional services revenue on previously invoiced non-monthly contracts, partially offset by new non-monthly invoices billed during the period. As of March 31, 2025, deferred revenue, current and non-current, was $37.8 million and $0.7 million, respectively. During the three months ended June 30, 2026 and June 30, 2025, the Company recognized revenue of approximately $18.2 million and $16.5 million that was included in deferred revenue at the beginning of the fiscal year, respectively.</w:t>
      </w:r>
    </w:p>
    <w:p>
      <w:pPr>
        <w:pStyle w:val="TextBody"/>
        <w:bidi w:val="0"/>
        <w:spacing w:lineRule="auto" w:line="288" w:before="0" w:after="0"/>
        <w:jc w:val="both"/>
        <w:rPr/>
      </w:pPr>
      <w:r>
        <w:rPr>
          <w:rFonts w:ascii="Archivo Light;serif" w:hAnsi="Archivo Light;serif"/>
          <w:b w:val="false"/>
          <w:color w:val="000000"/>
          <w:sz w:val="10"/>
        </w:rPr>
        <w:t>1</w:t>
      </w:r>
      <w:r>
        <w:rPr>
          <w:color w:val="000000"/>
        </w:rPr>
        <w:t xml:space="preserve"> </w:t>
      </w:r>
      <w:r>
        <w:rPr>
          <w:rFonts w:ascii="Archivo Light;serif" w:hAnsi="Archivo Light;serif"/>
          <w:b w:val="false"/>
          <w:color w:val="000000"/>
          <w:sz w:val="16"/>
        </w:rPr>
        <w:t>No individual country within "Other International" represented 10% or more of the Company’s total revenue for the three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Remaining Performance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subscription terms typically range from one year to five years. Contract revenue from the remaining performance obligations that had not yet been recognized as of June 30, 2026 was approximately $640.0 million. This amount excludes contracts with an original expected length of less than one year. The Company expects to recognize revenue on approximately 88% of the remaining performance obligations over the next 24 months, including approximately 64% of the remaining performance obligations estimated to be recognized within 12 months, and approximately 12% estimated to be recognized over the remainder of the subscription period.</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Deferred Contract Acquisition Costs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Deferred sales commissions are considered incremental and recoverable costs of acquiring customer contracts. Amortization of deferred contract acquisition costs for the three months ended June 30, 2026 and 2025 was approximately $7.1 million and $9.0 million, respectively. There were no material write-offs during the three months ended June 30, 2026 and 2025.</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deferred contract acquisition costs from contracts with customers (in thousands):</w:t>
      </w:r>
    </w:p>
    <w:tbl>
      <w:tblPr>
        <w:tblW w:w="7976" w:type="dxa"/>
        <w:jc w:val="left"/>
        <w:tblInd w:w="0" w:type="dxa"/>
        <w:tblLayout w:type="fixed"/>
        <w:tblCellMar>
          <w:top w:w="28" w:type="dxa"/>
          <w:left w:w="28" w:type="dxa"/>
          <w:bottom w:w="28" w:type="dxa"/>
          <w:right w:w="28" w:type="dxa"/>
        </w:tblCellMar>
      </w:tblPr>
      <w:tblGrid>
        <w:gridCol w:w="1625"/>
        <w:gridCol w:w="1428"/>
        <w:gridCol w:w="1432"/>
        <w:gridCol w:w="286"/>
        <w:gridCol w:w="1046"/>
        <w:gridCol w:w="138"/>
        <w:gridCol w:w="109"/>
        <w:gridCol w:w="109"/>
        <w:gridCol w:w="109"/>
        <w:gridCol w:w="317"/>
        <w:gridCol w:w="1161"/>
        <w:gridCol w:w="216"/>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23,174 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25,193 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34,235 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34,562 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3. Fair Value Measurements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cash equivalents, and available-for-sale investments were as follows (in thousands):</w:t>
      </w:r>
    </w:p>
    <w:tbl>
      <w:tblPr>
        <w:tblW w:w="9866" w:type="dxa"/>
        <w:jc w:val="left"/>
        <w:tblInd w:w="0" w:type="dxa"/>
        <w:tblLayout w:type="fixed"/>
        <w:tblCellMar>
          <w:top w:w="28" w:type="dxa"/>
          <w:left w:w="28" w:type="dxa"/>
          <w:bottom w:w="28" w:type="dxa"/>
          <w:right w:w="28" w:type="dxa"/>
        </w:tblCellMar>
      </w:tblPr>
      <w:tblGrid>
        <w:gridCol w:w="712"/>
        <w:gridCol w:w="630"/>
        <w:gridCol w:w="638"/>
        <w:gridCol w:w="109"/>
        <w:gridCol w:w="109"/>
        <w:gridCol w:w="109"/>
        <w:gridCol w:w="226"/>
        <w:gridCol w:w="826"/>
        <w:gridCol w:w="109"/>
        <w:gridCol w:w="109"/>
        <w:gridCol w:w="109"/>
        <w:gridCol w:w="109"/>
        <w:gridCol w:w="557"/>
        <w:gridCol w:w="2038"/>
        <w:gridCol w:w="269"/>
        <w:gridCol w:w="109"/>
        <w:gridCol w:w="109"/>
        <w:gridCol w:w="109"/>
        <w:gridCol w:w="598"/>
        <w:gridCol w:w="1872"/>
        <w:gridCol w:w="410"/>
      </w:tblGrid>
      <w:tr>
        <w:trPr/>
        <w:tc>
          <w:tcPr>
            <w:tcW w:w="71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June 30,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w:t>
              <w:br/>
              <w:t>(Current and Non-Current)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70,695 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90,595 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1,707 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66" w:type="dxa"/>
        <w:jc w:val="left"/>
        <w:tblInd w:w="0" w:type="dxa"/>
        <w:tblLayout w:type="fixed"/>
        <w:tblCellMar>
          <w:top w:w="28" w:type="dxa"/>
          <w:left w:w="28" w:type="dxa"/>
          <w:bottom w:w="28" w:type="dxa"/>
          <w:right w:w="28" w:type="dxa"/>
        </w:tblCellMar>
      </w:tblPr>
      <w:tblGrid>
        <w:gridCol w:w="712"/>
        <w:gridCol w:w="630"/>
        <w:gridCol w:w="638"/>
        <w:gridCol w:w="109"/>
        <w:gridCol w:w="109"/>
        <w:gridCol w:w="109"/>
        <w:gridCol w:w="226"/>
        <w:gridCol w:w="826"/>
        <w:gridCol w:w="109"/>
        <w:gridCol w:w="109"/>
        <w:gridCol w:w="109"/>
        <w:gridCol w:w="109"/>
        <w:gridCol w:w="557"/>
        <w:gridCol w:w="2038"/>
        <w:gridCol w:w="269"/>
        <w:gridCol w:w="109"/>
        <w:gridCol w:w="109"/>
        <w:gridCol w:w="109"/>
        <w:gridCol w:w="598"/>
        <w:gridCol w:w="1872"/>
        <w:gridCol w:w="410"/>
      </w:tblGrid>
      <w:tr>
        <w:trPr/>
        <w:tc>
          <w:tcPr>
            <w:tcW w:w="71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March 31,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w:t>
              <w:br/>
              <w:t>(Current and Non-Current)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74,645 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72,943 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20,317 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2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93,260 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As of June 30, 2025, cash, cash equivalents and restricted cash of $82.2 million included $81.3 million and $0.9 million of cash and cash equivalents and restricted cash, respectively.</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support its current operations, the Company considers all highly liquid investments with an original maturity of three months or less to be cash equivalents. The restricted cash component is related to accrued holdbacks for business combinations.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uses the Black-Scholes option-pricing valuation model to value its detachable warrants from inception and at each reporting period. During the three months ended June 30, 2026, the Company used historical volatility to determine the fair value of the warrants liability due to the low trading volume and moneyness assessment as of June 30, 2026. Changes in the fair values of the detachable warrants liability are recorded as a gain (loss) on warrants remeasurement within other income (expense), net in the condensed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pPr>
      <w:r>
        <w:rPr>
          <w:rFonts w:ascii="Archivo;sans-serif" w:hAnsi="Archivo;sans-serif"/>
          <w:b w:val="false"/>
          <w:color w:val="000000"/>
          <w:sz w:val="18"/>
        </w:rPr>
        <w:t xml:space="preserve">The following table presents additional information about valuation techniques and inputs used for the detachable warrants (see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that are measured at fair value and categorized within Level 3 as of June 30, 2026 and March 31, 2026 (dollars in thousands):</w:t>
      </w:r>
    </w:p>
    <w:tbl>
      <w:tblPr>
        <w:tblW w:w="7555" w:type="dxa"/>
        <w:jc w:val="left"/>
        <w:tblInd w:w="0" w:type="dxa"/>
        <w:tblLayout w:type="fixed"/>
        <w:tblCellMar>
          <w:top w:w="28" w:type="dxa"/>
          <w:left w:w="28" w:type="dxa"/>
          <w:bottom w:w="28" w:type="dxa"/>
          <w:right w:w="28" w:type="dxa"/>
        </w:tblCellMar>
      </w:tblPr>
      <w:tblGrid>
        <w:gridCol w:w="1473"/>
        <w:gridCol w:w="1292"/>
        <w:gridCol w:w="1299"/>
        <w:gridCol w:w="548"/>
        <w:gridCol w:w="264"/>
        <w:gridCol w:w="657"/>
        <w:gridCol w:w="109"/>
        <w:gridCol w:w="109"/>
        <w:gridCol w:w="109"/>
        <w:gridCol w:w="588"/>
        <w:gridCol w:w="282"/>
        <w:gridCol w:w="825"/>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Estimated fair value of detachable warrants</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Unobservable inputs:</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volatility</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79.4 </w:t>
            </w:r>
          </w:p>
        </w:tc>
        <w:tc>
          <w:tcPr>
            <w:tcW w:w="6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78.8 </w:t>
            </w:r>
          </w:p>
        </w:tc>
        <w:tc>
          <w:tcPr>
            <w:tcW w:w="82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Risk-free rate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4.0 </w:t>
            </w:r>
          </w:p>
        </w:tc>
        <w:tc>
          <w:tcPr>
            <w:tcW w:w="6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3.7 </w:t>
            </w:r>
          </w:p>
        </w:tc>
        <w:tc>
          <w:tcPr>
            <w:tcW w:w="82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Expected term</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 years</w:t>
            </w:r>
          </w:p>
        </w:tc>
      </w:tr>
    </w:tbl>
    <w:p>
      <w:pPr>
        <w:pStyle w:val="TextBody"/>
        <w:bidi w:val="0"/>
        <w:spacing w:lineRule="auto" w:line="288" w:before="0" w:after="160"/>
        <w:jc w:val="both"/>
        <w:rPr/>
      </w:pPr>
      <w:r>
        <w:rPr>
          <w:rFonts w:ascii="Archivo;sans-serif" w:hAnsi="Archivo;sans-serif"/>
          <w:b w:val="false"/>
          <w:color w:val="000000"/>
          <w:sz w:val="18"/>
        </w:rPr>
        <w:t xml:space="preserve">As of June 30, 2026 and March 31, 2026, the estimated fair value of the Company’s convertible senior notes due in 2028 was $186.5 million and $187.7 million, respectively (see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June 30, 2026 and March 31, 2026, the carrying value of the Company’s 2024 Term Loan approximates its estimated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4. Financial Statement Components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Accounts receivable, net consisted of the following (in thousands):</w:t>
      </w:r>
    </w:p>
    <w:tbl>
      <w:tblPr>
        <w:tblW w:w="6745" w:type="dxa"/>
        <w:jc w:val="left"/>
        <w:tblInd w:w="0" w:type="dxa"/>
        <w:tblLayout w:type="fixed"/>
        <w:tblCellMar>
          <w:top w:w="28" w:type="dxa"/>
          <w:left w:w="28" w:type="dxa"/>
          <w:bottom w:w="28" w:type="dxa"/>
          <w:right w:w="28" w:type="dxa"/>
        </w:tblCellMar>
      </w:tblPr>
      <w:tblGrid>
        <w:gridCol w:w="1178"/>
        <w:gridCol w:w="1037"/>
        <w:gridCol w:w="1039"/>
        <w:gridCol w:w="286"/>
        <w:gridCol w:w="1046"/>
        <w:gridCol w:w="138"/>
        <w:gridCol w:w="109"/>
        <w:gridCol w:w="109"/>
        <w:gridCol w:w="109"/>
        <w:gridCol w:w="317"/>
        <w:gridCol w:w="1161"/>
        <w:gridCol w:w="216"/>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accounts receivable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64,200 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51,191 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Unbilled trade accounts receivable</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credit losses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sales reserves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(3,067)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accounts receivable, net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70,428 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57,004 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Allowances for credit losses and sales reserves consisted of the following (in thousands):</w:t>
      </w:r>
    </w:p>
    <w:tbl>
      <w:tblPr>
        <w:tblW w:w="9592" w:type="dxa"/>
        <w:jc w:val="left"/>
        <w:tblInd w:w="0" w:type="dxa"/>
        <w:tblLayout w:type="fixed"/>
        <w:tblCellMar>
          <w:top w:w="28" w:type="dxa"/>
          <w:left w:w="28" w:type="dxa"/>
          <w:bottom w:w="28" w:type="dxa"/>
          <w:right w:w="28" w:type="dxa"/>
        </w:tblCellMar>
      </w:tblPr>
      <w:tblGrid>
        <w:gridCol w:w="760"/>
        <w:gridCol w:w="668"/>
        <w:gridCol w:w="671"/>
        <w:gridCol w:w="318"/>
        <w:gridCol w:w="1120"/>
        <w:gridCol w:w="153"/>
        <w:gridCol w:w="153"/>
        <w:gridCol w:w="153"/>
        <w:gridCol w:w="153"/>
        <w:gridCol w:w="323"/>
        <w:gridCol w:w="1141"/>
        <w:gridCol w:w="155"/>
        <w:gridCol w:w="109"/>
        <w:gridCol w:w="109"/>
        <w:gridCol w:w="109"/>
        <w:gridCol w:w="293"/>
        <w:gridCol w:w="1035"/>
        <w:gridCol w:w="141"/>
        <w:gridCol w:w="121"/>
        <w:gridCol w:w="121"/>
        <w:gridCol w:w="121"/>
        <w:gridCol w:w="320"/>
        <w:gridCol w:w="1127"/>
        <w:gridCol w:w="218"/>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Year Ended March 31, 2026</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Credit Losses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Sales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Credit Losses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Sales Reserves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Beginning balance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(Reserve) provision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(8,110)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Write-offs (recoveries)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8,746 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Ending balance</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(1,449)</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(3,067)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(3,597)</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tables set forth the property and equipment, net, geographic information for each period (in thousands):</w:t>
      </w:r>
    </w:p>
    <w:tbl>
      <w:tblPr>
        <w:tblW w:w="6760" w:type="dxa"/>
        <w:jc w:val="left"/>
        <w:tblInd w:w="0" w:type="dxa"/>
        <w:tblLayout w:type="fixed"/>
        <w:tblCellMar>
          <w:top w:w="28" w:type="dxa"/>
          <w:left w:w="28" w:type="dxa"/>
          <w:bottom w:w="28" w:type="dxa"/>
          <w:right w:w="28" w:type="dxa"/>
        </w:tblCellMar>
      </w:tblPr>
      <w:tblGrid>
        <w:gridCol w:w="1184"/>
        <w:gridCol w:w="1039"/>
        <w:gridCol w:w="1046"/>
        <w:gridCol w:w="286"/>
        <w:gridCol w:w="1046"/>
        <w:gridCol w:w="138"/>
        <w:gridCol w:w="109"/>
        <w:gridCol w:w="109"/>
        <w:gridCol w:w="109"/>
        <w:gridCol w:w="317"/>
        <w:gridCol w:w="1161"/>
        <w:gridCol w:w="216"/>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40,995 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42,441 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International</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property and equipment, net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44,552 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45,821 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current assets consisted of the following (in thousands):</w:t>
      </w:r>
    </w:p>
    <w:tbl>
      <w:tblPr>
        <w:tblW w:w="5935" w:type="dxa"/>
        <w:jc w:val="left"/>
        <w:tblInd w:w="0" w:type="dxa"/>
        <w:tblLayout w:type="fixed"/>
        <w:tblCellMar>
          <w:top w:w="28" w:type="dxa"/>
          <w:left w:w="28" w:type="dxa"/>
          <w:bottom w:w="28" w:type="dxa"/>
          <w:right w:w="28" w:type="dxa"/>
        </w:tblCellMar>
      </w:tblPr>
      <w:tblGrid>
        <w:gridCol w:w="884"/>
        <w:gridCol w:w="777"/>
        <w:gridCol w:w="783"/>
        <w:gridCol w:w="286"/>
        <w:gridCol w:w="1046"/>
        <w:gridCol w:w="138"/>
        <w:gridCol w:w="109"/>
        <w:gridCol w:w="109"/>
        <w:gridCol w:w="109"/>
        <w:gridCol w:w="317"/>
        <w:gridCol w:w="1161"/>
        <w:gridCol w:w="216"/>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Prepaid expense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28,316 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23,556 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other current assets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37,809 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32,650 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Accrued and other liabilities consisted of the following (in thousands):</w:t>
      </w:r>
    </w:p>
    <w:tbl>
      <w:tblPr>
        <w:tblW w:w="6610" w:type="dxa"/>
        <w:jc w:val="left"/>
        <w:tblInd w:w="0" w:type="dxa"/>
        <w:tblLayout w:type="fixed"/>
        <w:tblCellMar>
          <w:top w:w="28" w:type="dxa"/>
          <w:left w:w="28" w:type="dxa"/>
          <w:bottom w:w="28" w:type="dxa"/>
          <w:right w:w="28" w:type="dxa"/>
        </w:tblCellMar>
      </w:tblPr>
      <w:tblGrid>
        <w:gridCol w:w="1131"/>
        <w:gridCol w:w="991"/>
        <w:gridCol w:w="997"/>
        <w:gridCol w:w="286"/>
        <w:gridCol w:w="1046"/>
        <w:gridCol w:w="138"/>
        <w:gridCol w:w="109"/>
        <w:gridCol w:w="109"/>
        <w:gridCol w:w="109"/>
        <w:gridCol w:w="317"/>
        <w:gridCol w:w="1161"/>
        <w:gridCol w:w="216"/>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compensation</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23,976 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21,649 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taxes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25,439 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23,238 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accrued liabilities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42,650 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24,980 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accrued and other liabilities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92,065 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income (expense), net consisted of the following (in thousands):</w:t>
      </w:r>
    </w:p>
    <w:tbl>
      <w:tblPr>
        <w:tblW w:w="6749" w:type="dxa"/>
        <w:jc w:val="left"/>
        <w:tblInd w:w="0" w:type="dxa"/>
        <w:tblLayout w:type="fixed"/>
        <w:tblCellMar>
          <w:top w:w="28" w:type="dxa"/>
          <w:left w:w="28" w:type="dxa"/>
          <w:bottom w:w="28" w:type="dxa"/>
          <w:right w:w="28" w:type="dxa"/>
        </w:tblCellMar>
      </w:tblPr>
      <w:tblGrid>
        <w:gridCol w:w="1147"/>
        <w:gridCol w:w="1007"/>
        <w:gridCol w:w="1011"/>
        <w:gridCol w:w="328"/>
        <w:gridCol w:w="894"/>
        <w:gridCol w:w="158"/>
        <w:gridCol w:w="158"/>
        <w:gridCol w:w="158"/>
        <w:gridCol w:w="158"/>
        <w:gridCol w:w="328"/>
        <w:gridCol w:w="763"/>
        <w:gridCol w:w="158"/>
        <w:gridCol w:w="109"/>
        <w:gridCol w:w="109"/>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on debt extinguishment</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Gain on warrants remeasurement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income</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expense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5. Intangible Assets and Goodwill</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carrying value of intangible assets consisted of the following (in thousands):</w:t>
      </w:r>
    </w:p>
    <w:tbl>
      <w:tblPr>
        <w:tblW w:w="11875" w:type="dxa"/>
        <w:jc w:val="left"/>
        <w:tblInd w:w="0" w:type="dxa"/>
        <w:tblLayout w:type="fixed"/>
        <w:tblCellMar>
          <w:top w:w="28" w:type="dxa"/>
          <w:left w:w="28" w:type="dxa"/>
          <w:bottom w:w="28" w:type="dxa"/>
          <w:right w:w="28" w:type="dxa"/>
        </w:tblCellMar>
      </w:tblPr>
      <w:tblGrid>
        <w:gridCol w:w="457"/>
        <w:gridCol w:w="401"/>
        <w:gridCol w:w="403"/>
        <w:gridCol w:w="360"/>
        <w:gridCol w:w="360"/>
        <w:gridCol w:w="361"/>
        <w:gridCol w:w="109"/>
        <w:gridCol w:w="109"/>
        <w:gridCol w:w="109"/>
        <w:gridCol w:w="226"/>
        <w:gridCol w:w="946"/>
        <w:gridCol w:w="109"/>
        <w:gridCol w:w="109"/>
        <w:gridCol w:w="109"/>
        <w:gridCol w:w="109"/>
        <w:gridCol w:w="226"/>
        <w:gridCol w:w="986"/>
        <w:gridCol w:w="109"/>
        <w:gridCol w:w="109"/>
        <w:gridCol w:w="109"/>
        <w:gridCol w:w="109"/>
        <w:gridCol w:w="226"/>
        <w:gridCol w:w="826"/>
        <w:gridCol w:w="109"/>
        <w:gridCol w:w="109"/>
        <w:gridCol w:w="109"/>
        <w:gridCol w:w="109"/>
        <w:gridCol w:w="226"/>
        <w:gridCol w:w="946"/>
        <w:gridCol w:w="109"/>
        <w:gridCol w:w="109"/>
        <w:gridCol w:w="109"/>
        <w:gridCol w:w="109"/>
        <w:gridCol w:w="253"/>
        <w:gridCol w:w="944"/>
        <w:gridCol w:w="124"/>
        <w:gridCol w:w="109"/>
        <w:gridCol w:w="109"/>
        <w:gridCol w:w="109"/>
        <w:gridCol w:w="226"/>
        <w:gridCol w:w="82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Weighted Average Remaining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w:t>
              <w:br/>
              <w:t>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Customer relationships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(52,673)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(46,177)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names and domains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acquired identifiable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157,093 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(103,317)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157,076 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(99,487)</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At June 30, 2026, annual amortization of intangible assets, based upon existing intangible assets and current useful lives, is estimated to be the following (in thousands):</w:t>
      </w:r>
    </w:p>
    <w:tbl>
      <w:tblPr>
        <w:tblW w:w="3590" w:type="dxa"/>
        <w:jc w:val="left"/>
        <w:tblInd w:w="0" w:type="dxa"/>
        <w:tblLayout w:type="fixed"/>
        <w:tblCellMar>
          <w:top w:w="28" w:type="dxa"/>
          <w:left w:w="28" w:type="dxa"/>
          <w:bottom w:w="28" w:type="dxa"/>
          <w:right w:w="28" w:type="dxa"/>
        </w:tblCellMar>
      </w:tblPr>
      <w:tblGrid>
        <w:gridCol w:w="864"/>
        <w:gridCol w:w="759"/>
        <w:gridCol w:w="761"/>
        <w:gridCol w:w="226"/>
        <w:gridCol w:w="82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2027</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53,776 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provides a summary of the changes in the carrying amounts of goodwill (in thousands):</w:t>
      </w:r>
    </w:p>
    <w:tbl>
      <w:tblPr>
        <w:tblW w:w="4146" w:type="dxa"/>
        <w:jc w:val="left"/>
        <w:tblInd w:w="0" w:type="dxa"/>
        <w:tblLayout w:type="fixed"/>
        <w:tblCellMar>
          <w:top w:w="28" w:type="dxa"/>
          <w:left w:w="28" w:type="dxa"/>
          <w:bottom w:w="28" w:type="dxa"/>
          <w:right w:w="28" w:type="dxa"/>
        </w:tblCellMar>
      </w:tblPr>
      <w:tblGrid>
        <w:gridCol w:w="1021"/>
        <w:gridCol w:w="898"/>
        <w:gridCol w:w="901"/>
        <w:gridCol w:w="226"/>
        <w:gridCol w:w="94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June 30, 2026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276,408 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6. Leases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components of lease expense were as follows (in thousands):</w:t>
      </w:r>
    </w:p>
    <w:tbl>
      <w:tblPr>
        <w:tblW w:w="5923" w:type="dxa"/>
        <w:jc w:val="left"/>
        <w:tblInd w:w="0" w:type="dxa"/>
        <w:tblLayout w:type="fixed"/>
        <w:tblCellMar>
          <w:top w:w="28" w:type="dxa"/>
          <w:left w:w="28" w:type="dxa"/>
          <w:bottom w:w="28" w:type="dxa"/>
          <w:right w:w="28" w:type="dxa"/>
        </w:tblCellMar>
      </w:tblPr>
      <w:tblGrid>
        <w:gridCol w:w="848"/>
        <w:gridCol w:w="745"/>
        <w:gridCol w:w="747"/>
        <w:gridCol w:w="291"/>
        <w:gridCol w:w="910"/>
        <w:gridCol w:w="140"/>
        <w:gridCol w:w="140"/>
        <w:gridCol w:w="140"/>
        <w:gridCol w:w="140"/>
        <w:gridCol w:w="291"/>
        <w:gridCol w:w="910"/>
        <w:gridCol w:w="140"/>
        <w:gridCol w:w="109"/>
        <w:gridCol w:w="109"/>
        <w:gridCol w:w="109"/>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expense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2,595 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Variable lease expense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supplemental cash flow information related to leases was as follows (in thousands):</w:t>
      </w:r>
    </w:p>
    <w:tbl>
      <w:tblPr>
        <w:tblW w:w="6972" w:type="dxa"/>
        <w:jc w:val="left"/>
        <w:tblInd w:w="0" w:type="dxa"/>
        <w:tblLayout w:type="fixed"/>
        <w:tblCellMar>
          <w:top w:w="28" w:type="dxa"/>
          <w:left w:w="28" w:type="dxa"/>
          <w:bottom w:w="28" w:type="dxa"/>
          <w:right w:w="28" w:type="dxa"/>
        </w:tblCellMar>
      </w:tblPr>
      <w:tblGrid>
        <w:gridCol w:w="1228"/>
        <w:gridCol w:w="1077"/>
        <w:gridCol w:w="1084"/>
        <w:gridCol w:w="291"/>
        <w:gridCol w:w="910"/>
        <w:gridCol w:w="140"/>
        <w:gridCol w:w="140"/>
        <w:gridCol w:w="140"/>
        <w:gridCol w:w="140"/>
        <w:gridCol w:w="291"/>
        <w:gridCol w:w="910"/>
        <w:gridCol w:w="140"/>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outflows from operating leases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3,194 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3,502 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Short-term lease expense was immaterial during the three months ended June 30, 2026 and 2025.</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supplemental lease information:</w:t>
      </w:r>
    </w:p>
    <w:tbl>
      <w:tblPr>
        <w:tblW w:w="7241" w:type="dxa"/>
        <w:jc w:val="left"/>
        <w:tblInd w:w="0" w:type="dxa"/>
        <w:tblLayout w:type="fixed"/>
        <w:tblCellMar>
          <w:top w:w="28" w:type="dxa"/>
          <w:left w:w="28" w:type="dxa"/>
          <w:bottom w:w="28" w:type="dxa"/>
          <w:right w:w="28" w:type="dxa"/>
        </w:tblCellMar>
      </w:tblPr>
      <w:tblGrid>
        <w:gridCol w:w="1357"/>
        <w:gridCol w:w="1194"/>
        <w:gridCol w:w="1198"/>
        <w:gridCol w:w="489"/>
        <w:gridCol w:w="489"/>
        <w:gridCol w:w="492"/>
        <w:gridCol w:w="109"/>
        <w:gridCol w:w="109"/>
        <w:gridCol w:w="109"/>
        <w:gridCol w:w="495"/>
        <w:gridCol w:w="495"/>
        <w:gridCol w:w="705"/>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remaining lease term</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4.5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discount rate</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4.6%</w:t>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maturity of lease liabilities under the Company's noncancelable operating leases as of June 30, 2026 (in thousands):</w:t>
      </w:r>
    </w:p>
    <w:tbl>
      <w:tblPr>
        <w:tblW w:w="4760" w:type="dxa"/>
        <w:jc w:val="left"/>
        <w:tblInd w:w="0" w:type="dxa"/>
        <w:tblLayout w:type="fixed"/>
        <w:tblCellMar>
          <w:top w:w="28" w:type="dxa"/>
          <w:left w:w="28" w:type="dxa"/>
          <w:bottom w:w="28" w:type="dxa"/>
          <w:right w:w="28" w:type="dxa"/>
        </w:tblCellMar>
      </w:tblPr>
      <w:tblGrid>
        <w:gridCol w:w="1288"/>
        <w:gridCol w:w="1132"/>
        <w:gridCol w:w="1134"/>
        <w:gridCol w:w="226"/>
        <w:gridCol w:w="82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2027</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lease payments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imputed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Present value of lease liabilities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 non-current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39,473 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continues to evaluate its leases for potential impairments, noting no impairments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7. Commitments and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Indemnifications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Operating Leases</w:t>
      </w:r>
    </w:p>
    <w:p>
      <w:pPr>
        <w:pStyle w:val="TextBody"/>
        <w:bidi w:val="0"/>
        <w:spacing w:lineRule="auto" w:line="288" w:before="0" w:after="160"/>
        <w:jc w:val="both"/>
        <w:rPr/>
      </w:pPr>
      <w:r>
        <w:rPr>
          <w:rFonts w:ascii="Archivo;sans-serif" w:hAnsi="Archivo;sans-serif"/>
          <w:b w:val="false"/>
          <w:color w:val="000000"/>
          <w:sz w:val="18"/>
        </w:rPr>
        <w:t xml:space="preserve">The Company's lease obligations consist of the Company's principal facility and various leased facilities under operating lease agreements. See Note </w:t>
      </w:r>
      <w:hyperlink w:anchor="if30140fa273b4bc0a628c148305beaa5_52">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Leases, for more information on the Company's leases and the future minimum lease payments.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Purchase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three months ended June 30, 2026, we entered into a $74.0 million noncancelable five-year hosting service contract with a cloud service provider. Under this agreement, $8.1 million remains due during fiscal 2027, $13.9 million will be due during fiscal 2028, $15.8 million will be due during fiscal 2029 and $36.2 million will be due for the remaining contractual term.</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fiscal year ended March 31, 2026, the Company increased its noncancelable three-year hosting service contract commitment from $24.1 million to $54.0 million. Under this agreement, $6.7 million remains due in fiscal 2027 and $10.0 million will be due in fiscal 2028.</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Legal Proceedings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may be involved in various claims, lawsuits, investigations, and other legal proceedings, all in various phases,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believes it has recorded adequate provisions for any such lawsuits and claims and proceedings as of June 30, 2026.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condensed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condensed consolidated financial statements could be materially adversely affected in a particular period by the resolution of one or more of these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Federal, State and Local Taxes and Surcharges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From time to time, the Company has received inquiries from a number of federal, state and local taxing agencies with respect to the remittance of sales, use, telecommunications, excise, and income taxes. Several jurisdictions currently are conducting tax audits of the Company's records, all in various phases. The Company collects and/or accrues amounts for all taxes and surcharges that it believes are required. The amounts that have been remitted have historically been within the accruals established by the Company. The Company conducts periodic reviews of the taxability of its services with respect to sales, use, telecommunications or other similar indirect taxes and adjusts its accrual when facts relating to specific exposures warrant such adjustment.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Based on such assessments, as of June 30, 2026 and March 31, 2026, the Company had accrued contingent indirect tax liabilities of $9.6 million and $9.4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8. Convertible Senior Notes and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Components of the convertible senior notes and term loan were as follows as of June 30, 2026 and March 31, 2026, respectively (in thousands):</w:t>
      </w:r>
    </w:p>
    <w:tbl>
      <w:tblPr>
        <w:tblW w:w="10642" w:type="dxa"/>
        <w:jc w:val="left"/>
        <w:tblInd w:w="0" w:type="dxa"/>
        <w:tblLayout w:type="fixed"/>
        <w:tblCellMar>
          <w:top w:w="28" w:type="dxa"/>
          <w:left w:w="28" w:type="dxa"/>
          <w:bottom w:w="28" w:type="dxa"/>
          <w:right w:w="28" w:type="dxa"/>
        </w:tblCellMar>
      </w:tblPr>
      <w:tblGrid>
        <w:gridCol w:w="462"/>
        <w:gridCol w:w="406"/>
        <w:gridCol w:w="408"/>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Principal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309,414 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Unamortized debt discount and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Net carrying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307,353 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321,479 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portion of 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Non-current portion of long-term debt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270,076 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Components of interest expense were as follows for the three months ended June 30, 2026 and 2025, respectively (in thousands):</w:t>
      </w:r>
    </w:p>
    <w:tbl>
      <w:tblPr>
        <w:tblW w:w="10205" w:type="dxa"/>
        <w:jc w:val="left"/>
        <w:tblInd w:w="0" w:type="dxa"/>
        <w:tblLayout w:type="fixed"/>
        <w:tblCellMar>
          <w:top w:w="28" w:type="dxa"/>
          <w:left w:w="28" w:type="dxa"/>
          <w:bottom w:w="28" w:type="dxa"/>
          <w:right w:w="28" w:type="dxa"/>
        </w:tblCellMar>
      </w:tblPr>
      <w:tblGrid>
        <w:gridCol w:w="760"/>
        <w:gridCol w:w="606"/>
        <w:gridCol w:w="608"/>
        <w:gridCol w:w="252"/>
        <w:gridCol w:w="788"/>
        <w:gridCol w:w="121"/>
        <w:gridCol w:w="109"/>
        <w:gridCol w:w="109"/>
        <w:gridCol w:w="109"/>
        <w:gridCol w:w="232"/>
        <w:gridCol w:w="726"/>
        <w:gridCol w:w="112"/>
        <w:gridCol w:w="109"/>
        <w:gridCol w:w="109"/>
        <w:gridCol w:w="109"/>
        <w:gridCol w:w="226"/>
        <w:gridCol w:w="706"/>
        <w:gridCol w:w="109"/>
        <w:gridCol w:w="109"/>
        <w:gridCol w:w="109"/>
        <w:gridCol w:w="109"/>
        <w:gridCol w:w="252"/>
        <w:gridCol w:w="788"/>
        <w:gridCol w:w="121"/>
        <w:gridCol w:w="109"/>
        <w:gridCol w:w="109"/>
        <w:gridCol w:w="109"/>
        <w:gridCol w:w="232"/>
        <w:gridCol w:w="726"/>
        <w:gridCol w:w="112"/>
        <w:gridCol w:w="109"/>
        <w:gridCol w:w="109"/>
        <w:gridCol w:w="109"/>
        <w:gridCol w:w="226"/>
        <w:gridCol w:w="706"/>
        <w:gridCol w:w="161"/>
      </w:tblGrid>
      <w:tr>
        <w:trPr/>
        <w:tc>
          <w:tcPr>
            <w:tcW w:w="7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Three Months Ended June 30, 2025</w:t>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Contractual interest expense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r>
              <w:rPr>
                <w:rFonts w:ascii="Archivo;sans-serif" w:hAnsi="Archivo;sans-serif"/>
                <w:b w:val="false"/>
                <w:color w:val="000000"/>
                <w:sz w:val="12"/>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debt interest</w:t>
            </w:r>
            <w:r>
              <w:rPr>
                <w:rFonts w:ascii="Archivo;sans-serif" w:hAnsi="Archivo;sans-serif"/>
                <w:b w:val="false"/>
                <w:color w:val="000000"/>
                <w:sz w:val="12"/>
              </w:rPr>
              <w:t>2</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2,280 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2,626 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2,268 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2024 Term Loan (as defined below) is the Company’s senior secured obligation and ranks senior in right of payment to any of the Company’s indebtedness. The 2028 Notes are the Company’s senior unsecured obligation but rank junior in right of payment to any of the Company’s secured indebtedness to the extent of such security.</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August 5, 2024, the Company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Standard Overnight Financing Rate (the "Term SOFR"), plus a margin of either 2.50%, 2.75% or 3.00%, based on the consolidated total net leverage ratio of the Company and its subsidiaries. The initial margin was 3.00% for the fiscal quarter ending September 30, 2024 and remained 3.00% as of June 30, 2026. The Company has the option to pay interest monthly, quarterly, or semi-annually. During the three months ended June 30, 2026, the Company elected monthly interest payment terms resulting in contractual interest expense of $1.8 million. As of June 30, 2026, the debt issuance costs were amortized to interest expense over the term of the 2024 Term Loan at an effective interest rate of 8.61%.</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the Company has the right to prepay the 2024 Term Loan at any time without any premium or penalty. On April 10, 2026, the Company prepaid $14.5 million of quarterly principal payments due under the 2024 Term Loan. The Company completed three principal repayments of the 2024 Term Loan during fiscal 2026 for a total of $30.0 million in aggregate principal amount.</w:t>
      </w:r>
    </w:p>
    <w:p>
      <w:pPr>
        <w:pStyle w:val="TextBody"/>
        <w:bidi w:val="0"/>
        <w:spacing w:lineRule="auto" w:line="288" w:before="0" w:after="0"/>
        <w:jc w:val="both"/>
        <w:rPr/>
      </w:pPr>
      <w:r>
        <w:rPr>
          <w:rFonts w:ascii="Archivo Light;serif" w:hAnsi="Archivo Light;serif"/>
          <w:b w:val="false"/>
          <w:color w:val="000000"/>
          <w:sz w:val="10"/>
        </w:rPr>
        <w:t>1</w:t>
      </w:r>
      <w:r>
        <w:rPr>
          <w:color w:val="000000"/>
        </w:rPr>
        <w:t xml:space="preserve"> </w:t>
      </w:r>
      <w:r>
        <w:rPr>
          <w:rFonts w:ascii="Archivo;sans-serif" w:hAnsi="Archivo;sans-serif"/>
          <w:b w:val="false"/>
          <w:i/>
          <w:color w:val="000000"/>
          <w:sz w:val="16"/>
        </w:rPr>
        <w:t>Amount represents the non-cash amortization of debt discount and issuance costs associated with the Company's debt instruments. These costs are amortized to interest expense over the respective terms of the debt using the effective interest method.</w:t>
      </w:r>
    </w:p>
    <w:p>
      <w:pPr>
        <w:pStyle w:val="TextBody"/>
        <w:bidi w:val="0"/>
        <w:spacing w:lineRule="auto" w:line="288" w:before="0" w:after="0"/>
        <w:jc w:val="both"/>
        <w:rPr/>
      </w:pPr>
      <w:r>
        <w:rPr>
          <w:rFonts w:ascii="Archivo;sans-serif" w:hAnsi="Archivo;sans-serif"/>
          <w:b w:val="false"/>
          <w:color w:val="000000"/>
          <w:sz w:val="10"/>
        </w:rPr>
        <w:t>2</w:t>
      </w:r>
      <w:r>
        <w:rPr>
          <w:color w:val="000000"/>
        </w:rPr>
        <w:t xml:space="preserve"> </w:t>
      </w:r>
      <w:r>
        <w:rPr>
          <w:rFonts w:ascii="Archivo;sans-serif" w:hAnsi="Archivo;sans-serif"/>
          <w:b w:val="false"/>
          <w:i/>
          <w:color w:val="000000"/>
          <w:sz w:val="16"/>
        </w:rPr>
        <w:t>Total debt interest expense excludes the impact of capitalized interest related to property, plant and equipment from general borrowing costs during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June 30, 2026, the scheduled minimum principal repayments are $25.0 million in fiscal 2027 (comprised of $12.5 million on each of December 31, 2026 and March 31, 2027) and $82.5 million fiscal 2028 (comprised of $12.5 million on June 30, 2027 and $70.0 million due upon maturity on August 15, 2027). As of June 30, 2026, the Company has paid $22.5 million, $37.5 million, $22.5 million, and $10.0 million of the originally scheduled principal repayments due in fiscal 2025, 2026, 2027, and 2028 respectively, and the remaining principal amount of the 2024 Term Loan after the payments is $107.5 million.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29, 2025, the Company executed the First Amendment (the "Amendment") to the 2024 Credit Agreement. The Amendment is designed to provide additional financial flexibility and support future strategic initiatives. The Amendment reflects the Company's continued commitment to financial discipline as it executes long-term growth priorities and investor return initiatives. Under the terms of the 2024 Credit Agreement, the Company may prepay the 2024 Term Loan at any time without incurring a premium or penalty. The Amendment also modified, among other things, the requirements to meet certain financial ratio tests in connection with permitted acquisitions and an adjustment to maintain the existing consolidated total net leverage ratio (a measure of total debt relative to Adjusted Cash EBITDA) at its current level for the duration of the 2024 Credit Agreement. In connection with the Amendment, the Company prepaid $10.0 million of the remaining long-term principal payment due in August 2027 under the 2024 Term Loan. This prepayment did not adjust the scheduled quarterly principal payments.</w:t>
      </w:r>
    </w:p>
    <w:p>
      <w:pPr>
        <w:pStyle w:val="TextBody"/>
        <w:bidi w:val="0"/>
        <w:spacing w:lineRule="auto" w:line="288" w:before="0" w:after="160"/>
        <w:jc w:val="both"/>
        <w:rPr/>
      </w:pPr>
      <w:r>
        <w:rPr>
          <w:rFonts w:ascii="Archivo;sans-serif" w:hAnsi="Archivo;sans-serif"/>
          <w:b w:val="false"/>
          <w:color w:val="000000"/>
          <w:sz w:val="18"/>
        </w:rPr>
        <w:t xml:space="preserve">These short-term principal debt repayments are accounted for as partial debt extinguishment transactions. The carrying value of the 2024 Term Loan, including the unamortized debt discount and issuance costs, was derecognized. The difference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 See Note </w:t>
      </w:r>
      <w:hyperlink w:anchor="if30140fa273b4bc0a628c148305beaa5_46">
        <w:r>
          <w:rPr>
            <w:rStyle w:val="InternetLink"/>
            <w:rFonts w:ascii="Archivo;sans-serif" w:hAnsi="Archivo;sans-serif"/>
            <w:b w:val="false"/>
            <w:strike w:val="false"/>
            <w:dstrike w:val="false"/>
            <w:color w:val="0000FF"/>
            <w:sz w:val="18"/>
            <w:u w:val="none"/>
            <w:effect w:val="none"/>
          </w:rPr>
          <w:t>4</w:t>
        </w:r>
      </w:hyperlink>
      <w:r>
        <w:rPr>
          <w:rFonts w:ascii="Archivo;sans-serif" w:hAnsi="Archivo;sans-serif"/>
          <w:b w:val="false"/>
          <w:color w:val="000000"/>
          <w:sz w:val="18"/>
        </w:rPr>
        <w:t>, Financial Statement Components, for further details.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Mandatory prepayments of the 2024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June 30, 2026, the Company was in compliance with all covenants set forth in the 2024 Credit Agreement.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2022 Term Loan and Warrants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entered into a senior secured term loan facility (the “2022 Term Loan”) under a term loan credit agreement (the “2022 Credit Agreement”) on August 3, 2022 with Wilmington Savings Fund Society, FSB, as administrative agent, and certain affiliates of Francisco Partners ("FP"). On August 5, 2024, the Company repaid the full outstanding principal amount and accrued interest of the 2022 Term Loan using the proceeds of the 2024 Term Loan and cash on hand.</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w:t>
      </w:r>
    </w:p>
    <w:p>
      <w:pPr>
        <w:pStyle w:val="TextBody"/>
        <w:bidi w:val="0"/>
        <w:spacing w:lineRule="auto" w:line="288" w:before="160" w:after="160"/>
        <w:jc w:val="both"/>
        <w:rPr/>
      </w:pPr>
      <w:r>
        <w:rPr>
          <w:rFonts w:ascii="Archivo;sans-serif" w:hAnsi="Archivo;sans-serif"/>
          <w:b w:val="false"/>
          <w:color w:val="000000"/>
          <w:sz w:val="18"/>
        </w:rPr>
        <w:t xml:space="preserve">The Warrants remain outstanding, with no change in terms in connection with the repayment of the 2022 Term Loan or issuance of the 2024 Term Loan. As of June 30, 2026 and March 31, 2026, the fair value of the Warrants was $0.2 million and $0.2 million, respectively, and was recorded within other liabilities, non-current on the condensed consolidated balance sheets. The subsequent changes in fair value were recorded through other income (expense), net on the Company’s condensed consolidated statement of operations and comprehensive income (loss). See Note </w:t>
      </w:r>
      <w:hyperlink w:anchor="if30140fa273b4bc0a628c148305beaa5_43">
        <w:r>
          <w:rPr>
            <w:rStyle w:val="InternetLink"/>
            <w:rFonts w:ascii="Archivo;sans-serif" w:hAnsi="Archivo;sans-serif"/>
            <w:b w:val="false"/>
            <w:strike w:val="false"/>
            <w:dstrike w:val="false"/>
            <w:color w:val="0000FF"/>
            <w:sz w:val="18"/>
            <w:u w:val="none"/>
            <w:effect w:val="none"/>
          </w:rPr>
          <w:t>3</w:t>
        </w:r>
      </w:hyperlink>
      <w:r>
        <w:rPr>
          <w:rFonts w:ascii="Archivo;sans-serif" w:hAnsi="Archivo;sans-serif"/>
          <w:b w:val="false"/>
          <w:color w:val="000000"/>
          <w:sz w:val="18"/>
        </w:rPr>
        <w:t>, Fair Value Measurements, for further details.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val="false"/>
          <w:i/>
          <w:color w:val="000000"/>
          <w:sz w:val="18"/>
        </w:rPr>
      </w:pPr>
      <w:r>
        <w:rPr>
          <w:rFonts w:ascii="Archivo;sans-serif" w:hAnsi="Archivo;sans-serif"/>
          <w:b w:val="false"/>
          <w:i/>
          <w:color w:val="000000"/>
          <w:sz w:val="18"/>
        </w:rPr>
        <w:t>2028 Notes</w:t>
      </w:r>
    </w:p>
    <w:p>
      <w:pPr>
        <w:pStyle w:val="TextBody"/>
        <w:bidi w:val="0"/>
        <w:spacing w:before="0" w:after="0"/>
        <w:jc w:val="left"/>
        <w:rPr/>
      </w:pPr>
      <w:r>
        <w:rPr/>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June 30, 2026 and March 31, 2026, the Company had $201.9 million aggregate principal amount of 4.00% 2028 Notes, with debt issuance costs of approximately $5.6 million, of which 50% was paid in the form of shares of the Company's common stock. The 2028 Notes are senior obligations of the Company that accrue interest, payable semi-annually in arrears on February 1 and August 1 of each year.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with cash, shares of the Company’s common stock, or a combination of cash and shares of the Company’s stock. As of June 30, 2026, the Company was in compliance with all covenants set forth in the indenture governing the 2028 Notes. The debt discount and debt issuance costs are amortized to interest expense over the term of the 2028 Notes at an effective interest rate of 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chivo;sans-serif" w:hAnsi="Archivo;sans-serif"/>
          <w:b/>
          <w:color w:val="000000"/>
          <w:sz w:val="22"/>
        </w:rPr>
      </w:pPr>
      <w:r>
        <w:rPr>
          <w:rFonts w:ascii="Archivo;sans-serif" w:hAnsi="Archivo;sans-serif"/>
          <w:b/>
          <w:color w:val="000000"/>
          <w:sz w:val="22"/>
        </w:rPr>
        <w:t>9. Stock-Based Compensation and Stockholders' Equity</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Common Stock Reserved for Future Issuance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Shares of common stock reserved for future issuance related to outstanding equity awards and employee equity incentive plans as of June 30, 2026 were as follows (in thousands):</w:t>
      </w:r>
    </w:p>
    <w:tbl>
      <w:tblPr>
        <w:tblW w:w="8564" w:type="dxa"/>
        <w:jc w:val="left"/>
        <w:tblInd w:w="0" w:type="dxa"/>
        <w:tblLayout w:type="fixed"/>
        <w:tblCellMar>
          <w:top w:w="28" w:type="dxa"/>
          <w:left w:w="28" w:type="dxa"/>
          <w:bottom w:w="28" w:type="dxa"/>
          <w:right w:w="28" w:type="dxa"/>
        </w:tblCellMar>
      </w:tblPr>
      <w:tblGrid>
        <w:gridCol w:w="1758"/>
        <w:gridCol w:w="1547"/>
        <w:gridCol w:w="1554"/>
        <w:gridCol w:w="1085"/>
        <w:gridCol w:w="1085"/>
        <w:gridCol w:w="1535"/>
      </w:tblGrid>
      <w:tr>
        <w:trPr/>
        <w:tc>
          <w:tcPr>
            <w:tcW w:w="175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 of Common Stock Reserved</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options outstanding</w:t>
            </w:r>
          </w:p>
        </w:tc>
        <w:tc>
          <w:tcPr>
            <w:tcW w:w="2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15 </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and performance stock units outstanding</w:t>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16,582 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2017 Plan</w:t>
            </w:r>
          </w:p>
        </w:tc>
        <w:tc>
          <w:tcPr>
            <w:tcW w:w="2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940 </w:t>
            </w:r>
          </w:p>
        </w:tc>
        <w:tc>
          <w:tcPr>
            <w:tcW w:w="1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2022 Plan</w:t>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5,099 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for future issuance under the ESPP</w:t>
            </w:r>
          </w:p>
        </w:tc>
        <w:tc>
          <w:tcPr>
            <w:tcW w:w="2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4,425 </w:t>
            </w:r>
          </w:p>
        </w:tc>
        <w:tc>
          <w:tcPr>
            <w:tcW w:w="1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shares of common stock reserved</w:t>
            </w:r>
          </w:p>
        </w:tc>
        <w:tc>
          <w:tcPr>
            <w:tcW w:w="21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27,061 </w:t>
            </w:r>
          </w:p>
        </w:tc>
        <w:tc>
          <w:tcPr>
            <w:tcW w:w="1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2022 Equity Incentive Plan</w:t>
      </w:r>
    </w:p>
    <w:p>
      <w:pPr>
        <w:pStyle w:val="TextBody"/>
        <w:bidi w:val="0"/>
        <w:spacing w:lineRule="auto" w:line="288" w:before="160" w:after="160"/>
        <w:jc w:val="both"/>
        <w:rPr/>
      </w:pPr>
      <w:r>
        <w:rPr>
          <w:rFonts w:ascii="Archivo;sans-serif" w:hAnsi="Archivo;sans-serif"/>
          <w:b w:val="false"/>
          <w:color w:val="000000"/>
          <w:sz w:val="18"/>
        </w:rPr>
        <w:t xml:space="preserve">As of June 30, 2026, 5.1 million shares remained available for future grants under the Amended and Restated 2022 Equity Incentive Plan (the "2022 Plan"). Subsequent to the end of the quarter, shareholders approved an amendment to the 2022 Plan, increasing the number of shares reserved for future issuance by 8.3 million shares. See Note </w:t>
      </w:r>
      <w:hyperlink w:anchor="if30140fa273b4bc0a628c148305beaa5_3298534884276">
        <w:r>
          <w:rPr>
            <w:rStyle w:val="InternetLink"/>
          </w:rPr>
          <w:t>1</w:t>
        </w:r>
      </w:hyperlink>
      <w:hyperlink w:anchor="if30140fa273b4bc0a628c148305beaa5_3298534884276">
        <w:r>
          <w:rPr>
            <w:rStyle w:val="InternetLink"/>
          </w:rPr>
          <w:t>2</w:t>
        </w:r>
      </w:hyperlink>
      <w:r>
        <w:rPr>
          <w:rFonts w:ascii="Archivo;sans-serif" w:hAnsi="Archivo;sans-serif"/>
          <w:b w:val="false"/>
          <w:color w:val="000000"/>
          <w:sz w:val="18"/>
        </w:rPr>
        <w:t>, Subsequent Events, for further details.</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2017 New Employee Inducement Incentive Plan</w:t>
      </w:r>
    </w:p>
    <w:p>
      <w:pPr>
        <w:pStyle w:val="TextBody"/>
        <w:bidi w:val="0"/>
        <w:spacing w:lineRule="auto" w:line="288" w:before="0" w:after="160"/>
        <w:jc w:val="both"/>
        <w:rPr/>
      </w:pPr>
      <w:r>
        <w:rPr>
          <w:rFonts w:ascii="Archivo;sans-serif" w:hAnsi="Archivo;sans-serif"/>
          <w:b w:val="false"/>
          <w:color w:val="000000"/>
          <w:sz w:val="18"/>
        </w:rPr>
        <w:t xml:space="preserve">As of June 30, 2026, approximately 0.9 million shares remained available for future grants under the Amended and Restated 2017 New Employee Inducement Incentive Plan (the "2017 Plan"). Subsequent to the end of the quarter, the Board of Directors approved an amendment increasing the number of shares reserved for future issuance by 1.2 million shares. See Note </w:t>
      </w:r>
      <w:hyperlink w:anchor="if30140fa273b4bc0a628c148305beaa5_3298534884276">
        <w:r>
          <w:rPr>
            <w:rStyle w:val="InternetLink"/>
            <w:rFonts w:ascii="Archivo;sans-serif" w:hAnsi="Archivo;sans-serif"/>
            <w:b w:val="false"/>
            <w:strike w:val="false"/>
            <w:dstrike w:val="false"/>
            <w:color w:val="0000FF"/>
            <w:sz w:val="18"/>
            <w:u w:val="none"/>
            <w:effect w:val="none"/>
          </w:rPr>
          <w:t>12</w:t>
        </w:r>
      </w:hyperlink>
      <w:r>
        <w:rPr>
          <w:rFonts w:ascii="Archivo;sans-serif" w:hAnsi="Archivo;sans-serif"/>
          <w:b w:val="false"/>
          <w:color w:val="000000"/>
          <w:sz w:val="18"/>
        </w:rPr>
        <w:t>, Subsequent Events, for further details.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Stock-Based Compensation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stock-based compensation expense (in thousands):</w:t>
      </w:r>
    </w:p>
    <w:tbl>
      <w:tblPr>
        <w:tblW w:w="6177" w:type="dxa"/>
        <w:jc w:val="left"/>
        <w:tblInd w:w="0" w:type="dxa"/>
        <w:tblLayout w:type="fixed"/>
        <w:tblCellMar>
          <w:top w:w="28" w:type="dxa"/>
          <w:left w:w="28" w:type="dxa"/>
          <w:bottom w:w="28" w:type="dxa"/>
          <w:right w:w="28" w:type="dxa"/>
        </w:tblCellMar>
      </w:tblPr>
      <w:tblGrid>
        <w:gridCol w:w="940"/>
        <w:gridCol w:w="824"/>
        <w:gridCol w:w="830"/>
        <w:gridCol w:w="291"/>
        <w:gridCol w:w="910"/>
        <w:gridCol w:w="140"/>
        <w:gridCol w:w="140"/>
        <w:gridCol w:w="140"/>
        <w:gridCol w:w="140"/>
        <w:gridCol w:w="291"/>
        <w:gridCol w:w="910"/>
        <w:gridCol w:w="140"/>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4,055 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6,352 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 xml:space="preserve">The Company accounts for stock-based compensation through the measurement and recognition of compensation expense for share-based payment awards made to employees, directors or consultants over the related requisite service period, including restricted stock, RSUs and PSUs, qualified performance-based awards, and stock grants (all issuable under the Company's equity incentive plans).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19"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As of June 30, 2026, unrecognized stock-based compensation expense by award type and their expected weighted-average recognition periods are summarized as follows (in thousands, except years):</w:t>
      </w:r>
    </w:p>
    <w:tbl>
      <w:tblPr>
        <w:tblW w:w="8495" w:type="dxa"/>
        <w:jc w:val="left"/>
        <w:tblInd w:w="0" w:type="dxa"/>
        <w:tblLayout w:type="fixed"/>
        <w:tblCellMar>
          <w:top w:w="28" w:type="dxa"/>
          <w:left w:w="28" w:type="dxa"/>
          <w:bottom w:w="28" w:type="dxa"/>
          <w:right w:w="28" w:type="dxa"/>
        </w:tblCellMar>
      </w:tblPr>
      <w:tblGrid>
        <w:gridCol w:w="1685"/>
        <w:gridCol w:w="1479"/>
        <w:gridCol w:w="1485"/>
        <w:gridCol w:w="226"/>
        <w:gridCol w:w="826"/>
        <w:gridCol w:w="109"/>
        <w:gridCol w:w="109"/>
        <w:gridCol w:w="109"/>
        <w:gridCol w:w="109"/>
        <w:gridCol w:w="226"/>
        <w:gridCol w:w="706"/>
        <w:gridCol w:w="109"/>
        <w:gridCol w:w="109"/>
        <w:gridCol w:w="109"/>
        <w:gridCol w:w="109"/>
        <w:gridCol w:w="247"/>
        <w:gridCol w:w="575"/>
        <w:gridCol w:w="168"/>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ESPP</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Unrecognized stock-based compensation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Weighted-average amortization period</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 years</w:t>
            </w:r>
          </w:p>
        </w:tc>
      </w:tr>
    </w:tbl>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Restricted Stock Units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the RSU activity (shares in thousands):</w:t>
      </w:r>
    </w:p>
    <w:tbl>
      <w:tblPr>
        <w:tblW w:w="10205" w:type="dxa"/>
        <w:jc w:val="left"/>
        <w:tblInd w:w="0" w:type="dxa"/>
        <w:tblLayout w:type="fixed"/>
        <w:tblCellMar>
          <w:top w:w="28" w:type="dxa"/>
          <w:left w:w="28" w:type="dxa"/>
          <w:bottom w:w="28" w:type="dxa"/>
          <w:right w:w="28" w:type="dxa"/>
        </w:tblCellMar>
      </w:tblPr>
      <w:tblGrid>
        <w:gridCol w:w="690"/>
        <w:gridCol w:w="563"/>
        <w:gridCol w:w="569"/>
        <w:gridCol w:w="579"/>
        <w:gridCol w:w="471"/>
        <w:gridCol w:w="472"/>
        <w:gridCol w:w="109"/>
        <w:gridCol w:w="109"/>
        <w:gridCol w:w="109"/>
        <w:gridCol w:w="636"/>
        <w:gridCol w:w="1655"/>
        <w:gridCol w:w="311"/>
        <w:gridCol w:w="109"/>
        <w:gridCol w:w="109"/>
        <w:gridCol w:w="109"/>
        <w:gridCol w:w="1052"/>
        <w:gridCol w:w="1052"/>
        <w:gridCol w:w="1501"/>
      </w:tblGrid>
      <w:tr>
        <w:trPr/>
        <w:tc>
          <w:tcPr>
            <w:tcW w:w="69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RSUs</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2026</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9,791 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0.86</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6,360 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(2,716)</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June 30,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12,754 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w:t>
            </w:r>
          </w:p>
        </w:tc>
      </w:tr>
    </w:tbl>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Performance Stock Units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Market-Based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Market-based PSUs are granted to certain employees, including executive officers, with vesting that is contingent on a combination of stock performance and continued service. These awards are eligible to be earned over a period of one year to four years based on Total Shareholder Return ("TSR"), relative to specified market indices, or the achievement of specific pre-established absolute stock price hurdles.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grant date fair value of market-based PSUs is determined using a Monte Carlo simulation model. Stock-based compensation expense is recognized over the requisite service period, regardless of whether the market condition is ultimately achieved. During the three months ended June 30, 2026 and 2025, the Company determined that the market conditions were not achieved and therefore no shares have been earned.</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Performance-Based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Performance-based PSUs are granted to certain employees, including executive officers, with vesting based on the achievement of specific financial or operational goals, such as revenue growth or cash flow from operations ("CFFO"). The grant date fair value of performance-based PSUs is valued based on the Company’s stock price at the grant date. Stock-based compensation expense is recognized over the requisite service period based on the number of units expected to vest, which is reassessed during each reporting period based on the Company’s evaluation of the probability of achieving the applicable performance conditions.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determined that the CFFO and revenue targets for the performance period were probable of being achieved and recognized $0.4 million and $0.3 million of related compensation expense for the three months ended June 30, 2026 and 2025, respectively.</w:t>
      </w:r>
    </w:p>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following table presents the PSU activity (shares in thousands):</w:t>
      </w:r>
    </w:p>
    <w:tbl>
      <w:tblPr>
        <w:tblW w:w="10205" w:type="dxa"/>
        <w:jc w:val="left"/>
        <w:tblInd w:w="0" w:type="dxa"/>
        <w:tblLayout w:type="fixed"/>
        <w:tblCellMar>
          <w:top w:w="28" w:type="dxa"/>
          <w:left w:w="28" w:type="dxa"/>
          <w:bottom w:w="28" w:type="dxa"/>
          <w:right w:w="28" w:type="dxa"/>
        </w:tblCellMar>
      </w:tblPr>
      <w:tblGrid>
        <w:gridCol w:w="701"/>
        <w:gridCol w:w="566"/>
        <w:gridCol w:w="573"/>
        <w:gridCol w:w="517"/>
        <w:gridCol w:w="473"/>
        <w:gridCol w:w="474"/>
        <w:gridCol w:w="109"/>
        <w:gridCol w:w="109"/>
        <w:gridCol w:w="109"/>
        <w:gridCol w:w="640"/>
        <w:gridCol w:w="1665"/>
        <w:gridCol w:w="313"/>
        <w:gridCol w:w="109"/>
        <w:gridCol w:w="109"/>
        <w:gridCol w:w="109"/>
        <w:gridCol w:w="1059"/>
        <w:gridCol w:w="1059"/>
        <w:gridCol w:w="1511"/>
      </w:tblGrid>
      <w:tr>
        <w:trPr/>
        <w:tc>
          <w:tcPr>
            <w:tcW w:w="7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PSUs</w:t>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2026</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3,549 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0.65</w:t>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r>
              <w:rPr>
                <w:rFonts w:ascii="Archivo;sans-serif" w:hAnsi="Archivo;sans-serif"/>
                <w:b w:val="false"/>
                <w:color w:val="000000"/>
                <w:sz w:val="12"/>
              </w:rPr>
              <w:t>1</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1,356 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(938)</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June 30, 2026</w:t>
            </w:r>
          </w:p>
        </w:tc>
        <w:tc>
          <w:tcPr>
            <w:tcW w:w="9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3,828 </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1.53</w:t>
            </w:r>
          </w:p>
        </w:tc>
      </w:tr>
    </w:tbl>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Employee Stock Purchase Plan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June 30, 2026, a total of 4.4 million shares remained available for issuance under the ESPP.</w:t>
      </w:r>
    </w:p>
    <w:p>
      <w:pPr>
        <w:pStyle w:val="TextBody"/>
        <w:bidi w:val="0"/>
        <w:spacing w:lineRule="auto" w:line="288" w:before="0" w:after="0"/>
        <w:jc w:val="both"/>
        <w:rPr/>
      </w:pPr>
      <w:r>
        <w:rPr>
          <w:rFonts w:ascii="Archivo;sans-serif" w:hAnsi="Archivo;sans-serif"/>
          <w:b w:val="false"/>
          <w:color w:val="000000"/>
          <w:sz w:val="10"/>
        </w:rPr>
        <w:t>1</w:t>
      </w:r>
      <w:r>
        <w:rPr>
          <w:color w:val="000000"/>
        </w:rPr>
        <w:t xml:space="preserve"> </w:t>
      </w:r>
      <w:r>
        <w:rPr>
          <w:rFonts w:ascii="Archivo Light;serif" w:hAnsi="Archivo Light;serif"/>
          <w:b w:val="false"/>
          <w:color w:val="000000"/>
          <w:sz w:val="16"/>
        </w:rPr>
        <w:t>Represents performance-based PSUs granted based on the achievement of specific financial or operational goals, such as revenue growth or CFFO.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Share Repurchase Program</w:t>
      </w:r>
    </w:p>
    <w:p>
      <w:pPr>
        <w:pStyle w:val="TextBody"/>
        <w:bidi w:val="0"/>
        <w:spacing w:before="0" w:after="0"/>
        <w:jc w:val="left"/>
        <w:rPr/>
      </w:pPr>
      <w:r>
        <w:rPr/>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May 2017, the Company's board of directors authorized the Company to purchase $25.0 million of its common stock from time to time under the 2017 Repurchase Plan (the "2017 Repurchase Plan"). The 2017 Repurchase Plan expires when the maximum purchase amount is reached, or upon the earlier revocation or termination by the Company's board of directors. During the three months ended June 30, 2025, the Company repurchased 1.0 million shares of common stock in the open market for approximately $1.8 million at an average price of $1.83 per share. The total purchase price of the common stock repurchased and retired was reflected as a reduction to the condensed consolidated stockholders' equity during the repurchase period. The remaining amount of shares of common stock available for repurchase under the 2017 Repurchase Plan as of June 30, 2026 was approximately $5.2 million. During the three months ended June 30, 2026, the Company did not repurchase any shares of common stock under the 2017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10. Income Taxes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effective tax rate was (476.9)% and (42.0)% for the three months ended June 30, 2026 and 2025, respectively. The difference between the effective tax rate and the U.S. federal statutory rate was primarily due to the full valuation allowance that the Company maintains against its U.S. deferred tax assets after adjusting for the impact of certain provisions under the One Big Beautiful Bill Act (the "OBBBA"), current tax liabilities of profitable foreign subsidiaries subject to different local income tax rates, and state taxes in the United States. The effective tax rate is calculated by dividing the provision for income taxes by the loss before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11. Net Loss Per Share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Basic net loss per share is calculated by dividing net loss by the weighted average number of shares of common stock outstanding during the period, and excludes any dilutive effects of employee stock-based awards and potential shares upon conversion of the convertible senior notes. Diluted net loss per share is computed after giving effect to all potentially dilutive shares of common stock, including the shares of common stock issuable upon the exercise of stock options, vesting of RSUs and PSUs, and shares of common stock issuable upon the conversion of convertible senior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reconciliation of the weighted average number of common shares outstanding used in calculating basic and diluted net loss per share (in thousands, except per share data):</w:t>
      </w:r>
    </w:p>
    <w:tbl>
      <w:tblPr>
        <w:tblW w:w="9746" w:type="dxa"/>
        <w:jc w:val="left"/>
        <w:tblInd w:w="0" w:type="dxa"/>
        <w:tblLayout w:type="fixed"/>
        <w:tblCellMar>
          <w:top w:w="28" w:type="dxa"/>
          <w:left w:w="28" w:type="dxa"/>
          <w:bottom w:w="28" w:type="dxa"/>
          <w:right w:w="28" w:type="dxa"/>
        </w:tblCellMar>
      </w:tblPr>
      <w:tblGrid>
        <w:gridCol w:w="2226"/>
        <w:gridCol w:w="1952"/>
        <w:gridCol w:w="1987"/>
        <w:gridCol w:w="271"/>
        <w:gridCol w:w="954"/>
        <w:gridCol w:w="130"/>
        <w:gridCol w:w="130"/>
        <w:gridCol w:w="130"/>
        <w:gridCol w:w="130"/>
        <w:gridCol w:w="271"/>
        <w:gridCol w:w="954"/>
        <w:gridCol w:w="130"/>
        <w:gridCol w:w="109"/>
        <w:gridCol w:w="109"/>
        <w:gridCol w:w="109"/>
        <w:gridCol w:w="154"/>
      </w:tblGrid>
      <w:tr>
        <w:trPr/>
        <w:tc>
          <w:tcPr>
            <w:tcW w:w="222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common shares outstanding - basic and diluted</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141,973 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134,809 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 per share - basic and 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Since the Company was in a loss position for all periods presented, basic net loss per share is equivalent to diluted net loss per share for all periods, as the inclusion of all potential dilutive shares would have had an anti-dilutive effect.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potentially dilutive weighted-average common shares were excluded from the calculation of diluted earnings per share because their inclusion would have been anti-dilutive (shares in thousands):</w:t>
      </w:r>
    </w:p>
    <w:tbl>
      <w:tblPr>
        <w:tblW w:w="8687" w:type="dxa"/>
        <w:jc w:val="left"/>
        <w:tblInd w:w="0" w:type="dxa"/>
        <w:tblLayout w:type="fixed"/>
        <w:tblCellMar>
          <w:top w:w="28" w:type="dxa"/>
          <w:left w:w="28" w:type="dxa"/>
          <w:bottom w:w="28" w:type="dxa"/>
          <w:right w:w="28" w:type="dxa"/>
        </w:tblCellMar>
      </w:tblPr>
      <w:tblGrid>
        <w:gridCol w:w="1718"/>
        <w:gridCol w:w="1504"/>
        <w:gridCol w:w="1518"/>
        <w:gridCol w:w="510"/>
        <w:gridCol w:w="345"/>
        <w:gridCol w:w="345"/>
        <w:gridCol w:w="345"/>
        <w:gridCol w:w="345"/>
        <w:gridCol w:w="345"/>
        <w:gridCol w:w="541"/>
        <w:gridCol w:w="345"/>
        <w:gridCol w:w="345"/>
        <w:gridCol w:w="109"/>
        <w:gridCol w:w="109"/>
        <w:gridCol w:w="109"/>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options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stock units and Performance stock units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2,963 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5,689 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Potential shares attributable to the ESPP</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1,224 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Warrants to purchase common stock</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Convertible senior notes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28,229 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anti-dilutive shares</w:t>
            </w:r>
          </w:p>
        </w:tc>
        <w:tc>
          <w:tcPr>
            <w:tcW w:w="8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35,531 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38,588 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used the if-converted method for calculating any potential dilutive effect of its convertible senior notes for the three months ended June 30, 2026 and 2025.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was excluded from the calculation of diluted net loss per share for the three months ended June 30, 2026 and 2025 because the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21"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12. Subsequent Events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Amendment to 2022 Plan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On August 3, 2026, the shareholders of the Company approved an amendment to the 2022 Plan, which increased the number of shares of the Company's common stock reserved for future issuance by 8.3 million shares.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Amendment to 2017 Plan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On July 29, 2026, the Board of Directors approved an amendment to the 2017 Plan, which increased the number of shares of the Company's common stock reserved for future issuance by 1.2 million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22"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color w:val="000000"/>
          <w:sz w:val="22"/>
        </w:rPr>
      </w:pPr>
      <w:bookmarkStart w:id="9" w:name="id6edb9d652324f518e3bb4a043fc1705_97"/>
      <w:bookmarkEnd w:id="9"/>
      <w:r>
        <w:rPr>
          <w:rFonts w:ascii="Archivo;sans-serif" w:hAnsi="Archivo;sans-serif"/>
          <w:b/>
          <w:color w:val="000000"/>
          <w:sz w:val="2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As discussed in the section entitled “Forward-Looking Statements,” the following discussion and analysis contain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and those set forth under the section entitled "Risk Factors" in the Form 10-K for the fiscal year ended March 31, 2026.</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Overview</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8x8, Inc. is a global provider of integrated customer experience and business communications solutions, purpose-built to unify customer and employee engagement across the enterprise. Our 8x8 Platform for CX combines contact center, business communications, and application programmable interfaces ("APIs") for communications into a single, secure system powered by artificial intelligence ("AI") that delivers seamless, data-driven interactions. Designed for agility and scale, our platform helps businesses eliminate silos, improve operational efficiency, and turn every conversation into actionable intelligence. By aligning technology with measurable outcomes, we empower organizations to transform how they connect, serve, and grow from first interactions to lasting relationships.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serve a broad customer base, from small businesses to large global enterprises across every major industry. We reach customers through a combination of direct sales and an expanding global network of channel partners. To serve diverse organizations of all sizes, we invest in retaining and growing customers across segments through a service model that scales from AI-powered support for smaller accounts to dedicated customer success resources for our most complex enterprise relationships.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service revenue from subscriptions to our UCaaS and CCaaS offerings, as well as usage of our platform. Our service subscription plans are sold on a per-user basis and are structured with increasing levels of functionality, based on the specific communication needs and customer engagement profile of each user. Platform usage revenue is revenue recognized from sales of products on an as-used basis and includes the use of our communications APIs, digital and voice AI interactions and telephony minutes. Usage revenue increased by 63% in the first quarter of fiscal 2027 as customers increased inbound and outbound engagement strategies using our communication APIs and AI-based interactions.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Macroeconomic and Other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are subject to risks and exposures, including those caused by adverse economic conditions. Macroeconomic conditions that could adversely affect our business include geopolitical instability, tariffs, inflationary pressures, increased interest rates, supply chain disruptions, decreased economic output, and currency volatility. We continuously monitor the impacts of these factors, as well as the overall global economy and geopolitical landscape, on our business and financial results.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While the implications of macroeconomic events on our business, results of operations, and overall financial position remain uncertain, we expect that difficult economic conditions could negatively impact our business in future periods. For example, our installed base includes small businesses, which tend to be disproportionately affected by macroeconomic headwinds. International revenue grew from approximately 38% of total revenue in the first quarter of fiscal 2026 to approximately 44% in the first quarter of fiscal 2027, increasing our exposure to foreign currency fluctuations. However, a significant portion of our international operating expenses is denominated in the same currencies as our international revenue, which partially mitigates the impact of currency movements on profitability. We also continue to monitor the pace of AI adoption across our customer base, which represents both an evolving competitive dynamic and a direct driver of demand for our platform capabilities and usage-based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Summary and Outlook</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the first quarter of fiscal 2027, we delivered the following financial results:</w:t>
      </w:r>
    </w:p>
    <w:p>
      <w:pPr>
        <w:pStyle w:val="TextBody"/>
        <w:bidi w:val="0"/>
        <w:spacing w:lineRule="auto" w:line="288" w:before="0" w:after="0"/>
        <w:ind w:left="0" w:right="0" w:hanging="360"/>
        <w:jc w:val="left"/>
        <w:rPr/>
      </w:pPr>
      <w:r>
        <w:rPr>
          <w:color w:val="000000"/>
        </w:rPr>
        <w:t>•</w:t>
      </w:r>
      <w:r>
        <w:rPr>
          <w:rFonts w:ascii="Archivo;sans-serif" w:hAnsi="Archivo;sans-serif"/>
          <w:b w:val="false"/>
          <w:color w:val="000000"/>
          <w:sz w:val="18"/>
        </w:rPr>
        <w:t>Service revenue increased 5% to $185.3 million, compared to $176.3 million in the first quarter of fiscal 2026.</w:t>
      </w:r>
    </w:p>
    <w:p>
      <w:pPr>
        <w:pStyle w:val="TextBody"/>
        <w:bidi w:val="0"/>
        <w:spacing w:lineRule="auto" w:line="288" w:before="0" w:after="0"/>
        <w:ind w:left="0" w:right="0" w:hanging="360"/>
        <w:jc w:val="left"/>
        <w:rPr/>
      </w:pPr>
      <w:r>
        <w:rPr>
          <w:color w:val="000000"/>
        </w:rPr>
        <w:t>•</w:t>
      </w:r>
      <w:r>
        <w:rPr>
          <w:rFonts w:ascii="Archivo;sans-serif" w:hAnsi="Archivo;sans-serif"/>
          <w:b w:val="false"/>
          <w:color w:val="000000"/>
          <w:sz w:val="18"/>
        </w:rPr>
        <w:t xml:space="preserve">Gross margin was 61.2%, compared to 66.4% in the first quarter of fiscal 2026. </w:t>
      </w:r>
    </w:p>
    <w:p>
      <w:pPr>
        <w:pStyle w:val="TextBody"/>
        <w:bidi w:val="0"/>
        <w:spacing w:lineRule="auto" w:line="288" w:before="0" w:after="0"/>
        <w:ind w:left="0" w:right="0" w:hanging="360"/>
        <w:jc w:val="left"/>
        <w:rPr/>
      </w:pPr>
      <w:r>
        <w:rPr>
          <w:color w:val="000000"/>
        </w:rPr>
        <w:t>•</w:t>
      </w:r>
      <w:r>
        <w:rPr>
          <w:rFonts w:ascii="Archivo;sans-serif" w:hAnsi="Archivo;sans-serif"/>
          <w:b w:val="false"/>
          <w:color w:val="000000"/>
          <w:sz w:val="18"/>
        </w:rPr>
        <w:t>Operating income was $4.4 million, compared to $0.6 million in the first quarter of fiscal 2026.</w:t>
      </w:r>
    </w:p>
    <w:p>
      <w:pPr>
        <w:pStyle w:val="TextBody"/>
        <w:bidi w:val="0"/>
        <w:spacing w:lineRule="auto" w:line="288" w:before="0" w:after="0"/>
        <w:ind w:left="0" w:right="0" w:hanging="360"/>
        <w:jc w:val="left"/>
        <w:rPr/>
      </w:pPr>
      <w:r>
        <w:rPr>
          <w:color w:val="000000"/>
        </w:rPr>
        <w:t>•</w:t>
      </w:r>
      <w:r>
        <w:rPr>
          <w:rFonts w:ascii="Archivo;sans-serif" w:hAnsi="Archivo;sans-serif"/>
          <w:b w:val="false"/>
          <w:color w:val="000000"/>
          <w:sz w:val="18"/>
        </w:rPr>
        <w:t>Net loss was $1.2 million, compared to $4.3 million in the first quarter of fiscal 2026.</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Cash provided by operating activities was $17.0 million, compared to $11.9 million in the first quarter of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3350"/>
                <wp:effectExtent l="0" t="0" r="0" b="0"/>
                <wp:wrapNone/>
                <wp:docPr id="23"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part of our objectives to grow our revenue and increase profitability and cash flow, we are focused on retaining our existing customers and driving multi-product adoption within our installed base, as well as expanding our base with new customers. We believe that continued innovation is a critical factor in attracting and retaining our customers and is an important variable in achieving sustainable growth. We are committed to continuing our investment in research and development to deliver innovation across our Platform for CX, expand our ecosystem of integrated third-party applications, and maintain the high platform availability that our customers require.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primary focus involves the following: (i) expanding the features and functionality of our Platform for CX, (ii) increasing the use of our agentic AI solutions and communication APIs, (iii) growing our community of value-added resellers and technology partners as a means to expand distribution, especially in international regions, and (iv) increasing the efficiency of our operations through process improvements, automation, and self-service. We are embracing the use of AI internally to accelerate innovation and the introduction of new products, improve our sales productivity and conversion rates, increase the efficiency and security of our global network infrastructure, and simplify our back-office operations.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investment in research and development has enabled us to introduce new products like 8x8 Engage and 8x8 AI Studio, add capabilities that allow our customers to enhance their employee and customer experiences, and expand integrations within our Technology Partner Ecosystem. We also invested in our global network infrastructure to ensure continued high availability, enhance security, and lower the cost to deliver our services. Our combined investments in our platform and process improvements allow us to deliver tightly integrated solutions around the world that prioritize ease-of-use, out-of-the-box functionality, and rapid deployment. We expect the costs of delivering our communication services and communication APIs, both in total dollars and as a percentage of service revenue, to vary with the amount of service revenue and the mix of subscription and usage revenue within service revenue.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To improve our sales efficiency over time, we are investing in marketing programs to drive awareness for our solutions, training programs and tools to increase productivity in our direct sales, and partner enablement solutions to drive increased cross-sell and new business. We are also devoting resources to expand our community of value-added resellers, who provide implementation services and Tier 1 customer support in addition to sales capacity.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continue to monitor factors that could have an impact on customer buying behavior and demand, including technological changes in AI-related developments, macroeconomic conditions, the competitive environment, contract duration, churn, upsell and down-sell, renewals, and payment terms, all of which have caused variability in our results and may continue to do so in the future.</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Key GAAP Operating Results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assess the success of our strategies to achieve growth and increase our cash flow, our management reviews our financial performance as presented in our condensed consolidated financial statements, including trends in revenue, gross profit margin, income (loss) from operations, and cash flow generated by operations in absolute dollars and as a percentage of revenue as presented in the following table:</w:t>
      </w:r>
    </w:p>
    <w:tbl>
      <w:tblPr>
        <w:tblW w:w="10205" w:type="dxa"/>
        <w:jc w:val="left"/>
        <w:tblInd w:w="0" w:type="dxa"/>
        <w:tblLayout w:type="fixed"/>
        <w:tblCellMar>
          <w:top w:w="28" w:type="dxa"/>
          <w:left w:w="28" w:type="dxa"/>
          <w:bottom w:w="28" w:type="dxa"/>
          <w:right w:w="28" w:type="dxa"/>
        </w:tblCellMar>
      </w:tblPr>
      <w:tblGrid>
        <w:gridCol w:w="724"/>
        <w:gridCol w:w="637"/>
        <w:gridCol w:w="639"/>
        <w:gridCol w:w="571"/>
        <w:gridCol w:w="416"/>
        <w:gridCol w:w="584"/>
        <w:gridCol w:w="109"/>
        <w:gridCol w:w="109"/>
        <w:gridCol w:w="109"/>
        <w:gridCol w:w="362"/>
        <w:gridCol w:w="296"/>
        <w:gridCol w:w="561"/>
        <w:gridCol w:w="109"/>
        <w:gridCol w:w="109"/>
        <w:gridCol w:w="109"/>
        <w:gridCol w:w="489"/>
        <w:gridCol w:w="339"/>
        <w:gridCol w:w="594"/>
        <w:gridCol w:w="109"/>
        <w:gridCol w:w="109"/>
        <w:gridCol w:w="109"/>
        <w:gridCol w:w="516"/>
        <w:gridCol w:w="322"/>
        <w:gridCol w:w="628"/>
        <w:gridCol w:w="109"/>
        <w:gridCol w:w="109"/>
        <w:gridCol w:w="109"/>
        <w:gridCol w:w="339"/>
        <w:gridCol w:w="255"/>
        <w:gridCol w:w="625"/>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Fiscal 2026</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w:t>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6"/>
              </w:rPr>
            </w:pPr>
            <w:r>
              <w:rPr>
                <w:rFonts w:ascii="Archivo;sans-serif" w:hAnsi="Archivo;sans-serif"/>
                <w:b w:val="false"/>
                <w:i/>
                <w:color w:val="000000"/>
                <w:sz w:val="16"/>
              </w:rPr>
              <w:t>(In thousands, except percentages)</w:t>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2025</w:t>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Service revenue</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185,346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180,175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179,682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179,094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176,308</w:t>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97.5 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97.3 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97.1 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97.3 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97.2 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Gross profit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116,371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117,053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118,216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119,340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120,440</w:t>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61.2 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63.2 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63.9 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64.8 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66.4 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Income from operations</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565</w:t>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2.3 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5.2 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2.9 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0.3 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income (loss)</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(4,315)</w:t>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(0.6)</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2.8 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0.4 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(2.4)</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cash provided by operating activities</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14,386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20,692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11,873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24"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 SemiBold;sans-serif" w:hAnsi="Archivo SemiBold;sans-serif"/>
          <w:b/>
          <w:i/>
          <w:color w:val="000000"/>
          <w:sz w:val="22"/>
        </w:rPr>
      </w:pPr>
      <w:r>
        <w:rPr>
          <w:rFonts w:ascii="Archivo SemiBold;sans-serif" w:hAnsi="Archivo SemiBold;sans-serif"/>
          <w:b/>
          <w:i/>
          <w:color w:val="000000"/>
          <w:sz w:val="22"/>
        </w:rPr>
        <w:t>Components of Results of Operations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 xml:space="preserve">Service Revenue </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Service revenue consists of communication services subscriptions, platform usage revenue, and related fees from our UCaaS, CCaaS and CPaaS offerings. We plan to increase service revenue through a combination of new customer acquisition, cross-selling of additional products to existing customers, including new products resulting from our increased investment in innovation, artificial intelligence, geographic expansion of our customer base outside the United States, innovation in our products and technologies, and strategic acquisitions of technologies and businesses.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Other revenue consists of revenue from professional services, primarily in support of deployment of our solutions and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Cost of Service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service revenue consists primarily of costs associated with network operations and related personnel, technology licenses, amortization of intangible assets and capitalized internal use software, other communication origination and termination services provided by third-party carriers, outsourced customer service call center operations, and other costs such as customer service costs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Cost of 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other revenue consists primarily of costs associated with the purchase and shipping and handling of IP telephone hardware, as well as scheduling, personnel costs, and other expenditures incurred in connection with the professional services associated with the deployment and implementation of our products, and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Research and Development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consist primarily of personnel and related costs, stock-based compensation, third-party development, software and equipment costs necessary to conduct our product, platform development and engineering efforts, as well as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Sales and Marketing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Sales and marketing expenses consist primarily of personnel and related costs, stock-based compensation, sales commissions, including those to the channel, trade shows, advertising and other marketing, demand generation, and promotional expenses, as well as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General and Administrative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consist primarily of personnel and related costs, professional services fees, corporate administrative costs, tax and regulatory fees, stock-based compensation and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Interest Expense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Interest expense consists primarily of interest expense related to our term loan and convertible notes, and amortization of debt discount and issuance costs.</w:t>
      </w:r>
    </w:p>
    <w:p>
      <w:pPr>
        <w:pStyle w:val="TextBody"/>
        <w:bidi w:val="0"/>
        <w:spacing w:lineRule="auto" w:line="288" w:before="0" w:after="0"/>
        <w:jc w:val="left"/>
        <w:rPr>
          <w:rFonts w:ascii="Archivo SemiBold;sans-serif" w:hAnsi="Archivo SemiBold;sans-serif"/>
          <w:b/>
          <w:i/>
          <w:color w:val="000000"/>
          <w:sz w:val="18"/>
        </w:rPr>
      </w:pPr>
      <w:r>
        <w:rPr>
          <w:rFonts w:ascii="Archivo SemiBold;sans-serif" w:hAnsi="Archivo SemiBold;sans-serif"/>
          <w:b/>
          <w:i/>
          <w:color w:val="000000"/>
          <w:sz w:val="18"/>
        </w:rPr>
        <w:t>Other Income (Expense), Net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Other income (expense), net, consists primarily of losses on debt extinguishment, gain on warrant remeasurement, interest income, gains or losses on foreign exchange transactions, as well as other income.</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Provision for Income Taxes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Provision for income taxes consists primarily of foreign income taxes and state taxes in the United States. As we expand the scale of our international business activities, any changes in the United States and foreign taxation of such activities may increase our overall provision for income taxes in the future. We have a valuation allowance for our U.S.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3350"/>
                <wp:effectExtent l="0" t="0" r="0" b="0"/>
                <wp:wrapNone/>
                <wp:docPr id="25"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Results of Operations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Service revenue</w:t>
      </w:r>
    </w:p>
    <w:tbl>
      <w:tblPr>
        <w:tblW w:w="10064" w:type="dxa"/>
        <w:jc w:val="left"/>
        <w:tblInd w:w="0" w:type="dxa"/>
        <w:tblLayout w:type="fixed"/>
        <w:tblCellMar>
          <w:top w:w="28" w:type="dxa"/>
          <w:left w:w="28" w:type="dxa"/>
          <w:bottom w:w="28" w:type="dxa"/>
          <w:right w:w="28" w:type="dxa"/>
        </w:tblCellMar>
      </w:tblPr>
      <w:tblGrid>
        <w:gridCol w:w="1221"/>
        <w:gridCol w:w="1075"/>
        <w:gridCol w:w="1078"/>
        <w:gridCol w:w="456"/>
        <w:gridCol w:w="254"/>
        <w:gridCol w:w="632"/>
        <w:gridCol w:w="219"/>
        <w:gridCol w:w="219"/>
        <w:gridCol w:w="219"/>
        <w:gridCol w:w="456"/>
        <w:gridCol w:w="254"/>
        <w:gridCol w:w="632"/>
        <w:gridCol w:w="109"/>
        <w:gridCol w:w="109"/>
        <w:gridCol w:w="109"/>
        <w:gridCol w:w="226"/>
        <w:gridCol w:w="70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185,346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176,308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Service revenue increased by $9.0 million, or 5.1%, for the three months ended June 30, 2026, compared to the three months ended June 30, 2025. This change was driven by an increase of $18.5 million in platform usage revenue generated primarily in the Asia-Pacific region, resulting from higher customer consumption volumes of our usage-based offerings, reflecting expanded customer adoption and usage of messaging, minutes and AI-based solutions during the period. This increase was partially offset by a decrease in subscription revenue of $9.5 million related to customer churn and down-sell.</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Other revenue</w:t>
      </w:r>
    </w:p>
    <w:tbl>
      <w:tblPr>
        <w:tblW w:w="9821" w:type="dxa"/>
        <w:jc w:val="left"/>
        <w:tblInd w:w="0" w:type="dxa"/>
        <w:tblLayout w:type="fixed"/>
        <w:tblCellMar>
          <w:top w:w="28" w:type="dxa"/>
          <w:left w:w="28" w:type="dxa"/>
          <w:bottom w:w="28" w:type="dxa"/>
          <w:right w:w="28" w:type="dxa"/>
        </w:tblCellMar>
      </w:tblPr>
      <w:tblGrid>
        <w:gridCol w:w="1221"/>
        <w:gridCol w:w="1075"/>
        <w:gridCol w:w="1078"/>
        <w:gridCol w:w="456"/>
        <w:gridCol w:w="219"/>
        <w:gridCol w:w="546"/>
        <w:gridCol w:w="219"/>
        <w:gridCol w:w="219"/>
        <w:gridCol w:w="219"/>
        <w:gridCol w:w="456"/>
        <w:gridCol w:w="219"/>
        <w:gridCol w:w="546"/>
        <w:gridCol w:w="109"/>
        <w:gridCol w:w="109"/>
        <w:gridCol w:w="109"/>
        <w:gridCol w:w="226"/>
        <w:gridCol w:w="616"/>
        <w:gridCol w:w="109"/>
        <w:gridCol w:w="109"/>
        <w:gridCol w:w="109"/>
        <w:gridCol w:w="109"/>
        <w:gridCol w:w="277"/>
        <w:gridCol w:w="27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4,824</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revenue decreased by $0.2 million, or 4.5%, for the three months ended June 30, 2026, compared to the three months ended June 30, 2025, due to a decrease in professional service revenue of $0.8 million, partially offset by an increase in product revenue of $0.6 million.</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Cost of 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service revenue</w:t>
      </w:r>
    </w:p>
    <w:tbl>
      <w:tblPr>
        <w:tblW w:w="10064"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826"/>
        <w:gridCol w:w="109"/>
        <w:gridCol w:w="109"/>
        <w:gridCol w:w="109"/>
        <w:gridCol w:w="109"/>
        <w:gridCol w:w="293"/>
        <w:gridCol w:w="29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67,635</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service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service revenue increased by $13.8 million, or 25.7%, for the three months ended June 30, 2026, compared to the three months ended June 30, 2025, primarily due to an increase of $15.8 million in network and carrier service provider costs to deliver our platform usage services and support our capacity needs. These increases were partially offset by decreases of $1.6 million in salaries, benefits and consulting costs, $0.2 million in amortization of intangible assets, and $0.2 million in stock-based compensation.</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350"/>
                <wp:effectExtent l="0" t="0" r="0" b="0"/>
                <wp:wrapNone/>
                <wp:docPr id="26"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other revenue</w:t>
      </w:r>
    </w:p>
    <w:tbl>
      <w:tblPr>
        <w:tblW w:w="10199" w:type="dxa"/>
        <w:jc w:val="left"/>
        <w:tblInd w:w="0" w:type="dxa"/>
        <w:tblLayout w:type="fixed"/>
        <w:tblCellMar>
          <w:top w:w="28" w:type="dxa"/>
          <w:left w:w="28" w:type="dxa"/>
          <w:bottom w:w="28" w:type="dxa"/>
          <w:right w:w="28" w:type="dxa"/>
        </w:tblCellMar>
      </w:tblPr>
      <w:tblGrid>
        <w:gridCol w:w="1221"/>
        <w:gridCol w:w="1075"/>
        <w:gridCol w:w="1078"/>
        <w:gridCol w:w="456"/>
        <w:gridCol w:w="348"/>
        <w:gridCol w:w="546"/>
        <w:gridCol w:w="219"/>
        <w:gridCol w:w="219"/>
        <w:gridCol w:w="219"/>
        <w:gridCol w:w="456"/>
        <w:gridCol w:w="348"/>
        <w:gridCol w:w="546"/>
        <w:gridCol w:w="109"/>
        <w:gridCol w:w="109"/>
        <w:gridCol w:w="109"/>
        <w:gridCol w:w="226"/>
        <w:gridCol w:w="616"/>
        <w:gridCol w:w="109"/>
        <w:gridCol w:w="109"/>
        <w:gridCol w:w="109"/>
        <w:gridCol w:w="109"/>
        <w:gridCol w:w="337"/>
        <w:gridCol w:w="33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6,164</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other revenue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140.5 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other revenue decreased by $0.9 million, or 13.2%, for the three months ended June 30, 2026, compared to the three months ended June 30, 2025, primarily due to a decrease in salaries, benefits, and consulting costs to deliver our professional services.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Gross Profit</w:t>
      </w:r>
    </w:p>
    <w:tbl>
      <w:tblPr>
        <w:tblW w:w="10205" w:type="dxa"/>
        <w:jc w:val="left"/>
        <w:tblInd w:w="0" w:type="dxa"/>
        <w:tblLayout w:type="fixed"/>
        <w:tblCellMar>
          <w:top w:w="28" w:type="dxa"/>
          <w:left w:w="28" w:type="dxa"/>
          <w:bottom w:w="28" w:type="dxa"/>
          <w:right w:w="28" w:type="dxa"/>
        </w:tblCellMar>
      </w:tblPr>
      <w:tblGrid>
        <w:gridCol w:w="1210"/>
        <w:gridCol w:w="1065"/>
        <w:gridCol w:w="1068"/>
        <w:gridCol w:w="454"/>
        <w:gridCol w:w="254"/>
        <w:gridCol w:w="632"/>
        <w:gridCol w:w="217"/>
        <w:gridCol w:w="217"/>
        <w:gridCol w:w="217"/>
        <w:gridCol w:w="454"/>
        <w:gridCol w:w="254"/>
        <w:gridCol w:w="632"/>
        <w:gridCol w:w="109"/>
        <w:gridCol w:w="109"/>
        <w:gridCol w:w="109"/>
        <w:gridCol w:w="226"/>
        <w:gridCol w:w="795"/>
        <w:gridCol w:w="109"/>
        <w:gridCol w:w="109"/>
        <w:gridCol w:w="109"/>
        <w:gridCol w:w="109"/>
        <w:gridCol w:w="276"/>
        <w:gridCol w:w="277"/>
        <w:gridCol w:w="271"/>
        <w:gridCol w:w="109"/>
        <w:gridCol w:w="109"/>
        <w:gridCol w:w="109"/>
        <w:gridCol w:w="109"/>
        <w:gridCol w:w="109"/>
        <w:gridCol w:w="109"/>
        <w:gridCol w:w="109"/>
        <w:gridCol w:w="160"/>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Gross profit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116,371</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Gross profit decreased by $4.1 million, or 3.4%, for the three months ended June 30, 2026, compared to the three months ended June 30, 2025, driven by the shift in revenue mix toward usage-based offerings as growth in cost of service revenue outpaced service revenue growth. Generally, usage-based offerings generate higher network and carrier service provider costs per dollar of revenue relative to our subscription-based offerings, resulting in lower gross margin.</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Research and development</w:t>
      </w:r>
    </w:p>
    <w:tbl>
      <w:tblPr>
        <w:tblW w:w="9524"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40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28,406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were flat for the three months ended June 30, 2026, compared to the three months ended June 30, 2025, primarily due to decreases of $2.4 million in combined salaries, benefits, and consulting costs necessary to conduct our product, platform development and engineering efforts and $0.5 million in stock-based compensation. These decreases were offset by increases of $2.4 million in capitalization of internally-developed software, software licenses and other costs and $0.5 million in amortization of capitalized software.</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Sales and marketing</w:t>
      </w:r>
    </w:p>
    <w:tbl>
      <w:tblPr>
        <w:tblW w:w="10123"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796"/>
        <w:gridCol w:w="109"/>
        <w:gridCol w:w="109"/>
        <w:gridCol w:w="109"/>
        <w:gridCol w:w="109"/>
        <w:gridCol w:w="337"/>
        <w:gridCol w:w="33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58,750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Sales and marketing expenses decreased by $9.4 million, or 13.8%, for the three months ended June 30, 2026, compared to the three months ended June 30, 2025, primarily due to decreases of $4.1 million in salaries, benefits, and consulting costs, $3.5 million in channel commissions and amortization of deferred contract acquisition costs, $1.0 million in paid media and other marketing services costs, and $0.8 million in stock-based compensation expense.</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3350"/>
                <wp:effectExtent l="0" t="0" r="0" b="0"/>
                <wp:wrapNone/>
                <wp:docPr id="27"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General and administrative</w:t>
      </w:r>
    </w:p>
    <w:tbl>
      <w:tblPr>
        <w:tblW w:w="9824"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70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24,836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increased by $1.5 million, or 6.5%, for the three months ended June 30, 2026, compared to the three months ended June 30, 2025, primarily due to increases of $2.4 million in transaction-related and general corporate costs and $0.5 million in personnel and consulting costs. These increases were partially offset by decreases of $0.9 million in stock-based compensation and $0.5 million in legal and regulatory costs.</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Other expense, net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Interest expense</w:t>
      </w:r>
    </w:p>
    <w:tbl>
      <w:tblPr>
        <w:tblW w:w="9792" w:type="dxa"/>
        <w:jc w:val="left"/>
        <w:tblInd w:w="0" w:type="dxa"/>
        <w:tblLayout w:type="fixed"/>
        <w:tblCellMar>
          <w:top w:w="28" w:type="dxa"/>
          <w:left w:w="28" w:type="dxa"/>
          <w:bottom w:w="28" w:type="dxa"/>
          <w:right w:w="28" w:type="dxa"/>
        </w:tblCellMar>
      </w:tblPr>
      <w:tblGrid>
        <w:gridCol w:w="1221"/>
        <w:gridCol w:w="1075"/>
        <w:gridCol w:w="1078"/>
        <w:gridCol w:w="456"/>
        <w:gridCol w:w="227"/>
        <w:gridCol w:w="568"/>
        <w:gridCol w:w="219"/>
        <w:gridCol w:w="219"/>
        <w:gridCol w:w="219"/>
        <w:gridCol w:w="456"/>
        <w:gridCol w:w="227"/>
        <w:gridCol w:w="568"/>
        <w:gridCol w:w="109"/>
        <w:gridCol w:w="109"/>
        <w:gridCol w:w="109"/>
        <w:gridCol w:w="226"/>
        <w:gridCol w:w="61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(4,179)</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pPr>
      <w:r>
        <w:rPr>
          <w:rFonts w:ascii="Archivo;sans-serif" w:hAnsi="Archivo;sans-serif"/>
          <w:b w:val="false"/>
          <w:color w:val="000000"/>
          <w:sz w:val="18"/>
        </w:rPr>
        <w:t xml:space="preserve">Interest expense increased by $0.2 million, or 5.3%, for the three months ended June 30, 2026, compared to the three months ended June 30, 2025, primarily due to capitalized interest related to property, plant and equipment from general borrowing costs recorded in fiscal 2026. This increase was partially offset by reduced debt interest due to a lower interest rate and principal balance on the 2024 Term Loan. See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Other income (expense), net</w:t>
      </w:r>
    </w:p>
    <w:tbl>
      <w:tblPr>
        <w:tblW w:w="10061" w:type="dxa"/>
        <w:jc w:val="left"/>
        <w:tblInd w:w="0" w:type="dxa"/>
        <w:tblLayout w:type="fixed"/>
        <w:tblCellMar>
          <w:top w:w="28" w:type="dxa"/>
          <w:left w:w="28" w:type="dxa"/>
          <w:bottom w:w="28" w:type="dxa"/>
          <w:right w:w="28" w:type="dxa"/>
        </w:tblCellMar>
      </w:tblPr>
      <w:tblGrid>
        <w:gridCol w:w="1221"/>
        <w:gridCol w:w="1075"/>
        <w:gridCol w:w="1078"/>
        <w:gridCol w:w="456"/>
        <w:gridCol w:w="219"/>
        <w:gridCol w:w="546"/>
        <w:gridCol w:w="219"/>
        <w:gridCol w:w="219"/>
        <w:gridCol w:w="219"/>
        <w:gridCol w:w="456"/>
        <w:gridCol w:w="219"/>
        <w:gridCol w:w="546"/>
        <w:gridCol w:w="109"/>
        <w:gridCol w:w="109"/>
        <w:gridCol w:w="109"/>
        <w:gridCol w:w="226"/>
        <w:gridCol w:w="616"/>
        <w:gridCol w:w="109"/>
        <w:gridCol w:w="109"/>
        <w:gridCol w:w="109"/>
        <w:gridCol w:w="109"/>
        <w:gridCol w:w="397"/>
        <w:gridCol w:w="39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(408)</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(212.1)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recognized $0.4 million of other expense, net during the three months ended June 30, 2026, compared to $0.4 million of other income, net during the three months ended June 30, 2025, primarily due to an increase of $0.7 million in foreign exchange losses and a reduced gain of $0.1 million on the remeasurement of the Warrants issued in connection with the 2022 Term Loan.</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Provision for income taxes</w:t>
      </w:r>
    </w:p>
    <w:tbl>
      <w:tblPr>
        <w:tblW w:w="9941" w:type="dxa"/>
        <w:jc w:val="left"/>
        <w:tblInd w:w="0" w:type="dxa"/>
        <w:tblLayout w:type="fixed"/>
        <w:tblCellMar>
          <w:top w:w="28" w:type="dxa"/>
          <w:left w:w="28" w:type="dxa"/>
          <w:bottom w:w="28" w:type="dxa"/>
          <w:right w:w="28" w:type="dxa"/>
        </w:tblCellMar>
      </w:tblPr>
      <w:tblGrid>
        <w:gridCol w:w="1221"/>
        <w:gridCol w:w="1075"/>
        <w:gridCol w:w="1078"/>
        <w:gridCol w:w="456"/>
        <w:gridCol w:w="219"/>
        <w:gridCol w:w="546"/>
        <w:gridCol w:w="219"/>
        <w:gridCol w:w="219"/>
        <w:gridCol w:w="219"/>
        <w:gridCol w:w="456"/>
        <w:gridCol w:w="219"/>
        <w:gridCol w:w="546"/>
        <w:gridCol w:w="109"/>
        <w:gridCol w:w="109"/>
        <w:gridCol w:w="109"/>
        <w:gridCol w:w="226"/>
        <w:gridCol w:w="616"/>
        <w:gridCol w:w="109"/>
        <w:gridCol w:w="109"/>
        <w:gridCol w:w="109"/>
        <w:gridCol w:w="109"/>
        <w:gridCol w:w="337"/>
        <w:gridCol w:w="33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992</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0.7 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Provision for income taxes decreased by $0.3 million for the three months ended June 30, 2026, compared to the three months ended June 30, 2025, primarily driven by the effects of the OBBBA on federal and state taxes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3350"/>
                <wp:effectExtent l="0" t="0" r="0" b="0"/>
                <wp:wrapNone/>
                <wp:docPr id="28"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Liquidity and Capital Resources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for the foreseeable future, the success of our operations, the global economic outlook, and the pace of growth in our markets could impact our business and liquidity.</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Cash and Cash Equivalents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and cash equivalents (in thousands):</w:t>
      </w:r>
    </w:p>
    <w:tbl>
      <w:tblPr>
        <w:tblW w:w="6026" w:type="dxa"/>
        <w:jc w:val="left"/>
        <w:tblInd w:w="0" w:type="dxa"/>
        <w:tblLayout w:type="fixed"/>
        <w:tblCellMar>
          <w:top w:w="28" w:type="dxa"/>
          <w:left w:w="28" w:type="dxa"/>
          <w:bottom w:w="28" w:type="dxa"/>
          <w:right w:w="28" w:type="dxa"/>
        </w:tblCellMar>
      </w:tblPr>
      <w:tblGrid>
        <w:gridCol w:w="919"/>
        <w:gridCol w:w="807"/>
        <w:gridCol w:w="809"/>
        <w:gridCol w:w="286"/>
        <w:gridCol w:w="1046"/>
        <w:gridCol w:w="138"/>
        <w:gridCol w:w="109"/>
        <w:gridCol w:w="109"/>
        <w:gridCol w:w="109"/>
        <w:gridCol w:w="317"/>
        <w:gridCol w:w="1161"/>
        <w:gridCol w:w="216"/>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2026</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90,595 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93,260 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Restricted cash, current</w:t>
            </w:r>
            <w:r>
              <w:rPr>
                <w:rFonts w:ascii="Archivo;sans-serif" w:hAnsi="Archivo;sans-serif"/>
                <w:b w:val="false"/>
                <w:color w:val="000000"/>
                <w:sz w:val="12"/>
              </w:rPr>
              <w:t>1</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92,302 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94,962 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180"/>
        <w:jc w:val="both"/>
        <w:rPr>
          <w:rFonts w:ascii="Archivo;sans-serif" w:hAnsi="Archivo;sans-serif"/>
          <w:b w:val="false"/>
          <w:i/>
          <w:color w:val="000000"/>
          <w:sz w:val="16"/>
        </w:rPr>
      </w:pPr>
      <w:r>
        <w:rPr>
          <w:rFonts w:ascii="Archivo;sans-serif" w:hAnsi="Archivo;sans-serif"/>
          <w:b w:val="false"/>
          <w:i/>
          <w:color w:val="000000"/>
          <w:sz w:val="16"/>
        </w:rPr>
        <w:t>(1) Restricted cash is related to accrued holdbacks for business combinations.</w:t>
      </w:r>
    </w:p>
    <w:p>
      <w:pPr>
        <w:pStyle w:val="TextBody"/>
        <w:bidi w:val="0"/>
        <w:spacing w:lineRule="auto" w:line="288" w:before="160" w:after="160"/>
        <w:jc w:val="both"/>
        <w:rPr/>
      </w:pPr>
      <w:r>
        <w:rPr>
          <w:rFonts w:ascii="Archivo;sans-serif" w:hAnsi="Archivo;sans-serif"/>
          <w:b w:val="false"/>
          <w:color w:val="000000"/>
          <w:sz w:val="18"/>
        </w:rPr>
        <w:t xml:space="preserve">Our primary requirements for liquidity and working capital include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2027 is to maintain sufficient liquidity to fund our operations and growth initiatives, including planned software development activities, and to pay down our outstanding debt. As of June 30, 2026,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principal and interest payments related to our debt obligations, and operating and capital purchase commitments. For information regarding our expected cash requirements and timing of payments related to leases and noncancelable purchase commitments, see Note </w:t>
      </w:r>
      <w:hyperlink w:anchor="if30140fa273b4bc0a628c148305beaa5_52">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xml:space="preserve">, Leases, and Note </w:t>
      </w:r>
      <w:hyperlink w:anchor="if30140fa273b4bc0a628c148305beaa5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 xml:space="preserve">, Commitments and Contingencies, respectively, to the condensed consolidated financial statements. Additionally, refer to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to the condensed consolidated financial statements for more information related to our debt obligations.</w:t>
      </w:r>
    </w:p>
    <w:p>
      <w:pPr>
        <w:pStyle w:val="TextBody"/>
        <w:bidi w:val="0"/>
        <w:spacing w:lineRule="auto" w:line="288" w:before="160" w:after="160"/>
        <w:jc w:val="both"/>
        <w:rPr/>
      </w:pPr>
      <w:r>
        <w:rPr>
          <w:rFonts w:ascii="Archivo;sans-serif" w:hAnsi="Archivo;sans-serif"/>
          <w:b w:val="false"/>
          <w:color w:val="000000"/>
          <w:sz w:val="18"/>
        </w:rPr>
        <w:t xml:space="preserve">Our outstanding 2024 Term Loan allows for voluntary prepayments. In order to reduce future cash interest payments, as well as future amounts due at maturity or upon redemption, we may, from time to time, make prepayments. The Company evaluates opportunities for stock repurchases, and may utilize cash and cash equivalents to repurchase shares under the 2017 Repurchase Plan. During the three months ended June 30, 2025, the Company repurchased 1.0 million shares of common stock in the open market for approximately $1.8 million at an average price of $1.83 per share. For more information, see Note </w:t>
      </w:r>
      <w:hyperlink w:anchor="if30140fa273b4bc0a628c148305beaa5_64">
        <w:r>
          <w:rPr>
            <w:rStyle w:val="InternetLink"/>
            <w:rFonts w:ascii="Archivo;sans-serif" w:hAnsi="Archivo;sans-serif"/>
            <w:b w:val="false"/>
            <w:strike w:val="false"/>
            <w:dstrike w:val="false"/>
            <w:color w:val="0000FF"/>
            <w:sz w:val="18"/>
            <w:u w:val="none"/>
            <w:effect w:val="none"/>
          </w:rPr>
          <w:t>9</w:t>
        </w:r>
      </w:hyperlink>
      <w:r>
        <w:rPr>
          <w:rFonts w:ascii="Archivo;sans-serif" w:hAnsi="Archivo;sans-serif"/>
          <w:b w:val="false"/>
          <w:color w:val="000000"/>
          <w:sz w:val="18"/>
        </w:rPr>
        <w:t>, Stock-Based Compensation and Stockholders' Equity.</w:t>
      </w:r>
    </w:p>
    <w:p>
      <w:pPr>
        <w:pStyle w:val="TextBody"/>
        <w:bidi w:val="0"/>
        <w:spacing w:lineRule="auto" w:line="288" w:before="160" w:after="160"/>
        <w:jc w:val="both"/>
        <w:rPr/>
      </w:pPr>
      <w:r>
        <w:rPr>
          <w:rFonts w:ascii="Archivo;sans-serif" w:hAnsi="Archivo;sans-serif"/>
          <w:b w:val="false"/>
          <w:color w:val="000000"/>
          <w:sz w:val="18"/>
        </w:rPr>
        <w:t xml:space="preserve">As of June 30, 2026, our 2028 Notes were trading at a discount to their respective principal amount. We may seek to retire, refinance or purchase our outstanding debt through open-market purchases, privately negotiated transactions or otherwise, which may have an impact on our liquidity requirements. Any such transactions will be dependent upon several factors, including our liquidity requirements, contractual restrictions, prevailing market conditions, and other factors. Whether or not we engage in any such transactions will be determined at our discretion. For historical debt payments, see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Cash Flows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flows provided by (used in) operating, investing and financing activities (in thousands):</w:t>
      </w:r>
    </w:p>
    <w:tbl>
      <w:tblPr>
        <w:tblW w:w="7138" w:type="dxa"/>
        <w:jc w:val="left"/>
        <w:tblInd w:w="0" w:type="dxa"/>
        <w:tblLayout w:type="fixed"/>
        <w:tblCellMar>
          <w:top w:w="28" w:type="dxa"/>
          <w:left w:w="28" w:type="dxa"/>
          <w:bottom w:w="28" w:type="dxa"/>
          <w:right w:w="28" w:type="dxa"/>
        </w:tblCellMar>
      </w:tblPr>
      <w:tblGrid>
        <w:gridCol w:w="1446"/>
        <w:gridCol w:w="1268"/>
        <w:gridCol w:w="1276"/>
        <w:gridCol w:w="264"/>
        <w:gridCol w:w="966"/>
        <w:gridCol w:w="127"/>
        <w:gridCol w:w="127"/>
        <w:gridCol w:w="127"/>
        <w:gridCol w:w="127"/>
        <w:gridCol w:w="264"/>
        <w:gridCol w:w="966"/>
        <w:gridCol w:w="180"/>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provided by operating activities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17,034 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11,873 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investing activities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(3,148)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financing activities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(16,184)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(17,337)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Effect of exchange rate changes on cash</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decrease in cash and cash equivalents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(2,660)</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(7,092)</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3350"/>
                <wp:effectExtent l="0" t="0" r="0" b="0"/>
                <wp:wrapNone/>
                <wp:docPr id="29"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provided by operating activities increased by $5.2 million to $17.0 million for the three months ended June 30, 2026, primarily due to an increase in cash collected from customers, a decrease in cash paid to vendors, employees and interest on outstanding debt and an increase in other accrued liabilities primarily in the APAC region. Cash used in investing activities decreased by $1.3 million to $3.1 million for the three months ended June 30, 2026, mainly due to a decrease in capitalized internal-use software costs partially offset by an increase in purchases of property and equipment. Cash used in financing activities decreased by $1.2 million to $16.2 million for the three months ended June 30, 2026, mainly due to a repurchase of common stock completed in fiscal 2026 and repayment of the 2024 Term Loan, partially offset by an increase in payments for other activities.</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Debt Obligations</w:t>
      </w:r>
    </w:p>
    <w:p>
      <w:pPr>
        <w:pStyle w:val="TextBody"/>
        <w:bidi w:val="0"/>
        <w:spacing w:lineRule="auto" w:line="288" w:before="0" w:after="160"/>
        <w:jc w:val="both"/>
        <w:rPr/>
      </w:pPr>
      <w:r>
        <w:rPr>
          <w:rFonts w:ascii="Archivo;sans-serif" w:hAnsi="Archivo;sans-serif"/>
          <w:b w:val="false"/>
          <w:color w:val="000000"/>
          <w:sz w:val="18"/>
        </w:rPr>
        <w:t xml:space="preserve">See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in the unaudited condensed consolidated financial statements included elsewhere in this Quarterly Report for information regarding our debt obligations.</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On August 5, 2024, we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and the fees incurred in connection with the Repayment.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SOFR, plus a margin of either 2.50%, 2.75% or 3.00% based on the consolidated total net leverage ratio of the Company and its subsidiaries. The initial margin was 3.00% for the fiscal quarter ending September 30, 2024 and remained 3.00% as of June 30, 2026. We have the option to pay interest monthly, quarterly, or semi-annually. During the three months ended June 30, 2026, we elected monthly interest payment terms which resulted in cash payments of $1.8 million. For the three months ending September 30, 2026, we have elected monthly interest payment terms, which will result in cash payments of approximately $1.8 million. As of June 30, 2026, the debt issuance costs were amortized to interest expense over the term of the 2024 Term Loan at an effective interest rate of 8.61%.</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we have the right to prepay the 2024 Term Loan at any time without any premium or penalty. We completed three principal repayments of the 2024 Term Loan during fiscal 2026 for a total of $30.0 million in aggregate principal amount. We completed one principal repayment of the 2024 Term Loan during fiscal 2027 for $14.5 million in aggregate principal amount.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June 30, 2026, the scheduled minimum principal repayments are $25.0 million in fiscal 2027 (comprised of $12.5 million on each of December 31, 2026 and March 31, 2027) and $82.5 million fiscal 2028 (comprised of $12.5 million on June 30, 2027 and $70.0 million due upon maturity on August 15, 2027). As of June 30, 2026, we have paid $22.5 million, $37.5 million, $22.5 million, and $10.0 million of the originally scheduled principal repayments due in fiscal 2025, 2026, 2027, and 2028 respectively, and the remaining principal amount of the 2024 Term Loan after the payments is $107.5 million.</w:t>
      </w:r>
    </w:p>
    <w:p>
      <w:pPr>
        <w:pStyle w:val="TextBody"/>
        <w:bidi w:val="0"/>
        <w:spacing w:lineRule="auto" w:line="288" w:before="0" w:after="160"/>
        <w:jc w:val="both"/>
        <w:rPr/>
      </w:pPr>
      <w:r>
        <w:rPr>
          <w:rFonts w:ascii="Archivo;sans-serif" w:hAnsi="Archivo;sans-serif"/>
          <w:b w:val="false"/>
          <w:color w:val="000000"/>
          <w:sz w:val="18"/>
        </w:rPr>
        <w:t xml:space="preserve">These short-term principal debt repayments are accounted for as partial debt extinguishment transactions. The carrying value of the 2024 Term Loan, including the unamortized debt discount and issuance costs, was derecognized. The difference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 and comprehensive income (loss). See Note </w:t>
      </w:r>
      <w:hyperlink w:anchor="if30140fa273b4bc0a628c148305beaa5_46">
        <w:r>
          <w:rPr>
            <w:rStyle w:val="InternetLink"/>
            <w:rFonts w:ascii="Archivo;sans-serif" w:hAnsi="Archivo;sans-serif"/>
            <w:b w:val="false"/>
            <w:strike w:val="false"/>
            <w:dstrike w:val="false"/>
            <w:color w:val="0000FF"/>
            <w:sz w:val="18"/>
            <w:u w:val="none"/>
            <w:effect w:val="none"/>
          </w:rPr>
          <w:t>4</w:t>
        </w:r>
      </w:hyperlink>
      <w:r>
        <w:rPr>
          <w:rFonts w:ascii="Archivo;sans-serif" w:hAnsi="Archivo;sans-serif"/>
          <w:b w:val="false"/>
          <w:color w:val="000000"/>
          <w:sz w:val="18"/>
        </w:rPr>
        <w:t>, Financial Statement Components, for further details.</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Material Cash Requirements and Other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March 31, 2026, our material cash requirements and other obligations were $69.6 million. During the fiscal year ended March 31, 2026, we increased our noncancelable three-year hosting service contract commitment from $24.1 million to $54.0 million. Under this agreement, $6.7 million remains due in fiscal 2027 and $10.0 million will be due in fiscal 2028. During the three months ended June 30, 2026, we entered into a $74.0 million noncancelable five-year hosting service contract with a cloud service provider. Under this agreement, $8.1 million remains due during fiscal 2027, $13.9 million will be due during fiscal 2028, $15.8 million will be due during fiscal 2029 and $36.2 million will be due for the remaining contractual term. For information regarding our material cash requirements and other obligations, see Item 7, "Management's Discussion and Analysis" in the Form 10-K.</w:t>
      </w:r>
    </w:p>
    <w:p>
      <w:pPr>
        <w:pStyle w:val="TextBody"/>
        <w:bidi w:val="0"/>
        <w:spacing w:lineRule="auto" w:line="288" w:before="0" w:after="160"/>
        <w:jc w:val="both"/>
        <w:rPr/>
      </w:pPr>
      <w:r>
        <w:rPr>
          <w:rFonts w:ascii="Archivo;sans-serif" w:hAnsi="Archivo;sans-serif"/>
          <w:b w:val="false"/>
          <w:color w:val="000000"/>
          <w:sz w:val="18"/>
        </w:rPr>
        <w:t xml:space="preserve">During the three months ended June 30, 2026, we reduced the 2024 Term Loan contractual principal by $14.5 million to $107.5 million. See Note </w:t>
      </w:r>
      <w:hyperlink w:anchor="if30140fa273b4bc0a628c148305beaa5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3350"/>
                <wp:effectExtent l="0" t="0" r="0" b="0"/>
                <wp:wrapNone/>
                <wp:docPr id="30"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Critical Accounting Policies and Estimates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0" w:after="160"/>
        <w:jc w:val="both"/>
        <w:rPr/>
      </w:pPr>
      <w:r>
        <w:rPr>
          <w:rFonts w:ascii="Archivo;sans-serif" w:hAnsi="Archivo;sans-serif"/>
          <w:b w:val="false"/>
          <w:color w:val="000000"/>
          <w:sz w:val="18"/>
        </w:rPr>
        <w:t xml:space="preserve">Our consolidated financial statements are prepared in accordance with U.S. generally accepted accounting principles ("U.S. GAAP"). See Note </w:t>
      </w:r>
      <w:hyperlink w:anchor="if30140fa273b4bc0a628c148305beaa5_34">
        <w:r>
          <w:rPr>
            <w:rStyle w:val="InternetLink"/>
            <w:rFonts w:ascii="Archivo;sans-serif" w:hAnsi="Archivo;sans-serif"/>
            <w:b w:val="false"/>
            <w:strike w:val="false"/>
            <w:dstrike w:val="false"/>
            <w:color w:val="0000FF"/>
            <w:sz w:val="18"/>
            <w:u w:val="none"/>
            <w:effect w:val="none"/>
          </w:rPr>
          <w:t>1</w:t>
        </w:r>
      </w:hyperlink>
      <w:r>
        <w:rPr>
          <w:rFonts w:ascii="Archivo;sans-serif" w:hAnsi="Archivo;sans-serif"/>
          <w:b w:val="false"/>
          <w:color w:val="000000"/>
          <w:sz w:val="18"/>
        </w:rPr>
        <w:t>, The Company and Significant Accounting Policies,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three months ended June 30, 2026 to our critical accounting policies and estimates previously disclosed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0" w:name="iea3fe77e0c9740309662d8e69c5029de_329"/>
      <w:bookmarkEnd w:id="10"/>
      <w:r>
        <w:rPr>
          <w:rFonts w:ascii="Archivo;sans-serif" w:hAnsi="Archivo;sans-serif"/>
          <w:b/>
          <w:color w:val="000000"/>
          <w:sz w:val="22"/>
        </w:rPr>
        <w:t>ITEM 3. Quantitative and Qualitative Disclosures About Market Risk</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There have been no material changes in our exposures to market risk since March 31, 2026. For details on the Company’s interest rate and foreign currency exchange risks, see Part II, Item 7A, “Quantitative and Qualitative Disclosures About Market Risk”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1" w:name="ib99cbc66231a49018cf85ac638f76804_1613"/>
      <w:bookmarkEnd w:id="11"/>
      <w:r>
        <w:rPr>
          <w:rFonts w:ascii="Archivo;sans-serif" w:hAnsi="Archivo;sans-serif"/>
          <w:b/>
          <w:color w:val="000000"/>
          <w:sz w:val="22"/>
        </w:rPr>
        <w:t>ITEM 4. Controls and Procedures</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Evaluation of Disclosure Controls and Procedures</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Our management, with the participation of our Chief Executive Officer ("CEO") and Chief Financial Officer ("CFO"), has evaluated the effectiveness of our disclosure controls and procedures (as defined in Rules 13a-15(e) and 15d-15(e) under the Securities Exchange Act of 1934, as amended) as of June 30, 2026. Based on this evaluation, our CEO and CFO concluded that, as of June 30, 2026, our disclosure controls and procedures were effective at a reasonable assurance level to ensure that information required to be disclosed by us in the reports that we file or submit under the Exchange Act is recorded, processed, summarized, and reported within the time periods specified in the SEC’s rules and forms.</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Changes in Internal Control Over Financial Reporting</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During the three months ended June 30, 2026, there was no change in our internal control over financial reporting that has materially affected, or is reasonably likely to materially affect, our internal control over financial reporting.</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Limitations on the Effectiveness of Controls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Our management, including the CEO and CFO,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3350"/>
                <wp:effectExtent l="0" t="0" r="0" b="0"/>
                <wp:wrapNone/>
                <wp:docPr id="31"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12" w:name="ieeddca64bc2847b6b2846a872682aeca_30"/>
      <w:bookmarkEnd w:id="12"/>
      <w:r>
        <w:rPr>
          <w:rFonts w:ascii="Archivo;sans-serif" w:hAnsi="Archivo;sans-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3" w:name="i6baef08609d34ae38ba80df7800ef93e_326"/>
      <w:bookmarkEnd w:id="13"/>
      <w:r>
        <w:rPr>
          <w:rFonts w:ascii="Archivo;sans-serif" w:hAnsi="Archivo;sans-serif"/>
          <w:b/>
          <w:color w:val="000000"/>
          <w:sz w:val="22"/>
        </w:rPr>
        <w:t>ITEM 1. Legal Proceedings</w:t>
      </w:r>
    </w:p>
    <w:p>
      <w:pPr>
        <w:pStyle w:val="TextBody"/>
        <w:bidi w:val="0"/>
        <w:spacing w:lineRule="auto" w:line="288" w:before="0" w:after="240"/>
        <w:jc w:val="both"/>
        <w:rPr/>
      </w:pPr>
      <w:r>
        <w:rPr>
          <w:rFonts w:ascii="Archivo;sans-serif" w:hAnsi="Archivo;sans-serif"/>
          <w:b w:val="false"/>
          <w:color w:val="000000"/>
          <w:sz w:val="18"/>
        </w:rPr>
        <w:t xml:space="preserve">Information with respect to this item may be found in Note </w:t>
      </w:r>
      <w:hyperlink w:anchor="if30140fa273b4bc0a628c148305beaa5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 Commitments and Contingencies</w:t>
      </w:r>
      <w:r>
        <w:rPr>
          <w:rFonts w:ascii="Archivo;sans-serif" w:hAnsi="Archivo;sans-serif"/>
          <w:b w:val="false"/>
          <w:i/>
          <w:color w:val="000000"/>
          <w:sz w:val="18"/>
        </w:rPr>
        <w:t>,</w:t>
      </w:r>
      <w:r>
        <w:rPr>
          <w:color w:val="000000"/>
        </w:rPr>
        <w:t xml:space="preserve"> </w:t>
      </w:r>
      <w:r>
        <w:rPr>
          <w:rFonts w:ascii="Archivo;sans-serif" w:hAnsi="Archivo;sans-serif"/>
          <w:b w:val="false"/>
          <w:color w:val="000000"/>
          <w:sz w:val="18"/>
        </w:rPr>
        <w:t>under the heading “Legal Proceedings” in the Notes to Unaudited Condensed Consolidated Financial Statements included in this Quarterly Report, which is incorporated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bookmarkStart w:id="14" w:name="i1d5fa26823fd461ba9896f26f605ab34_663"/>
      <w:bookmarkEnd w:id="14"/>
      <w:r>
        <w:rPr>
          <w:rFonts w:ascii="Archivo;sans-serif" w:hAnsi="Archivo;sans-serif"/>
          <w:b/>
          <w:color w:val="000000"/>
          <w:sz w:val="22"/>
        </w:rPr>
        <w:t>ITEM 1A.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chivo;sans-serif" w:hAnsi="Archivo;sans-serif"/>
          <w:b/>
          <w:color w:val="000000"/>
          <w:sz w:val="22"/>
        </w:rPr>
      </w:pPr>
      <w:bookmarkStart w:id="15" w:name="iaa409b42d49c433c873bcd5843c433ad_720"/>
      <w:bookmarkEnd w:id="15"/>
      <w:r>
        <w:rPr>
          <w:rFonts w:ascii="Archivo;sans-serif" w:hAnsi="Archivo;sans-serif"/>
          <w:b/>
          <w:color w:val="000000"/>
          <w:sz w:val="22"/>
        </w:rPr>
        <w:t>ITEM 2. Unregistered Sales of Equity Securities and Use of Proceeds</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(a) Unregistered Sales of Equity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(b) Use of Proceeds from Registered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60"/>
        <w:jc w:val="left"/>
        <w:rPr>
          <w:rFonts w:ascii="Archivo;sans-serif" w:hAnsi="Archivo;sans-serif"/>
          <w:b w:val="false"/>
          <w:color w:val="000000"/>
          <w:sz w:val="18"/>
        </w:rPr>
      </w:pPr>
      <w:r>
        <w:rPr>
          <w:rFonts w:ascii="Archivo;sans-serif" w:hAnsi="Archivo;sans-serif"/>
          <w:b w:val="false"/>
          <w:color w:val="000000"/>
          <w:sz w:val="18"/>
        </w:rPr>
        <w:t>(c) Issuer Purchases of Equity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chivo;sans-serif" w:hAnsi="Archivo;sans-serif"/>
          <w:b/>
          <w:color w:val="000000"/>
          <w:sz w:val="22"/>
        </w:rPr>
      </w:pPr>
      <w:bookmarkStart w:id="16" w:name="i5fdeff7887ca465996de7030a3f409b7_49"/>
      <w:bookmarkEnd w:id="16"/>
      <w:r>
        <w:rPr>
          <w:rFonts w:ascii="Archivo;sans-serif" w:hAnsi="Archivo;sans-serif"/>
          <w:b/>
          <w:color w:val="000000"/>
          <w:sz w:val="22"/>
        </w:rPr>
        <w:t>ITEM 3. Defaults Upon Senior Securities</w:t>
      </w:r>
    </w:p>
    <w:p>
      <w:pPr>
        <w:pStyle w:val="TextBody"/>
        <w:bidi w:val="0"/>
        <w:spacing w:lineRule="auto" w:line="288" w:before="120" w:after="240"/>
        <w:jc w:val="left"/>
        <w:rPr>
          <w:rFonts w:ascii="Archivo;sans-serif" w:hAnsi="Archivo;sans-serif"/>
          <w:b w:val="false"/>
          <w:color w:val="000000"/>
          <w:sz w:val="18"/>
        </w:rPr>
      </w:pPr>
      <w:r>
        <w:rPr>
          <w:rFonts w:ascii="Archivo;sans-serif" w:hAnsi="Archiv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7" w:name="i8a741ad037974edda3d68ce5461d01d4_51"/>
      <w:bookmarkEnd w:id="17"/>
      <w:r>
        <w:rPr>
          <w:rFonts w:ascii="Archivo;sans-serif" w:hAnsi="Archivo;sans-serif"/>
          <w:b/>
          <w:color w:val="000000"/>
          <w:sz w:val="22"/>
        </w:rPr>
        <w:t>ITEM 4. Mine Safety Disclosures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8" w:name="i6def20a294b345e6b241e1d78101e038_1368"/>
      <w:bookmarkEnd w:id="18"/>
      <w:r>
        <w:rPr>
          <w:rFonts w:ascii="Archivo;sans-serif" w:hAnsi="Archivo;sans-serif"/>
          <w:b/>
          <w:color w:val="000000"/>
          <w:sz w:val="22"/>
        </w:rPr>
        <w:t>ITEM 5. Other Information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None of the Company's directors and officers (as defined in Rule 16a-1(f) under the Exchange Act) adopted or terminated a Rule 10b5-1 trading arrangement (as defined in Item 408(c) of Regulation S-K) during the three months ended June 30, 2026, except as noted below:</w:t>
      </w:r>
    </w:p>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Andrew Burton, a member of our Board of Directors and a Section 16 director, adopted a Rule 10b5-1 Trading Plan on June 12, 2026, intended to satisfy the affirmative defense of Rule 10b5-1(c) under the Exchange Act. Mr. Burton's Rule 10b5-1 Trading Plan provides for the potential sale, beginning no earlier than September 11, 2026, of up to 107,085 shares of the Company's common stock. The plan is scheduled to expire on October 12, 2026.</w:t>
      </w:r>
    </w:p>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Laurence Denny, our Chief Legal Officer, Corporate Secretary, and a Section 16 officer, adopted a Rule 10b5-1 Trading Plan on June 12, 2026, intended to satisfy the affirmative defense of Rule 10b5-1(c) under the Exchange Act. Mr. Denny’s Rule 10b5-1 Trading Plan provides for the potential sale of up to 20,000 shares of the Company’s common stock, plus an additional number of shares that Mr. Denny may receive in connection with his participation in the ESPP. The exact number of these additional shares can only be determined upon the future purchase of shares under the ESPP. The plan is scheduled to expire on May 20, 2027.</w:t>
      </w:r>
    </w:p>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Samuel Wilson, our Chief Executive Officer and a Section 16 officer, adopted a Rule 10b5-1 Trading Plan on June 12, 2026, intended to satisfy the affirmative defense of Rule 10b5-1(c) under the Exchange Act. Mr. Wilson’s Rule 10b5-1 Trading Plan provides for the potential sale of up to 24,000 shares of the Company’s common stock. The plan is scheduled to expire on September 15, 2027.</w:t>
      </w:r>
    </w:p>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Our officers (as defined in Rule 16a-1(f) under the Exchange Act) have entered into sell-to-cover arrangements, which constitute non-Rule 10b5-1 trading arrangements (as defined in Item 408(c) of Regulation S-K), authorizing the pre-arranged sale of shares to satisfy tax withholding obligations of the Company arising exclusively from the vesting of RSUs and PSUs, as applicable, and the related issuance of shares. Any sale of shares under these arrangements will occur only if (i) the aggregate value of all of the shares withheld by the Company to satisfy such tax withholding obligations in the given fiscal year has reached a certain threshold, and (ii) the sale does not result in any short-swing liability under Section 16(b) of the Exchange Act. The amount of shares to be sold under these arrangements may vary and will be dependent on the trading price of the Company’s common stock at the time of the vesting of the RSUs and PSUs, as applicable. Each of these arrangements lasts until the final vesting date of the applicable RSUs or PSUs, or each officer’s earlier termination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3350"/>
                <wp:effectExtent l="0" t="0" r="0" b="0"/>
                <wp:wrapNone/>
                <wp:docPr id="32"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color w:val="000000"/>
          <w:sz w:val="22"/>
        </w:rPr>
      </w:pPr>
      <w:bookmarkStart w:id="19" w:name="ifcc91f2d08de4669b68b8a28efaa1bb9_21"/>
      <w:bookmarkEnd w:id="19"/>
      <w:r>
        <w:rPr>
          <w:rFonts w:ascii="Archivo;sans-serif" w:hAnsi="Archivo;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408"/>
        <w:gridCol w:w="359"/>
        <w:gridCol w:w="361"/>
        <w:gridCol w:w="1694"/>
        <w:gridCol w:w="1522"/>
        <w:gridCol w:w="1525"/>
        <w:gridCol w:w="400"/>
        <w:gridCol w:w="400"/>
        <w:gridCol w:w="402"/>
        <w:gridCol w:w="333"/>
        <w:gridCol w:w="252"/>
        <w:gridCol w:w="216"/>
        <w:gridCol w:w="371"/>
        <w:gridCol w:w="371"/>
        <w:gridCol w:w="371"/>
        <w:gridCol w:w="354"/>
        <w:gridCol w:w="354"/>
        <w:gridCol w:w="512"/>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Incorporated by Reference</w:t>
            </w:r>
          </w:p>
        </w:tc>
        <w:tc>
          <w:tcPr>
            <w:tcW w:w="12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47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Description</w:t>
            </w:r>
          </w:p>
        </w:tc>
        <w:tc>
          <w:tcPr>
            <w:tcW w:w="120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Company Form</w:t>
            </w:r>
          </w:p>
        </w:tc>
        <w:tc>
          <w:tcPr>
            <w:tcW w:w="8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Filing Date</w:t>
            </w:r>
          </w:p>
        </w:tc>
        <w:tc>
          <w:tcPr>
            <w:tcW w:w="11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12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Filed Herewith</w:t>
            </w:r>
          </w:p>
        </w:tc>
      </w:tr>
      <w:tr>
        <w:trPr/>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w:t>
            </w:r>
          </w:p>
        </w:tc>
        <w:tc>
          <w:tcPr>
            <w:tcW w:w="4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chivo;sans-serif" w:hAnsi="Archivo;sans-serif"/>
                  <w:b w:val="false"/>
                  <w:color w:val="0000FF"/>
                  <w:sz w:val="18"/>
                  <w:u w:val="single"/>
                </w:rPr>
                <w:t>Certificate of Amendment to the Restated Certificate of Incorporation of 8x8, Inc., dated as of July 12, 2022</w:t>
              </w:r>
            </w:hyperlink>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8-K</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7/13/2022</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w:t>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chivo;sans-serif" w:hAnsi="Archivo;sans-serif"/>
                  <w:b w:val="false"/>
                  <w:color w:val="0000FF"/>
                  <w:sz w:val="18"/>
                  <w:u w:val="single"/>
                </w:rPr>
                <w:t>Amended and Restated By-Laws of 8x8, Inc.</w:t>
              </w:r>
            </w:hyperlink>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8-K</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7/28/2015</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w:t>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_8x82022planforfili.htm">
              <w:r>
                <w:rPr>
                  <w:rStyle w:val="InternetLink"/>
                  <w:rFonts w:ascii="Archivo;sans-serif" w:hAnsi="Archivo;sans-serif"/>
                  <w:b w:val="false"/>
                  <w:color w:val="0000FF"/>
                  <w:sz w:val="18"/>
                  <w:u w:val="single"/>
                </w:rPr>
                <w:t>8x8, Inc. Amended and Restated 2022 Equity Incentive Plan</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10.2</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_ar2017plan.htm">
              <w:r>
                <w:rPr>
                  <w:rStyle w:val="InternetLink"/>
                  <w:rFonts w:ascii="Archivo;sans-serif" w:hAnsi="Archivo;sans-serif"/>
                  <w:b w:val="false"/>
                  <w:color w:val="000080"/>
                  <w:sz w:val="18"/>
                  <w:u w:val="single"/>
                </w:rPr>
                <w:t xml:space="preserve">8x8, Inc. Amended and Restated 2017 </w:t>
              </w:r>
            </w:hyperlink>
            <w:hyperlink w:anchor="ex102_ar2017plan.htm">
              <w:r>
                <w:rPr>
                  <w:rStyle w:val="InternetLink"/>
                  <w:rFonts w:ascii="Archivo;sans-serif" w:hAnsi="Archivo;sans-serif"/>
                  <w:b w:val="false"/>
                  <w:color w:val="000080"/>
                  <w:sz w:val="18"/>
                  <w:u w:val="single"/>
                </w:rPr>
                <w:t>New Employee Ind</w:t>
              </w:r>
            </w:hyperlink>
            <w:hyperlink w:anchor="ex102_ar2017plan.htm">
              <w:r>
                <w:rPr>
                  <w:rStyle w:val="InternetLink"/>
                  <w:rFonts w:ascii="Archivo;sans-serif" w:hAnsi="Archivo;sans-serif"/>
                  <w:b w:val="false"/>
                  <w:color w:val="000080"/>
                  <w:sz w:val="18"/>
                  <w:u w:val="single"/>
                </w:rPr>
                <w:t>ucement</w:t>
              </w:r>
            </w:hyperlink>
            <w:hyperlink w:anchor="ex102_ar2017plan.htm">
              <w:r>
                <w:rPr>
                  <w:rStyle w:val="InternetLink"/>
                  <w:rFonts w:ascii="Archivo;sans-serif" w:hAnsi="Archivo;sans-serif"/>
                  <w:b w:val="false"/>
                  <w:color w:val="000080"/>
                  <w:sz w:val="18"/>
                  <w:u w:val="single"/>
                </w:rPr>
                <w:t xml:space="preserve"> Incentive Plan</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10.3</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3_offerletterxcaomar.htm">
              <w:r>
                <w:rPr>
                  <w:rStyle w:val="InternetLink"/>
                  <w:rFonts w:ascii="Archivo;sans-serif" w:hAnsi="Archivo;sans-serif"/>
                  <w:b w:val="false"/>
                  <w:color w:val="0000FF"/>
                  <w:sz w:val="18"/>
                  <w:u w:val="single"/>
                </w:rPr>
                <w:t>Offer Letter, dated as of June 25, 2026, between 8x8, Inc. and Colleen Martin-Garcia</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10.4</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4_middletonhunteroff.htm">
              <w:r>
                <w:rPr>
                  <w:rStyle w:val="InternetLink"/>
                  <w:rFonts w:ascii="Archivo;sans-serif" w:hAnsi="Archivo;sans-serif"/>
                  <w:b w:val="false"/>
                  <w:color w:val="0000FF"/>
                  <w:sz w:val="18"/>
                  <w:u w:val="single"/>
                </w:rPr>
                <w:t>Offer Letter, dated as of February 15, 2018, between 8x8, Inc. and Hunter L. Middleton</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31.1</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7q1xex311.htm">
              <w:r>
                <w:rPr>
                  <w:rStyle w:val="InternetLink"/>
                  <w:rFonts w:ascii="Archivo;sans-serif" w:hAnsi="Archivo;sans-serif"/>
                  <w:b w:val="false"/>
                  <w:color w:val="0000FF"/>
                  <w:sz w:val="18"/>
                  <w:u w:val="single"/>
                </w:rPr>
                <w:t>Certification of Chief Executive Officer of the Registrant pursuant to Rule 13a-14</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31.2</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7q1xex312.htm">
              <w:r>
                <w:rPr>
                  <w:rStyle w:val="InternetLink"/>
                  <w:rFonts w:ascii="Archivo;sans-serif" w:hAnsi="Archivo;sans-serif"/>
                  <w:b w:val="false"/>
                  <w:color w:val="0000FF"/>
                  <w:sz w:val="18"/>
                  <w:u w:val="single"/>
                </w:rPr>
                <w:t>Certification of Chief Financial Officer of the Registrant pursuant to Rule 13a-14</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32.1</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7q1xex321.htm">
              <w:r>
                <w:rPr>
                  <w:rStyle w:val="InternetLink"/>
                  <w:rFonts w:ascii="Archivo;sans-serif" w:hAnsi="Archivo;sans-serif"/>
                  <w:b w:val="false"/>
                  <w:color w:val="0000FF"/>
                  <w:sz w:val="18"/>
                  <w:u w:val="single"/>
                </w:rPr>
                <w:t>Certification of Chief Executive Officer of the Registrant pursuant to 18 U.S.C. 1350, as adopted pursuant to Section 906 of the Sarbanes-Oxley Act of 2002</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32.2</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7q1xex322.htm">
              <w:r>
                <w:rPr>
                  <w:rStyle w:val="InternetLink"/>
                  <w:rFonts w:ascii="Archivo;sans-serif" w:hAnsi="Archivo;sans-serif"/>
                  <w:b w:val="false"/>
                  <w:color w:val="0000FF"/>
                  <w:sz w:val="18"/>
                  <w:u w:val="single"/>
                </w:rPr>
                <w:t>Certification of Chief Financial Officer of the Registrant pursuant to 18 U.S.C. 1350, as adopted pursuant to Section 906 of the Sarbanes-Oxley Act of 2002</w:t>
              </w:r>
            </w:hyperlink>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101.INS</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Instance Document - the instance document does not appear in the Interactive Data File because its XBRL tags are embedded within the Inline XBRL document.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101.SCH</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Schema Linkbase Document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101.CAL</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Calculation Linkbase Document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101.DEF</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Definition Linkbase Document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101.LAB</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Labels Linkbase Document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101.PRE</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Presentation Linkbase Document</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104</w:t>
            </w:r>
          </w:p>
        </w:tc>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Cover Page Interactive Data File. Formatted as inline XBRL and contained in Exhibit 101.</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3350"/>
                <wp:effectExtent l="0" t="0" r="0" b="0"/>
                <wp:wrapNone/>
                <wp:docPr id="33"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f30140fa273b4bc0a628c148305beaa5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20" w:name="ia68a989ef1b743f29bc262f4ce8a5966_337"/>
      <w:bookmarkEnd w:id="20"/>
      <w:r>
        <w:rPr>
          <w:rFonts w:ascii="Archivo;sans-serif" w:hAnsi="Archivo;sans-serif"/>
          <w:b/>
          <w:color w:val="000000"/>
          <w:sz w:val="22"/>
        </w:rPr>
        <w:t>SIGNATURES</w:t>
      </w:r>
    </w:p>
    <w:p>
      <w:pPr>
        <w:pStyle w:val="TextBody"/>
        <w:bidi w:val="0"/>
        <w:spacing w:lineRule="auto" w:line="288" w:before="240" w:after="360"/>
        <w:jc w:val="both"/>
        <w:rPr>
          <w:rFonts w:ascii="Archivo;sans-serif" w:hAnsi="Archivo;sans-serif"/>
          <w:b w:val="false"/>
          <w:color w:val="000000"/>
          <w:sz w:val="18"/>
        </w:rPr>
      </w:pPr>
      <w:r>
        <w:rPr>
          <w:rFonts w:ascii="Archivo;sans-serif" w:hAnsi="Archivo;sans-serif"/>
          <w:b w:val="false"/>
          <w:color w:val="000000"/>
          <w:sz w:val="18"/>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August 5, 2026.</w:t>
      </w:r>
    </w:p>
    <w:tbl>
      <w:tblPr>
        <w:tblW w:w="64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88"/>
        <w:gridCol w:w="1688"/>
        <w:gridCol w:w="23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4"/>
              </w:rPr>
            </w:pPr>
            <w:r>
              <w:rPr>
                <w:rFonts w:ascii="Archivo;sans-serif" w:hAnsi="Archivo;sans-serif"/>
                <w:b/>
                <w:color w:val="000000"/>
                <w:sz w:val="24"/>
              </w:rPr>
              <w:t>8x8,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/s/ Kevin Kraus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Kevin Kraus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(Principal Financial Officer and Duly Authorized Officer)</w:t>
            </w:r>
          </w:p>
        </w:tc>
      </w:tr>
    </w:tbl>
    <w:p>
      <w:pPr>
        <w:pStyle w:val="TextBody"/>
        <w:bidi w:val="0"/>
        <w:spacing w:before="0" w:after="0"/>
        <w:jc w:val="center"/>
        <w:rPr/>
      </w:pPr>
      <w:bookmarkStart w:id="21" w:name="ex101_8x82022planforfili.htm"/>
      <w:bookmarkStart w:id="22" w:name="ksex101_8x82022planforfili"/>
      <w:bookmarkEnd w:id="21"/>
      <w:bookmarkEnd w:id="22"/>
      <w:r>
        <w:rPr/>
        <w:drawing>
          <wp:inline distT="0" distB="0" distL="0" distR="0">
            <wp:extent cx="9982200" cy="1300162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5"/>
                    <a:stretch>
                      <a:fillRect/>
                    </a:stretch>
                  </pic:blipFill>
                  <pic:spPr bwMode="auto">
                    <a:xfrm>
                      <a:off x="0" y="0"/>
                      <a:ext cx="99822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3350"/>
                <wp:effectExtent l="0" t="0" r="0" b="0"/>
                <wp:wrapNone/>
                <wp:docPr id="35"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32</w:t>
                      </w:r>
                    </w:p>
                  </w:txbxContent>
                </v:textbox>
                <w10:wrap type="none"/>
              </v:rect>
            </w:pict>
          </mc:Fallback>
        </mc:AlternateContent>
      </w:r>
    </w:p>
    <w:p>
      <w:pPr>
        <w:pStyle w:val="TextBody"/>
        <w:bidi w:val="0"/>
        <w:jc w:val="center"/>
        <w:rPr>
          <w:color w:val="FFFFFF"/>
          <w:sz w:val="2"/>
        </w:rPr>
      </w:pPr>
      <w:r>
        <w:rPr>
          <w:color w:val="FFFFFF"/>
          <w:sz w:val="2"/>
        </w:rPr>
        <w:t xml:space="preserve">8x8, Inc. | 1 8X8, INC. AMENDED AND RESTATED 2022 EQUITY INCENTIVE PLAN, AS AMENDED The following constitute the provisions of 8x8, Inc.’s Amended and Restated 2022 Equity Incentive Plan, as most recently amended, restated and adopted by the Board on June 20, 2026, and most recently approved by 8x8, Inc.’s stockholders on August 3, 2026. 1. Purpose This Plan is intended to encourage ownership of Stock by employees, consultants and directors of the Company and its Affiliates and to provide additional incentive for them to promote the success of the Company’s business through the grant of Awards of or pertaining to shares of the Company’s Stock. 2. Definitions As used in the Plan, the following terms shall have the respective meanings set out below, unless the context clearly requires otherwise: 2.1 Accountants shall have the meaning set forth in Section 8.3(d) herein. 2.2 Affiliate means any corporation, partnership, limited liability company, business trust, or other entity controlling, controlled by or under common control with the Company. 2.3 Applicable Laws means the requirements relating to the administration of equity-based awards under U.S. state corporate laws, U.S. federal and state securities laws, the Code, any stock exchange or quotation system on which the Stock is listed or quoted and the applicable laws of any non-U.S. country or jurisdiction where Awards are, or will be, granted under the Plan. 2.4 Applicable Ratio shall have the meaning set forth in Section 4.1(a) herein. 2.5 Award means any grant or sale pursuant to the Plan of Options, Stock Appreciation Rights, Performance Units, Restricted Stock, Restricted Stock Units, or Stock Grants. 2.6 Award Agreement means an agreement between the Company and the recipient of an Award, or other notice of grant of an Award, setting forth the terms and conditions of the Award. 2.7 Board means the Company’s Board of Directors. 2.8 Board Approval Time means 12:01 a.m. Pacific Time on the date the Plan was initially adopted by the Board (May 17, 2022). 2.9 Change in Control means the consummation of any of the following corporate transactions: (i) an acquisition in one or more related transactions of 45% or more of the Company’s common stock or voting securities by a “person” (as defined in Sections 13(d) and 14(d) of the Exchange Act, but excluding the Company, any employee benefit plan of the Company and any corporation controlled by the Company’s stockholders) or multiple “persons” acting as a group; (ii) a complete liquidation or dissolution of the Company; (iii) a sale, transfer or other disposition of all or substantially all of the Company’s assets; or (iv) a merger, consolidation or reorganization (collectively, a “Business Combination”) other than a Business Combination in which (x) the stockholders of the Company receive 50% or more of the stock of the corporation resulting from the Business Combination or (y) at least a majority of the board of directors of such resulting corporation were incumbent directors of the Company immediately prior to the consummation of the Business Combination or (z) after which no individual, entity or group (excluding any corporation or other entity resulting from the Business Combination or any employee benefit plan of such corporation or of the Company) who did not own 45% or more of the stock of the resulting corporation or other entity immediately before the Business Combination owns 45% or more of the stock of such resulting corporation or other entity. 2.10 Code means the Internal Revenue Code of 1986, as amended from time to time, or any successor statute thereto, and any regulations issued from time to time thereunder. 2.11 Committee means the Compensation Committee of the Board, which in general is responsible for the administration of the Plan, as provided in Section 5 herein. For any period during which no such committee is in existence, “Committee” shall mean the Board or any committee of the Board to which the Board delegates such authority and responsibility in its sole discretion, and all authority and responsibility assigned to the Committee under the Plan shall be exercised, if at all, by the Board or such delegate, as applicable. 2.12 Company means 8x8, Inc., a corporation organized under the laws of the state of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6"/>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2 2.13 Consultant means any natural person, other than an Employee or Non-Employee Director, engaged by the Company or an Affiliate to render services to such entity if the person: (i) renders bona fide services to the Company or the Affiliate; and (ii) renders services not in connection with the offer or sale of securities in a capital-raising transaction and does not directly or indirectly promote or maintain a market for the Company’s or any of its Affiliates’ securities. 2.14 Contingent Award shall have the meaning set forth in Section 3 herein. 2.15 Director means a member of the Board. 2.16 Disability means total and permanent disability as defined in Section 22(e)(3) of the Code. 2.17 Effective Date means the date the Plan is initially approved by the stockholders of the Company. 2.18 Employee means any person, including Officers and Directors, employed by the Company or any Affiliate. Neither service as a Director nor payment of a director’s fee will be sufficient to constitute “employment.” 2.19 Exchange Act means the U.S. Securities Exchange Act of 1934, as amended. 2.20 Exchange Program means a program under which (i) outstanding Awards are surrendered or cancelled in exchange for Awards of the same type (which may have higher or lower exercise prices and different terms), Awards of a different type, and/or cash, and/or (ii) the exercise price of an outstanding Award is reduced. Notwithstanding the foregoing, the term Exchange Program does not include any action described in Section 6.4 or Section 8 and does not to apply to “issuing or assuming a stock option in a transaction to which Section 424(a) applies” within the meaning of Section 424 of the Code. 2.21 Excise Tax means the excise tax imposed by Section 4999 of the Code. 2.22 Grant Date means the date as of which an Option is granted, as determined under Section 7.1(a). 2.23 Incentive Option means an Option which by its terms is to be treated as an “incentive stock option” within the meaning of Section 422 of the Code. 2.24 Market Value means the value of a share of Stock on a particular date determined by such methods or procedures as may be established by the Committee. Unless otherwise determined by the Committee, the Market Value of Stock as of any date is: (i) the closing price for the Stock as reported on the Nasdaq (or on any other national securities exchange on which the Stock is then listed) for that date or, if no closing price is reported for that date, the closing price on the last date for which a closing price was reported prior to such date; or (ii) if the Stock is not traded on a national securities exchange but is traded over-the- counter, the closing or last price of the Stock on the composite tape or other comparable reporting system on that date or, if such date is not a trading day, the last market trading day prior to such date. 2.25 Non-Employee Director means a Director who is not an Employee. 2.26 Nonstatutory Option means any Option that is not an Incentive Option. 2.27 Officer means a person who is an officer of the Company within the meaning of Section 16 of the Exchange Act and the rules and regulations promulgated thereunder (or any successor law or rule). 2.28 Option means an option to purchase shares of Stock. 2.29 Optionee means an eligible individual to whom an Option shall have been granted under the Plan. 2.30 Parent means a “parent corporation,” whether now or hereafter existing, as defined in Section 424(e) of the Code. 2.31 Participant means any holder of an outstanding Award under the Plan. 2.32 Performance-Based Award means an Award that is earned or becomes vested on account of achievement of one or more Performance Goals. 2.33 Performance Goals means the performance goals determined by the Committee in its discretion to be applicable to an Award. 2.34 Performance Period means the one or more periods of time, which may be of varying and overlapping durations, selected by the Committee, over which the attainment of one or more Performance Goals will be measured for purposes of determining a Participant’s right to, and the payment of, a Performance Unit or other Performance-Based Award. 2.35 Performance Unit means a right granted to a Participant under Section 7.5, to receive cash, Stock or other Awards, the payment of which is contingent on achieving Performance Goals established by the Committee. 2.36 Plan means the 8x8 Inc. Amended and Restated 2022 Equity Incentive Plan, as amended or restated from time to time, including any attachments or addenda hereto. 2.37 Prior Award means, individually or collectively, a grant under the Prior Plan of Options, Stock Appreciation Rights, Performance Units, Restricted Stock, Restricted Stock Units, or Stock Grants. 2.38 Prior Plan means the 8x8 Inc. Amended and Restated 2012 Equity Incentive Plan, and including any attachments or addenda thereto. 2.39 Prior Plan Expiration Time means 12:01 a.m. Pacific Time on June 22,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7"/>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3 2.40 Restricted Stock means a grant or sale of shares of Stock to a Participant subject to a Risk of Forfeiture. 2.41 Restricted Stock Unit means a right to receive Stock at the close of a Restriction Period, subject to a Risk of Forfeiture. 2.42 Restriction Period means the period of time, established by the Committee in connection with an Award of Restricted Stock or Restricted Stock Units, during which the shares of Restricted Stock or Restricted Stock Units are subject to a Risk of Forfeiture described in the applicable Award Agreement. 2.43 Risk of Forfeiture means a limitation on the right of the Participant to retain Restricted Stock or Restricted Stock Units, including a right of the Company to reacquire shares of Restricted Stock at less than their then Market Value, arising because of the occurrence or non-occurrence of specified events or conditions. 2.44 Section 409A shall have the meaning set forth in Section 19 herein. 2.45 Service Provider means an Employee, Non-Employee Director or Consultant. 2.46 Stock means common stock, par value $0.001 per share, of the Company, and such other securities as may be substituted for Stock pursuant to Section 8. 2.47 Stock Appreciation Right or SAR means a right to receive any excess in the Market Value of shares of Stock (except as otherwise provided in Section 7.2(c)) over a specified exercise price. 2.48 Stock Grant means the grant of shares of Stock not subject to restrictions or other forfeiture conditions. 2.49 Stock Right means an Award in the form of an Option or a Stock Appreciation Right. 2.50 Substitute Award means Awards granted or shares of Stock issued by the Company in assumption of, or in substitution or exchange for, awards previously granted, or the right or obligation to make future awards, in each case by a company or other entity acquired by the Company or any Affiliate or with which the Company or any Affiliate combines. 2.51 Successor means, in the event of a Change in Control, the acquiring or succeeding company (or an affiliate thereof). 2.52 Ten Percent Owner means a person who owns, or is deemed within the meaning of Section 422(b)(6)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 2.53 Total Authorized Shares shall have the meaning set forth in Section 4.1 herein. 3. Term of the Plan; Stockholder Approval; Successor to Prior Plan Unless the Plan shall have been earlier terminated by the Board, Awards may be granted under the Plan at any time during the period commencing on the date the Plan is most recently adopted by the Board and ending on the tenth (10th) anniversary of the date the Plan is most recently adopted by the Board. Awards granted pursuant to the Plan within that period shall not expire solely by reason of the termination of the Plan. Any Awards under the Plan granted prior to the Effective Date (“Contingent Awards”) were conditioned upon such stockholder approval. The Plan will be subject to approval by the stockholders of the Company within twelve (12) months after the date the Plan is most recently adopted by the Board. Such stockholder approval will be obtained in the manner and to the degree required under Applicable Laws. The Plan is intended as the successor to the Prior Plan. The Plan shall take effect on the Effective Date. No additional awards may be granted under the Prior Plan following its expiration on June 22, 2022. In addition, from and after 12:01 a.m. Pacific Time on the Effective Date, all outstanding awards granted under the Prior Plan will remain subject to the terms of the Prior Plan. All Awards granted on or after 12:01 a.m. Pacific Time on the Effective Date and all Contingent Awards will be subject to the terms of the Plan. 4. Stock Subject to the Plan 4.1 Shares of Stock Subject to the Plan. Subject to adjustment as provided in Section 8 herein, the maximum number of shares of Stock reserved for the grant of Awards under the Plan (“Total Authorized Shares”) shall be equal to the sum of: (i) 38,838,000 shares of Stock, plus (ii) the number of shares of Stock subject to Options granted under the Prior Plan that were outstanding as of the Prior Plan Expiration Time, but only to the extent such Options expire, terminate, are cancelled without having been exercised in full or are settled in cash after the Prior Plan Expiration Time without the delivery of shares of Stock, plus (iii) the number of shares of Stock subject to Restricted Stock, Restricted Stock Units,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of Stock to the holder (in each case, with each such share referenced in this prong (iii) increasing the shares of Stock available for issuance under the Plan by the “Applicable Ratio”,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8"/>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4 defined below), provided that in no event shall the Total Authorized Shares exceed 55,814,465 shares of Stock (which is the sum of (1) the 38,838,000 shares set forth above, plus (2) the number of shares of Stock that remained available under the Prior Plan for additional award grant purposes as of the Board Approval Time, plus (3) the aggregate number of shares of Stock subject to Options previously granted and outstanding under the Prior Plan as of the Board Approval Time plus (4) the Applicable Ratio times the aggregate number of shares of Stock subject to Restricted Stock, Restricted Stock Units, and Performance Units previously granted and outstanding under the Prior Plan as of the Board Approval Time). Notwithstanding anything to the contrary herein except adjustments in accordance with Section 8, no more than 55,814,465 shares of Stock may be issued pursuant to the exercise of Incentive Options under the Plan. (a) “Applicable Ratio” means (i) one (1) share of Stock for every one (1) share granted in connection with such Prior Awards made before July 25, 2014 or on or after August 1, 2019; (ii) one and one-half (1.5) shares of Stock for every one (1) share granted in connection with such Prior Awards made on or after July 25, 2014 and before July 22, 2016; and (iii) one and seven-tenths (1.7) shares of Stock for every one (1) share granted in connection with such Awards made on or after July 22, 2016 and before August 1, 2019. 4.2 Share Counting; Share Recycling. (a) For purposes of determining the number of shares of Stock available for grant under the Plan, each share of Stock subject to or issued in respect of an Award shall be counted against the Total Authorized Shares as one (1) share of Stock. Shares of Stock issued pursuant to the Plan may be either authorized but unissued shares of Stock or shares of Stock held by the Company in its treasury. (b) If an Award expires, is cancelled or becomes unexercisable without having been exercised in full, or, with respect to Restricted Stock, Restricted Stock Units, or Performance Unit Awards, is forfeited to the Company or repurchased by the Company, the unpurchased shares of Stock (or for Awards other than Options and Stock Appreciation Rights, the forfeited or repurchased shares of Stock) that were subject thereto will become available for future grant or sale under the Plan. Upon exercise of a Stock Appreciation Right settled in shares of Stock, the gross number of shares of Stock covered by the portion of the Award so exercised will cease to be available under the Plan. Shares of Stock that have actually been issued under the Plan under any Award will not be returned to the Plan and will not become available for future distribution under the Plan; provided, however, that if unvested shares of Restricted Stock or Restricted Stock Units or unvested shares subject to Performance Unit Awards are repurchased by the Company or are forfeited to the Company, such shares of Stock will become available for future grant under the Plan. Shares of Stock used to pay the exercise price of an Award and/or to satisfy the tax withholding obligations related to an Award will not become available for future grant or sale under the Plan. To the extent an Award under the Plan is paid out in cash rather than shares of Stock, such cash payment will not reduce the number of shares of Stock available for issuance under the Plan. Shares of Stock actually issued pursuant to Awards transferred under any Exchange Program to reprice Options or Stock Appreciation Rights will not become available for grant or sale under the Plan. 4.3 Substitute Awards. In connection with an entity’s merger or consolidation with the Company or any Affiliate or the Company’s or any Affiliate’s acquisition of an entity’s property or stock, the Committee may grant Awards in substitution for any options or other stock or stock-based awards granted before such merger or consolidation by such entity or its affiliate. Substitute Awards may be granted on such terms and conditions as the Committee deems appropriate, notwithstanding limitations on Awards in the Plan. Substitute Awards will not count against the Total Authorized Shares (nor shall shares of Stock subject to a Substitute Award be added to the shares of Stock available for Awards under the Plan), except that shares of Stock acquired by exercise of substitute Incentive Options will count against the maximum number of shares of Stock that may be issued pursuant to the exercise of Incentive Options under the Plan. 5. Administration The Plan shall be administered by the Committee; provided, however, that at any time and on any one or more occasions the Board may itself exercise any of the powers and responsibilities assigned the Committee under the Plan and when so acting shall have the benefit of all of the provisions of the Plan pertaining to the Committee’s exercise of its authorities hereunder; and provided further, however, that the Committee may delegate to an executive officer or officers the authority to grant Awards hereunder to Employees who are not Officers, and to Consultants, in accordance with such guidelines as the Committee shall set forth at any time or from time to time. Subject to the provisions of the Plan, the Committee shall have complete authority, in its discretion, to make or to select the manner of making all determinations with respect to each Award to be granted by the Company under the Plan including the Employee, Consultant or Non-Employee Director to receive the Award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9"/>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5 the form of Award. In making such determinations, the Committee may take into account the nature of the services rendered by the respective Employees, Consultants, and Non-Employee Directors, their present and potential contributions to the success of the Company and its Affiliates, and such other factors as the Committee in its discretion shall deem relevant. Subject to the provisions of the Plan, the Committee shall also have complete authority to: (a) 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 ceasing to be a Service Provider on any of the foregoing, and (vi) 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 ceasing to be a Service Provider;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Laws; and (g) to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 6. Authorization of Grants 6.1 Eligibility. The Committee may grant from time to time and at any time prior to the termination of the Plan one or more Awards, either alone or in combination with any other Awards, to any Employee, Consultant or Non-Employee Director. However, only Employees who are employees of the Company, and of any parent or subsidiary corporations of the Company, as defined in Sections 424(e) and (f), respectively, of the Code, shall be eligible for the grant of an Incentive Option. 6.2 General Terms of Awards. (a) Terms and Conditions. Each grant of an Award shall be subject to all applicable terms and conditions of the Plan (including, but not limited to, any specific terms and conditions applicable to that type of Award set out in the following sections), and such other terms and conditions, not inconsistent with the terms of the Plan, as the Committee may prescribe. No prospective Participant shall have any rights with respect to an Award, unless and until such Participant shall have complied with the applicable terms and conditions of such Award (including, if applicable, delivering a fully executed copy of any agreement evidencing an Award to the Company). (b) Minimum Vesting. Notwithstanding any other provision of the Plan to the contrary, equity-based Awards granted under the Plan shall vest no earlier than the first anniversary of the date the Award is granted; provided, that the following Awards shall not be subject to the foregoing minimum vesting requirement: any (i) Substitute Awards, (ii) Shares delivered in lieu of fully vested cash Awards, (iii) Awards to Non-Employee Directors that vest on the earlier of the one- 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and, provided further, that the foregoing restriction does not apply to the Committee's discretion to provide for accelerated exercisability or vesting of any Award, including in cases of retirement, death, disability or a Change in Control, in the terms of the Award Agreement or otherwise. 6.3 Effect of Cessation of Service, Disability or Death. (a) Cessation of Service. Unless the Committee shall provide otherwise with respect to any Award, if the Participant ceases to be a Service Provider for any reason other than by the Participant’s Disability or death, including because of an Affiliate ceasing to be an Affiliate, (i) any outstanding Stock Right of the Participant shall cease to be exercisable in any respect not later than 90 days following the date the Participant ceases to be a Service Provider and, for the period it remains exercisable, shall be exercisable only to the extent exercisable as of the date the Participant ceased to be a Service Provider and (ii)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Non-Employee Director. Military or sick leave or other bona fide leave approved by the Company shall not be deemed a cessation of a Participant’s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10"/>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6 as a Service Provider, provided that it does not exceed the longer of six (6) months or the period during which the absent Participant’s reemployment rights, if any, are either guaranteed by statute or by contract or permitted by Company policy. To the extent consistent with Applicable Laws, the Committee may provide that Awards continue to vest for some or all of the period of any such leave, or that their vesting shall be tolled during any such leave and only recommence upon the Participant’s return from leave, if ever. (b) Disability of Participant. If a Participant ceases to be a Service Provider due to the Participant’s Disability, any outstanding Stock Right may be exercised at any time within six months following the date the Participant ceases to be a Service Provider, but only to the extent of the accrued right to exercise as of the date the Participant ceased to be a Service Provider, subject to the condition that no Stock Right shall be exercised after its expiration in accordance with its terms. (c) Death of Participant. In the event of the Participant’s death during the period during which the Stock Right may be exercised, of a Participant who is at the time of his or her death an Employee, Non-Employee Director or Consultant and whose services had not ceased or been terminated (as determined with regard to the second sentence of Section 6.3 (a))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 result of the Participant’s death, but only to the extent of the accrued right to exercise at the time of the Participant’s death, subject to the condition that no Stock Right shall be exercised after its expiration in accordance with its terms. 6.4 Non-Transferability of Awards. Except as otherwise provided in this Section 6.4, Awards shall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 Nonstatutory Option, or shares of Restricted Stock, provide that such Award may be transferred by the recipient to a family member; provided, however, that any such transfer is without payment of any consideration whatsoever and that no transfer shall be valid unless first approved by the Committee, acting in its sole discretion. For this purpose, “family member” means any child, stepchild, grandchild, parent, grandparent, stepparent, spouse, former spouse, sibling, niece, nephew, mother-in-law, father-in-law, son-in-law, daughter-in-law, brother-in-law, or sister-in-law, including adoptive relationships, any person sharing the Participant’s household (other than a tenant or Participant),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6.3 hereof or in the Award Agreement shall continue to be applied with respect to the original Participant, following which the Awards shall be exercisable by the transferee only to the extent, and for the periods specified in the Award Agreement or Section 6.4, as applicable. 6.5 Limitation on Grants of Awards to Non-Employee Directors. Notwithstanding any provision to the contrary in the Plan, a Non- Employee Director may not be granted equity Awards during any single calendar year that, taken together with any cash fees paid to such Non-Employee Director in respect of the Non-Employee Director’s services as a member of the Board during such calendar year, exceeds $800,000 in total value (calculating the value of any such Awards based on the grant date fair value of such Awards for financial accounting purposes). 7. Specific Terms of Awards 7.1 Options. (a) Date of Grant. An Option’s Grant Date shall be specified in the applicable Award Agreement, as determined by the Committee. (b) Exercise Price. The price at which shares of Stock may be acquired under each Incentive Option shall be not less than 100% of the Market Value of Stock on the Grant Date, or not less than 110% of the Market Value of Stock on the Grant Date if the Optionee is a Ten Percent Owner. The price at which shares of Stock may be acquired under each Nonstatutory Option shall not be less than the Market Value of Stock on the Grant Date. Notwithstanding the foregoing, Options may be granted with an exercise price of less than 100% of the Market Value of Stock on the Grant Date pursuant to a transaction described in, and in a manner consistent with, Section 424(a)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11"/>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7 (c) Option Period. No Option may be exercised on or after the tenth (10th) anniversary of the Grant Date, and, further, no Incentive Option may be exercised or on or after the fifth anniversary of the Grant Date if the Optionee is a Ten Percent Owner. (d) Exercisability. An Option may be immediately exercisable or become exercisable in such installments, cumulative or non- cumulative, as the Committee may determine. In the case of an Option not otherwise immediately exercisable in full, the Committee may accelerate the vesting and exercisability of such Option in whole or in part at any time; provided, however, that in the case of an Incentive Option, any such acceleration of the Option would not cause the Option to fail to comply with the provisions of Section 422 of the Code or the Optionee consents to the acceleration. (e) Method of Exercise. An Option may be exercised by the Optionee giving written notice, in the manner provided in Section 16,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 (i) by delivery to the Company of shares of Stock having a Market Value equal to the exercise price of the shares to be purchased, or (ii) by surrender of the Option as to all or part of the shares of Stock for which the Option is then exercisable in exchange for shares of Stock having an aggregate Market Value equal to the difference between (1) the aggregate Market Value of the surrendered portion of the Option, and (2) the aggregate exercise price under the Option for the surrendered portion of the Option, or (iii) unless prohibited by Applicable Laws, by delivery to the Company of the Optionee’s executed promissory note in the principal amount equal to the exercise price of the shares of Stock to be purchased and otherwise in such form as the Committee shall have approved, or (iv) by delivery of any other lawful means of consideration which the Committee may approve. 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or her agent a certificate or certificates or book-entry authorization and instruction to the Company’s transfer agent and registrar for the number of shares of Stock then being purchased. Such shares of Stock shall be fully paid and nonassessable. In its reasonable discretion, the Committee may suspend or halt Option exercises for such length of time as the Committee deems reasonably necessary under circumstances in which such suspension or halt is considered to be in the best interests of the Company. (f) Limit on Incentive Option Characterization. Notwithstanding any Option’s designation as an Incentive Option, to the extent that the aggregate Market Value of the shares of Stock with respect to which Incentive Options are exercisable for the first time by the Participant during any calendar year (under all plans of the Company and its Affiliates) exceeds one hundred thousand dollars ($100,000), such Options will be treated as Nonstatutory Options. (g) Notification of Disposition. Each person exercising any Incentive Option granted under the Plan shall be deemed to have covenanted with the Company to report to the Company any disposition of the shares of Stock issued upon such exercise prior to the expiration of the holding periods specified by Section 422(a)(1) of the Code and, if and to the extent that the realization of income in such a disposition imposes upon the Company federal, state, local or other withholding tax requirements, or any such withholding is required to secure for the Company an otherwise available tax deduction, to remit to the Company an amount in cash sufficient to satisfy those requirements. (h) Participants shall not be entitled to receive payments equivalent to any dividends declared with respect to Stock referenced in the grant of an Option. 7.2 Stock Appreciation Rights. (a) Tandem or Stand-Alone. Stock Appreciation Rights may be granted in tandem with an Option (at or, in the case of a Nonstatutory Option, after, the award of the Option), or alone and unrelated to an Option. Stock Appreciation Rights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2"/>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8 tandem with an Option shall terminate to the extent that the related Option is exercised, and the related Option shall terminate to the extent that the tandem Stock Appreciation Rights are exercised. (b) Exercise Price. Stock Appreciation Rights shall have an exercise price of not less than 100% of the Market Value of the Stock on the date of award, or in the case of Stock Appreciation Rights in tandem with Options, the exercise price of the related Option. (c) Other Terms. Except as the Committee may deem inappropriate or inapplicable in the circumstances, Stock Appreciation Rights shall be subject to terms and conditions substantially similar to those applicable to a Nonstatutory Option. Participants shall not be entitled to receive payments equivalent to any dividends declared with respect to Stock referenced in the grant of a Stock Appreciation Right. 7.3 Restricted Stock. (a) Purchase Price. Shares of Restricted Stock shall be issued under the Plan for such consideration, in cash, other property or services, or any combination thereof, as is determined by the Committee. (b) Issuance of Certificates. Each Participant receiving a Restricted Stock Award, subject to subsection (c) below, shall be issued a stock certificate in respect of such shares of Restricted Stock. Such certificate shall be registered in the name of such Participant, and, if applicable, shall bear an appropriate legend referring to the terms, conditions, and restrictions applicable to such Award substantially in the following form: The shares evidenced by this certificate are subject to the terms and conditions of the 8x8, Inc. Amended and Restated 2022 Equity Incentive Plan and an Award Agreement entered into by the registered owner and 8x8, Inc., copies of which will be furnished by the Company to the holder of the shares evidenced by this certificate upon written request and without charge. (c) Escrow of Shares.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 (d) Restrictions and Restriction Period.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 (e) Rights Pending Lapse of Risk of Forfeiture or Forfeiture of Award.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which, at the Committee’s discretion, may be paid in cash or shares of Stock. Notwithstanding anything in the Plan to the contrary, dividends or other distributions declared during the Restriction Period applicable to any Award of Restricted Stock shall only become payable if (and to the extent) the Restriction Period applicable to the Award of Restricted Stock lapses with all conditions satisfied. Any such dividends shall be paid, if at all, without interest or other earnings. (f) Lapse of Restrictions. If and when the Restriction Period expires without a prior forfeiture of the Restricted Stock, the certificates for such shares shall be delivered to the Participant promptly if not theretofore so delivered. 7.4 Restricted Stock Units. (a) Character. Each Restricted Stock Unit shall entitle the Participant to one or more shares of Stock at a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 (b) Form and Timing of Payment. Payment of earned Restricted Stock Units shall be made in a single lump sum following the close of the applicable Restriction Period. At the discretion of the Committee, Participants may be entitled to receive payments equivalent to any dividends declared with respect to Stock referenced in grants of Restricted Stock Units. Notwithstanding anything in the Plan to the contrary, any such dividend equivalents declared during the Restriction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0" descr=""/>
                    <pic:cNvPicPr>
                      <a:picLocks noChangeAspect="1" noChangeArrowheads="1"/>
                    </pic:cNvPicPr>
                  </pic:nvPicPr>
                  <pic:blipFill>
                    <a:blip r:embed="rId13"/>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9 Period applicable to any Restricted Stock Units shall only become payable if (and to the extent) the Restriction Period applicable to the Restricted Stock Units lapses with all conditions satisfied and the Committee elects to grant rights to such dividend equivalents in its discretion. Any such dividend equivalents shall be paid, if at all, without interest or other earnings. 7.5 Performance Units. (a) Character. Each Performance Unit shall entitle the recipient to the value of a specified number of shares of Stock, over the initial value for such number of shares, if any, established by the Committee at the time of grant, at the close of a specified Performance Period to the extent specified Performance Goals shall have been achieved. (b) Earning of Performance Units. The Committee shall set Performance Goals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have been achieved. (c) Form and Timing of Payment. Payment of earned Performance Units shall be made in a single lump sum following the close of the applicable Performance Period. Participants shall not be entitled to receive payments equivalent to any dividends declared with respect to Stock referenced in grants of Performance Units, except that, at the discretion of the Committee, Participants may be entitled to receive such payments following the close of the Performance Period, only if the Performance Units have been earned. Any such dividend equivalents shall be paid, if at all, without interest or other earnings.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 deferral election is required or permitted, the Committee shall establish rules and procedures for such payment deferrals. 7.6 Stock Grants. Stock Grants shall be awarded solely in recognition of significant prior or expected contributions to the success of the Company or its Affiliates, as an inducement to employment, in lieu of compensation otherwise already due and in such other limited circumstances as the Committee deems appropriate. Stock Grants shall be made without forfeiture conditions of any kind. 7.7 Awards to Participants Outside the United States. The Committee may modify the terms of any Award under the Plan granted to a Participant 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administrating any such modified Award. No such modification, supplement, amendment, restatement or alternative version may increase the Total Authorized Shares. 8. Adjustment Provisions 8.1 Adjustment for Corporate Actions. In the event that any dividend or other distribution (whether in the form of cash, shares of Stock, other securities, or other property), recapitalization, reclassification, stock split, reverse stock split, reorganization, merger, consolidation, split-up, spin-off, combination, repurchase, or exchange of shares of Stock or other securities of the Company, or other change in the corporate structure of the Company affecting the shares of Stock occurs, the Committee, in order to prevent diminution or enlargement of the benefits or potential benefits intended to be made available under the Plan, will appropriately and proportionately adjust the number and class of shares of Stock that may be delivered under the Plan and/or the number, class, and price of shares of Stock covered by each outstanding Award (without change in the aggregate exercise price as to which any such Stock Rights remain exercisable), provided, however, that any fractional shares resulting from such adjustment shall be eliminated. Any adjustments determined by the Committee shall be final, binding and conclusive. 8.2 Related Matters. Any adjustment in Awards made pursuant to Section 8.1 shall be determined and made, if at all, by the Committee, acting in its sole discretion, and shall include any correlative modification of terms, including of Stock Right exercise prices, rates of vesting or exercisability, Risks of Forfeiture, applicable repurchase prices for Restricted Stock, and Performance Goals which the Committee may deem necessary or appropriate so as to ensure the rights of the Participants in their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4"/>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10 Awards are not substantially diminished nor enlarged as a result of the adjustment and corporate action other than as expressly contemplated in this Section 8. 8.3 Change in Control. (a) Assumption, Substitution or Continuation of Outstanding Awards. In the event of a Change in Control in which the Successor proposes to assume, substitute or continue equivalent awards (with such adjustments as may be required or permitted by Section 8.1 of the Plan, with appropriate adjustments as to the number and kind of shares and prices), any substitute equivalent award must (i) have a value at least equal to the value of the Award being substituted; (ii) relate to a publicly-traded equity security of the Successor involved in the Change in Control or another publicly traded entity that is affiliated with the Successor following the Change in Control; (iii) be the same type of award as the Award being substituted; (iv) be vested to the extent the Award being substituted was vested at the time of the Change in Control and (v) have other terms and conditions (including by way of example, vesting and exercisability) that are the same or more favorable to the Participant than the terms and conditions of the Award being substituted, in each case, as reasonably determined by the Committee (as constituted prior to the Change in Control) in good faith. If a Participant’s Award is assumed, substituted or continued by the Successor pursuant to this Section 8.3(a), then, subject to the remaining provisions of this Section 8.3, such Award will not vest or lapse solely as a result of the Change in Control but will instead remain outstanding under the terms pursuant to which it has been assumed, substituted, or continued and will continue to vest or lapse pursuant to such terms. (i) For the purposes of Section 8.3 of the Plan, an Award will be considered assumed if, following the Change in Control, the Award confers the right to purchase or receive, for each share of Stock subject to the Award immediately prior to the Change in Control, the consideration (whether stock, cash, or other securities or property) received in the Change in Control by holders of Stock for each share of Stock held on the effective date of the transaction (and if holders were offered a choice of consideration, the type of consideration chosen by the holders of a majority of the outstanding shares of Stock); provided, however, that if such consideration received in the Change in Control is not solely common stock of the Successor or its Parent, the Committee may, with the consent of the Successor, provide for the consideration to be received upon the exercise of an Option or Stock Appreciation Right or upon the payout of any other Award, for each share of Stock subject to such Award, to be solely common stock of the Successor or its Parent equal in fair market value to the per share consideration received by holders of shares of Stock in the Change in Control. (b) No Assumption, Substitution, or Continuation of Outstanding Awards. Unless otherwise provided in an applicable Award Agreement or another applicable agreement between the Company and a Participant, if for any reason outstanding Awards are not assumed, substituted, or continued pursuant to Section 8.3(a), such outstanding Awards will be subject to the following rules, in each case effective immediately prior to such Change in Control but conditioned upon completion of such Change in Control, with any corresponding payments made as soon as reasonably practicable after the Change in Control, but no later than within 30 days following the date of the Change in Control: (i) Options and Stock Appreciation Rights. All Options and Stock Appreciation Rights will become fully vested and exercisable. The Committee will give Participants a reasonable opportunity (at least 30 days if practicable) to exercise any or all Options and Stock Appreciation Rights before the consummation of the transaction resulting in the Change in Control, provided that any such exercise will be contingent upon and subject to the occurrence of the Change in Control and if the Change in Control does not take place within a specified period after giving such notice for any reason whatsoever, the exercise will be null and void and such Options and Stock Appreciation Rights will be restored to their status as if there had been no Change in Control. If a Participant does not exercise all Options and Stock Appreciation Rights prior to the Change in Control, the Committee will pay such Participant in exchange for the cancellation of each such unexercised Option and Stock Appreciation Right the difference between the exercise price for such Option or Stock Appreciation Right and the consideration per share of Stock provided to other similarly situated stockholders in such Change in Control; provided, however, that if the exercise price of such Option or Stock Appreciation Right exceeds the aforementioned consideration provided, then such unexercised Option or Stock Appreciation Right will be canceled and terminated without any payment. (ii) Vesting of Restricted Stock Units and Lapse of Restricted Stock Restrictions, for Awards that are not Performance-Based Awards. All restrictions imposed on Restricted Stock Units and Restricted Stock that do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15"/>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11 not have Performance Goals will lapse and be of no further force and effect, such that all such Restricted Stock Units and Restricted Stock will become fully vested and no longer subject to a Risk of Forfeiture and the Restriction Period shall lapse, and Restricted Stock Units will be settled and paid in cash and/or shares of Stock at the Committee’s discretion, and Restricted Stock will be paid in cash and/or shares of Stock at the Committee’s discretion; provided, however that if any such payment is to be made in shares of Stock, the Committee may in its discretion, provide such holders the consideration provided to other similarly situated stockholders in such Change in Control. (iii) Vesting, Payment and Achievement of Performance-Based Awards. All Performance-Based Awards for which the Performance Period has been completed as of the date of the Change in Control but have not yet been paid will vest and be paid in cash and/or shares of Stock at such time at the Committee’s discretion, with all Performance Goals to be deemed achieved at actual performance. Unless otherwise provided in an applicable Award Agreement or another applicable agreement between the Company and a Participant, all Performance- Based Awards for which the Performance Period has not been completed as of the date of the Change in Control will, with respect to each Performance Goal or other vesting criteria, be deemed achieved at the greater of (x) one hundred percent (100%) of target levels and (y) actual performance measured on the date of the Change in Control as determined by the Committee, in each case, with all other terms and conditions met, and vest and be paid out for the entire Performance Period (and not pro rata), with the manner of payment to be made in cash or shares of Stock at the Committee’s discretion; provided, however that if any such payment is to be made in shares of Stock, the Committee may in its reasonable discretion, provide such holders the consideration provided to other similarly situated stockholders in such Change in Control. (iv) Notwithstanding anything in Section 8.3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Successor’s post-Change in Control corporate structure will not be deemed to invalidate an otherwise valid Award assumption. (c) Termination, Amendment and Modifications of Change in Control Provisions; Other Agreements. Notwithstanding any other provision of the Plan or any Award Agreement provision, the provisions of Section 8.3 of the Plan may not be terminated, amended, or modified in any manner that adversely affects any then-outstanding Award or Award Participant without the prior written consent of the Participant, unless for the purpose of complying with Applicable Laws and regulations. (d) Limitation on Change in Control Payments. Notwithstanding anything in Section 8.3 of the Plan to the contrary, if, with respect to a Participant, the acceleration of the vesting of an Award or the payment of cash in exchange for all or part of the Award (i) could be deemed a “parachute payment” within the meaning of Section 280G of the Code and (ii) but for Section 8.3 of the Plan, would be subject to an Excise Tax, then the “payments” to such Participant pursuant to Section 8.3 of the Plan shall be either (a) delivered in full, or (b) delivered as to a reduced amount that would result in no portion of such payments or benefits being subject to the Excise Tax; whichever of the foregoing amounts, taking into account the applicable federal, state, local and foreign income and employment taxes and the Excise Tax, results in the receipt by the Participant on an after-tax basis, of the greatest amount of benefit, notwithstanding that all or some portion of such benefits may be taxable under Section 4999 of the Code. In the event that any Excise Tax is imposed on any payments under the Plan, the Participant will be fully responsible for the payment of any and all Excise Tax, and the Company and its Affiliates will not be obligated to pay all or any portion of any Excise Tax. All computations and determinations called for by Section 8.3(d) shall be promptly determined and reported in writing to the Company and the applicable Participant by independent public accountants or other independent advisors selected by the Company and reasonably acceptable to the applicable Participant (the “Accountants”), and all such computations and determinations shall be conclusive and binding upon the applicable Participant and the Company. For the purposes of such determinations, the Accountants may rely on reasonable, good faith interpretations concerning the application of Sections 280G and 4999 of the Code. The Company and the applicable Participant shall furnish to the Accountants such information and documents as the Accountants may reasonably request in order to make their required determinations. The Company shall bear all fees and expenses charged by the Accountants in connection with these services. 8.4 Clawback. If the Committee determines that a Participant has intentionally committed an act of embezzlement, fraud, dishonesty, or breach of fiduciary duty during the Participant’s employment that contributed to an obligation to restate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16"/>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12 Company’s financial statements, the Participant shall be required to repay to the Company, in cash and upon demand, Award Proceeds (defined below) resulting from any sale or other disposition of shares of Stock issued or issuable under an Award (a) if the sale or disposition was effected during the twelve-month period following the first public issuance or filing with the SEC of the financial statements required to be restated, or (b) if the shares of Stock were issued as a result of vesting criteria that were determined to be satisfied based all or in part on the financial statements required to be restated. In the preceding sentence, “Award Proceeds” means, with respect to any sale or other distribution, an amount determined appropriate by the Committee to reflect the effect of the restatement on the Company’s stock price, up to the amount equal to the number of shares of Stock sold or disposed multiplied by the excess of Market Value at the time of such sale or disposition over the amount paid, if any, to purchase such shares of Stock. Notwithstanding any other provision of the Plan to the contrary, all Awards granted under the Plan shall be and remain subject to any incentive compensation clawback or recoupment policy of the Company currently in effect or as may be adopted by the Company and, in each case, as may be amended from time to time. No such policy adoption or amendment shall require a Participant’s prior consent. 9. Settlement of Awards 9.1 In General. Awards of Restricted Stock shall be settled in accordance with their terms. All other Awards may be settled in cash or Stock, or a combination thereof, as determined by the Committee at or after grant and subject to any contrary applicable Award Agreement. The Committee may not require settlement of any Award in Stock pursuant to the immediately preceding sentence to the extent issuance of such Stock would be prohibited or unreasonably delayed by reason of any other provision of the Plan. 9.2 Violation of Law. Notwithstanding any other provision of the Plan or the relevant Award Agreement, if, at any time, in the reasonable opinion of the Company, the issuance of shares of Stock covered by an Award may constitute a violation of Applicable Laws, then the Company may delay such issuance and the delivery of a certificate for such shares until (i) approval shall have been obtained from such governmental agencies, other than the Securities and Exchange Commission, as may be required under any Applicable Laws, rule, or regulation and (ii) in the case where such issuance would constitute a violation of a law administered by or a regulation of the Securities and Exchange Commission, one of the following conditions shall have been satisfied: (a) the shares of Stock are at the time of the issue of such shares effectively registered under the Securities Act of 1933, as amended; or (b) the Company shall have determined, on such basis as it deems appropriate (including an opinion of counsel in form and substance satisfactory to the Company) that the sale, transfer, assignment, pledge, encumbrance or other disposition of such shares does not require registration under the Securities Act of 1933, as amended or any applicable State securities laws. 9.3 Corporate Restrictions on Rights in Stock. Any Stock to be issued pursuant to Awards granted under the Plan shall be subject to all restrictions upon the transfer thereof which may be now or hereafter imposed by the charter, certificate or articles, and by- laws, of the Company, as applicable. 9.4 Investment Representations. The Company shall be under no obligation to issue any shares of Stock covered by any Award unless the shares to be issued pursuant to Awards granted under the Plan have been effectively registered under the Securities Act of 1933, as amended,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the Securities Act of 1933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 9.5 Registration. If the Company shall deem it necessary or desirable to register under the Securities Act of 1933, as amended, or other applicable statutes any shares of Stock issued or to be issued pursuant to Awards granted under the Plan, or to qualify any such shares of Stock for exemption from the Securities Act of 1933, as amended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17"/>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13 to the Company and its officers and directors from that holder against all losses, claims, damage and liabilities arising from use of the information so furnished. 9.6 Certificates. All certificates for shares of Stock or other securities delivered under the Plan shall be subject to such stop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placed on any such certificates to make appropriate reference to such restrictions. 9.7 Tax Withholding. Whenever shares of Stock are issued or to be issued pursuant to Awards granted under the Plan, the Company shall have the right to require the Participant to remit to the Company an amount sufficient to satisfy federal, state, local or other withholding tax requirements if, when, and to the extent required by law (whether so required to secure for the Company an otherwise available tax deduction or otherwise) or as provided below,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Participant, including, without limitation, pursuant to the Company’s delivery of an irrevocable direction to a securities broker (on a form prescribed by the Committee) to sell shares of Stock and to deliver all or part of the sale proceeds to the Company in payment of the amount necessary to satisfy the minimum tax or social insurance obligations required by law to be withheld in respect of Awards and any Greater Amount (as defined below) (such arrangement, a “Sale to Cover Arrangement”). In the Committee’s discretion, the Company’s foregoing rights to (i) to have the Participant remit to the Company amounts to satisfy tax withholding requirements and (ii) to deduct any such taxes from any payment of any kind otherwise due to the Participant, shall extend to the minimum tax or social insurance obligations required by law to be withheld in respect of Awards, or, if applicable, such other withholding amount (a “Greater Amount”) as mutually agreed upon by the Company and the Participant, up to the sum of all applicable statutory maximum rates (provided, in the case of a Participant who is an Officer, that such other amount is approved in advance by the Committee or the Board), and provided further, that if any part of such amount is permitted by the Committee at its discretion to be paid in shares of Stock, such shares of Stock shall be valued at their Market Value on the date the applicable tax is incurred. Participants may elect, subject to the approval of the Committee, acting in its sole discretion, to satisfy an applicable withholding requirement, in whole or in part, by having the Company withhold shares of Stock to satisfy their tax obligations or by means of a Sale to Cover Arrangement. However, unless a corresponding Greater Amount is approved in advance by the Committee or the Board, Participants who elect, subject to the approval of the Committee, to satisfy an applicable withholding requirement, in whole or in part, by having the Company withhold shares of Stock to satisfy their tax obligation, may only elect to have shares of Stock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 Any determination that a tax withholding obligation has arisen shall be made without regard to the potential applicability of Section 83(c) of the Code. 9.8 Company Charter and By-Laws; Other Company Policies. This Plan and all Awards granted under the Plan (including the exercise, settlement or exchange of an Award) are 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 9.9 Dividends and Dividend Equivalents. Notwithstanding anything in the Plan to the contrary, dividend and dividend equivalent and other distribution amounts the Committee grants with respect to any Award (or share of Stock underlying an Award) may be accrued but not paid to a Participant until all conditions or restrictions relating to such Award and/or share of Stock have been satisfied or lapsed and shall be forfeited if all of such conditions or restrictions are never satisfied or lapse. 10. Reservation of Stock The Company shall at all times during the term of the Plan and while any Awards are outstanding under the Plan reserve or otherwise keep available such number of shares of Stock as will be sufficient to satisfy the requirements of the Plan (if then in effect) and such Awards. 11. Limitation of Rights in Stock; No Special Service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 descr=""/>
                    <pic:cNvPicPr>
                      <a:picLocks noChangeAspect="1" noChangeArrowheads="1"/>
                    </pic:cNvPicPr>
                  </pic:nvPicPr>
                  <pic:blipFill>
                    <a:blip r:embed="rId18"/>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14 A Participant shall not be deemed for any purpose to be a stockholder of the Company with respect to any of the shares of Stock subject to an Award, unless and until a certificate shall have been issued therefor and delivered to the Participant or his or her agent.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by-laws to the contrary, at any time to terminate such employment or consulting agreement or to increase or decrease, or otherwise adjust, the other terms and conditions of the recipient’s employment or other association with the Company and its Affiliates. 12. Unfunded Status of Plan 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Stock Rights and other Awards hereunder, provided, however, that the existence of such trusts or other arrangements is consistent with the unfunded status of the Plan. 13. Nonexclusivity of the Plan 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 14. No Guarantee of Tax Consequences 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an Option granted as an Incentive Option has or will qualify as an “incentive stock option” within the meaning of Section 422 of the Code or that the provisions and penalties of Section 409A of the Code, pertaining non-qualified plans of deferred compensation, will or will not apply. 15. Termination and Amendment of the Plan 15.1 Termination or Amendment of the Plan. Subject to the limitations contained in Section 15.3 below, including specifically the requirement of stockholder approval if applicable, the Board may at any time terminate the Plan or make such modifications of the Plan as it shall deem advisable. Unless the Board otherwise expressly provides, no amendment of the Plan shall affect the terms of any Award outstanding on the date of such amendment. 15.2 No Repricing and No Cash Buyout. Other than in connection with an adjustment to an Award pursuant to Section 8, the Company shall not, without stockholder approval, at any time when the exercise price per share of Stock of an Option or SAR is greater than Market Value of the underlying shares of Stock, reduce the exercise price of such Option or SAR or exchange such Option or SAR for a new Award with a lower (or no) purchase price or for cash. 15.3 Limitations on Amendments, Etc. Without the approval of the Company’s stockholders, no amendment or modification of the Plan by the Board may (i) increase the number of shares of Stock which may be issued under the Plan (except in accordance with Section 8.1 herein, to the extent stockholder approval is not required by Applicable Law), (ii) change the description of the persons eligible for Awards, (iii) implement an Exchange Program or (iv) effect any other change for which stockholder approval is required by Applicable Law. No amendment or modification of the Plan by the Board, or of an outstanding Award by the Committee, shall impair the rights of the recipient of any Award outstanding on the date of such amendment or modification or such Award, as the case may be, without the Participant’s consent; provided, however, that no such consent shall be required if (i) the Board or Committee, as the case may be, determines in its sole discretion and prior to the date of any Change in Control that such amendment or alteration either is required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19"/>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15 advisable in order for the Company, the Plan or the Award to satisfy any law or regulation, including without limitation the provisions of Section 409A of the Code, or to meet the requirements of or avoid adverse financial accounting consequences under any accounting standard, or (ii) the Board or Committee, as the case may be, determines in its sole discretion and prior to the date of any Change in Control that such amendment or alteration is not reasonably likely to significantly diminish the benefits provided under the Award, or that any such diminution has been adequately compensated. 16. Notices and Other Communications 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addressed or telecopied, as the case may be, (i) if to the recipient of an Award, at his or her residence address last filed with the Company and (ii) if to the Company, at its principal place of business, addressed to the attention of its General Counsel or to such other address or telecopier number, as the case may be, as the addressee may have designated by notice to the addressor. All such notices, requests, demands and other communications shall be deemed to have been received: (i) in the case of personal delivery, on the date of such delivery; (ii) in the case of mailing, when received by the addressee; and (iii) in the case of facsimile transmission, when confirmed by facsimile machine report. 17. Administrative Provisions 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 18. Limitations Applicable to Section 16 Insiders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and any amendments thereto) that are requirements for the application of such exemptive rule. To the extent permitted by Applicable Laws, the Plan and Awards granted or awarded hereunder shall be deemed amended to the extent necessary to conform to such applicable exemptive rule. 19. Compliance With Section 409A of the Code The Plan as well as payments and benefits under the Plan are intended to be exempt from, or to the extent subject thereto, to comply with Section 409A of the Code and any regulations or guidance promulgated thereunder (“Section 409A”), and, accordingly, to the maximum extent permitted, the Plan shall be interpreted in accordance therewith. Notwithstanding anything contained herein to the contrary, to the extent required in order to avoid accelerated taxation and/or tax penalties under Section 409A, a Participant shall not be considered to have terminated employment or service with the Company or an Affiliate for purposes of the Plan and no payment shall be due to the Participant under the Plan or any Award until the Participant would be considered to have incurred a “separation from service” from the Company or any Affiliate within the meaning of Section 409A. Any payments described in the Plan that are due within the “short term deferral period” as defined in Section 409A shall not be treated as deferred compensation unless Applicable Laws require otherwise. Notwithstanding anything to the contrary in the Plan, to the extent that any Awards are payable upon a separation from service and such payment would result in the imposition of any individual tax and penalty interest charges imposed under Section 409A,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The Company makes no representation that any or all of the payments or benefits described in this Plan will be exempt from or comply with Section 409A and makes no undertaking to preclude Section 409A from applying to any such payment. The Participant shall be solely responsible for the payment of any taxes and penalties incurred under Section 409A and comparable provisions of any applicable state or local income tax laws. Notwithstanding anything to the contrary in the Plan or any Award, if and to the extent the Committee shall determine that the terms of any Award may result in the failure of such Award to comply with or be exempt from the requirements of Section 409A, the Committee shall have authority to take such action to amend, modify, cancel or terminate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20"/>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 16 Plan or any Award as it deems necessary or advisable to bring such Award into compliance with or maintain an exemption from Section 409A. 20. Governing Law The Plan and, except as otherwise provided in an applicable Award Agreement, all actions taken thereunder, shall be governed, interpreted and enforced in accordance with the laws of the state of Delaware, without regard to the conflicts of laws principles thereof.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3" w:name="ex102_ar2017plan.htm"/>
      <w:bookmarkStart w:id="24" w:name="ksex102_ar2017plan"/>
      <w:bookmarkEnd w:id="23"/>
      <w:bookmarkEnd w:id="24"/>
      <w:r>
        <w:rPr/>
        <w:drawing>
          <wp:inline distT="0" distB="0" distL="0" distR="0">
            <wp:extent cx="10048875" cy="13001625"/>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8X8, INC. AMENDED AND RESTATED 2017 NEW EMPLOYEE INDUCEMENT INCENTIVE PLAN, As amended July 28, 2026 1.Purposes 1.1 General Purpose. The Company, by means of the Plan, seeks to retain the services of persons not previously an employee or director of the Company, or following a bona fide period of non- employment, as an inducement material to the individual's entering into employment with the Company within the meaning of Manual Rule 303A.08 of the New York Stock Exchange Listing Rules and Rule 5635(c)(4) of the Nasdaq Listing Rules, and to provide incentives for such persons to exert maximum efforts for the success of the Company and its Affiliates. 1.2 Available Awards. The purpose of the Plan is to provide a means by which eligible recipients of Awards may be given an opportunity to benefit from increases in value of the Common Stock through the granting of the following stock awards: Options, Restricted Stock, Restricted Stock Units, Stock Appreciation Rights, Performance Units and Stock Grants. 2.Definitions As used in this Plan, the following terms shall have the following meanings: 2.1 Accelerate, Accelerated, and Acceleration means: (a) when used with respect to a Stock Right, that as of the time of reference the Stock Right will become exercisable with respect to some or all of the shares of Stock for which it was not then otherwise exercisable by its terms; (b) when used with respect to Restricted Stock or Restricted Stock Units, that the Risk of Forfeiture otherwise applicable to the Stock or Units shall expire with respect to some or all of the shares of Restricted Stock or Units then still otherwise subject to the Risk of Forfeiture; and (c) when used with respect to Performance Units, that the applicable Performance Goals or other business objectives shall be deemed to have been met as to some or all of the Units. 2.2 Affiliate means any corporation, partnership, limited liability company, business trust, or other entity controlling, controlled by or under common control with the Company. 2.3 Award means any grant or sale pursuant to the Plan of Options, Stock Appreciation Rights, Performance Units, Restricted Stock, Restricted Stock Units or Stock Grants. 2.4 Award Agreement means an agreement between the Company and the recipient of an Award, or other notice of grant of an Award, setting forth the terms and conditions of the Award. 2.5 Board means the Company's Board of Directors. 2.6 Code means the Internal Revenue Code of 1986, as amended from time to time, or any successor statute thereto, and any regulations issued from time to time thereunder. 2.7 Committee means the Compensation Committee of the Board, which in general is responsible for the administration of the Plan, as provided in Section 4 of the Plan. For any period during which no such committee is in existence, "Committee" shall mean the Independent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all authority and responsibility assigned to the Committee under the Plan shall be exercised, if at all, by the Independent Board. 2.8 Company means 8x8, Inc., a corporation organized under the laws of the State of Delaware. 2.9 Corporate Transaction means any (1) merger or consolidation of the Company with or into another entity as a result of which the Stock of the Company is converted into or exchanged for the right to receive cash, securities or other property or is cancelled, (2) sale or exchange of all of the Stock of the Company for cash, securities or other property, (3) sale, transfer, or other disposition of all or substantially all of the Company's assets to one or more other persons in a single transaction or series of related transactions or (4) liquidation or dissolution of the Company; except, in the case of clauses (1) and (2), for a transaction the principal purpose of which is to change the state in which the Company is incorporated. 2.10 Effective Date means the most recent date on which this Plan has been approved by the Board, including the Independent Board. 2.11 Exchange Act means the Securities Exchange Act of 1934, as amended. 2.12 Grant Date means the date as of which an Option is granted, as determined under Section 6.1(a). 2.13 Independent Board means a majority of the independent directors on the Board. "Independent director" has the meaning given under Manual Rule 303A.02 of the New York Stock Exchange Listing Rules and Rules 5005(a)(20) and 5605(a)(2) of the Nasdaq Listing Rules. 2.14 Market Value means the value of a share of Stock on a particular date determined by such methods or procedures as may be established by the Committee. Unless otherwise determined by the Committee, the Market Value of Stock as of any date is: (a) the closing price for the Stock as reported on the New York Stock Exchange or Nasdaq Stock Market (or on any other national securities exchange on which the Stock is then listed) for that date or, if no closing price is reported for that date, the closing price on the next preceding date for which a closing price was reported; or (b)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 2.15 Option means an option to purchase shares of Stock. 2.16 Optionee means a Participant to whom an Option shall have been granted under the Plan. 2.17 Participant means any holder of an outstanding Award under the Plan. 2.18 Performance Criteria means the criteria that the Committee selects for purposes of establishing the Performance Goal or Performance Goals for a Participant for a Performance Period. The Performance Criteria used to establish Performance Goals are limited to: (i) cash flow (before or after dividends), (ii) earnings per share (including, without limitation, earnings before interest, taxes, depreciation and amortization), (iii) stock price, (iv) return on equity, (v) stockholder return or total stockholder return, (vi) return on capital (including, without limitation, return on total capital or return on invested capital), (vii) return on investment, (viii) return on assets or net assets, (ix) market capitalization, (x) economic value added, (xi) debt leverage (debt to capital), (xii) revenue, (xiii) sales or net sales, (xiv) backlog, (xv) income, pre-tax income or net income, (xvi) operating income or pre-tax profit, (xvii) operating profit, net operating profit or economic profit, (xviii) gross margin, operating margin or profit margin, (xix) return on operating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or return on operating assets, (xx) cash from operations, (xxi) operating ratio, (xxii) operating revenue, (xxiii) market share improvement, (xxiv) general and administrative expenses and (xxv) customer service. 2.19 Performance Goals means, for a Performance Period, the written goal or goals established by the Committee for the Performance Period based upon one or more of the Performance Criteria. The Performance Goals may be expressed in terms of overall Company performance or the performance of a division, business unit, subsidiary, or an individual, either individually, alternatively or in any combination, applied to either the Company as a whole or to a business unit or Affiliate,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The Committee will objectively define the manner of calculating the Performance Goal or Goals it selects to use for such Performance Period for such Participant, including whether or to what extent there shall not be taken into account any of the following events that occurs during a performance period: (i) asset write-downs, (ii) litigation, claims, judgments or settlements, (iii) the effect of changes in tax law, accounting principles or other such laws or provisions affecting reported results, (iv) accruals for reorganization and restructuring programs and (v) any extraordinary, unusual, non-recurring or non-comparable items (A) as described in Accounting Standards Codification Section 225-20 (or its successor provisions), (B) as described in management's discussion and analysis of financial condition and results of operations appearing in the Company's annual report to stockholders for the applicable year, or (C) publicly announced by the Company in a press release or conference call relating to the Company's results of operations or financial condition for a completed quarterly or annual fiscal period. 2.20 Performance Period means the one or more periods, which may be of varying and overlapping durations, selected by the Committee, over which the attainment of one or more Performance Goals or other business objectives will be measured for purposes of determining a Participant's right to, and the payment of, a Performance Unit. 2.21 Performance Unit means a right granted to a Participant under Section 6.5, to receive cash, Stock or other Awards, the payment of which is contingent on achieving Performance Goals or other business objectives established by the Committee. 2.22 Plan means this Amended and Restated 2017 New Employee Inducement Incentive Plan of the Company, as amended from time to time, and including any attachments or addenda hereto. 2.23 Restricted Stock means a grant or sale of shares of Stock to a Participant subject to a Risk of Forfeiture. 2.24 Restricted Stock Units means rights to receive shares of Stock at the close of a Restriction Period, subject to a Risk of Forfeiture. 2.25 Restriction Period means the period of time, established by the Committee in connection with an Award of Restricted Stock or Restricted Stock Units, during which the shares of Restricted Stock or Restricted Stock Units are subject to a Risk of Forfeiture described in the applicable Award Agreement. 2.26 Risk of Forfeiture means a limitation on the right of the Participant to retain Restricted Stock or Restricted Stock Units, including a right in the Company to reacquire shares of Restricted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less than their then Market Value, arising because of the occurrence or non-occurrence of specified events or conditions. 2.27 Securities Act means the Securities Act of 1933, as amended. 2.28 SEC means the Securities and Exchange Commission. 2.29 Stock means common stock, par value $0.001 per share, of the Company, and such other securities as may be substituted for Stock pursuant to Section 7. 2.30 Stock Appreciation Right means a right to receive any excess in the Market Value of shares of Stock (except as otherwise provided in Section 6.2(c)) over a specified exercise price. 2.31 Stock Grant means the grant of shares of Stock not subject to restrictions or other forfeiture conditions. 2.32 Stock Right means an Award in the form of an Option or a Stock Appreciation Right. 2.33 Stockholders' Agreement means any agreement by and among the holders of at least a majority of the outstanding voting securities of the Company and setting forth, among other provisions, restrictions upon the transfer of shares of Stock or on the exercise of rights appurtenant thereto (including, but not limited to, voting rights). 3.Shares Subject to the Plan; Term of the Plan 3.1 Number of Shares. Subject to Section 7.1, the aggregate number of shares of Stock that have been reserved for issuance pursuant to this Plan is Seven Million, Nine Hundred and Fifty Thousand (7,950,000) shares, and at no time shall the number of shares of Stock issued pursuant to or subject to outstanding Awards granted under the Plan exceed such number. For purposes of applying the foregoing limitation, settlement of any Award shall not count against the foregoing limitations except to the extent settled in the form of Stock and, without limiting the generality of the foregoing: if any Option or Stock-settled Stock Appreciation Right expires, terminates, or is cancelled for any reason without having been exercised in full, or if any other Award is forfeited by the recipient or repurchased at less than its Market Value as a means of effecting a forfeiture, the shares of Stock not purchased by the Optionee or which are forfeited by the recipient or repurchased shall again be available for Awards to be granted under the Plan; if any Option is exercised by delivering previously owned shares of Stock in payment of the exercise price therefor, only the net number of shares, that is, the number of shares of Stock issued minus the number received by the Company in payment of the exercise price, shall be considered to have been issued pursuant to an Award granted under the Plan; and any shares of Stock either tendered or withheld in satisfaction of tax withholding obligations of the Company or an Affiliate shall again be available for issuance under the Plan. Shares of Stock issued pursuant to the Plan may be either authorized but unissued shares or shares held by the Company in its treasury. 3.2 Term. Unless the Plan shall have been earlier terminated by the Board, Awards may be granted under this Plan at any time in the period commencing on the Effective Date and ending immediately prior to the tenth (10th) anniversary thereof. Awards granted pursuant to the Plan within that period shall not expire solely by reason of the termination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4.Administration In all events the Plan shall be administered by the Independent Board or Committee in compliance with Manual Rule 303A.08 (and any successor thereto) of the Listing Rules of the New York Stock Exchange or Rule 5635(c)(4) of the Nasdaq Listing Rules (and any successor thereto), or of any successor national stock exchange on which the Stock shall be listed during the term of the Plan, which are collectively referred to as the Listing Rules. The grant of any Award under the Plan must be approved by a majority of the members of the Board (each of whom is an "independent director" as defined in the Listing Rules) or by the Company's independent compensation committee (as intended under the Listing Rules). The Plan shall be administered by the Committee, provided, however, that at any time and on any one or more occasions the Independent Board may itself exercise any of the powers and responsibilities assigned the Committee under the Plan and when so acting shall have the benefit of all of the provisions of the Plan pertaining to the Committee's exercise of its authorities hereunder. Subject to the provisions of the Plan, the Committee shall have complete authority, in its discretion, to make or to select the manner of making all determinations with respect to each Award to be granted by the Company under the Plan, including the new employee to receive the Award and the form of Award. All Awards of Stock or which otherwise entitle the Award recipient to acquire any shares of Stock shall be made from the authorized but unissued shares of Stock of the Company. The Committee, or the Independent Board, shall determine in its sole discretion how many shares of Stock to issue under this Plan in the aggregate. In making its determinations, the Committee may take into account the nature of the services to be rendered by the new employees, their potential contributions to the success of the Company and its Affiliates, and such other factors as the Committee in its discretion shall deem relevant. Subject to the provisions of the Plan, the Committee shall also have complete authority to: (a) 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Participant's termination of employment or other association with the Company on any of the foregoing, and (vi) 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Participant's termination of employment or other association with the Company;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and (g)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 5.Authorization of Grants 5.1 Eligibility. Persons eligible for Awards shall consist of employees whose potential contribution, in the judgment of the Committee, will benefit the future success of the Company and/or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Affiliate. Offers of Awards may be made prior to the commencement of employment with the Company or an Affiliate, but Awards may be granted only effective on or after the commencement of such employment to persons not previously an employee or director of the Company, or following a bona fide period of non-employment, as an inducement material to the individual's entering into employment with the Company within the meaning of Manual Rule 303A.08 of the New York Stock Exchange or Rule 5635(c)(4) of the Nasdaq Listing Rules (or applicable replacement rules or regulations). In addition, notwithstanding any other provision of the Plan to the contrary, all Awards must be granted either by the Independent Board or the Committee. 5.2 General Terms of Awards. Each grant of an Award shall be subject to all applicable terms and conditions of the Plan (including but not limited to any specific terms and conditions applicable to that type of Award set out in the following Section), and such other terms and conditions, not inconsistent with the terms of the Plan, as the Committee may prescribe. No prospective Participant shall have any rights with respect to an Award, unless and until such Participant has executed an Award Agreement evidencing the Award, delivered a fully executed copy thereof to the Company, and otherwise complied with the applicable terms and conditions of such Award. 5.3 Effect of Termination of Employment, Disability or Death. A. Termination of Employment. Unless the Committee shall provide otherwise with respect to any Award, if the Participant's employment or other association with the Company and its Affiliates ends for any reason other than by total disability or death, including because of an Affiliate ceasing to be an Affiliate, (a) any outstanding Stock Right of the Participant shall cease to be exercisable in any respect not later than 90 days following that event and, for the period it remains exercisable following that event, shall be exercisable only to the extent exercisable at the date of that event, and (b)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director. Military or sick leave or other bona fide leave approved by the Company shall not be deemed a termination of employment or other association, provided that it does not exceed the longer of six (6) months or the period during which the absent Participant's reemployment rights, if any, are either guaranteed by statute or by contract or permitted by Company policy. To the extent consistent with applicable law, the Committee may provide that Awards continue to vest for some or all of the period of any such leave, or that their vesting shall be tolled during any such leave and only recommence upon the Participant's return from leave, if ever. B. Disability of Participant. If a Participant's employment or other association with the Company and its Affiliates ends due to disability (as defined in Section 22(e)(3) of the Code), any outstanding Stock Right may be exercised at any time within six months following the date of termination of service, but only to the extent of the accrued right to exercise at the time of termination of service, subject to the condition that no Stock Right shall be exercised after its expiration in accordance with its terms. C. Death of Participant. In the event of the death during the Option period, or period during which the Stock Appreciation Right may be exercised, of a Participant who is at the time of his or her death an employee, director or consultant and whose services had not ceased or been terminated (as determined with regard to the second sentence of Section 5.3(a))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 result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Participant's death, but only to the extent of the accrued right to exercise at the time of death, subject to the condition that no Stock Right shall be exercised after its expiration in accordance with its terms. 5.4 Transferability of Awards. Except as otherwise provided in this Section 5.4, Awards shall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an Option or shares of Restricted Stock, provide that such Award may be transferred by the recipient to a family member; provided, however, that any such transfer is without payment of any consideration whatsoever and that no transfer shall be valid unless first approved by the Committee, acting in its sole discretion. For this purpose, "family member" means any child, stepchild, grandchild, parent, grandparent, stepparent, spouse, former spouse, sibling, niece, nephew, mother-in-law, father-in-law, son-in-law, daughter-in-law, brother-in-law, or sister- in-law, including adoptive relationships, any person sharing the employee's household (other than a tenant or employee),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5.3 hereof or in the Award Agreement shall continue to be applied with respect to the original Participant, following which the Awards shall be exercisable by the transferee only to the extent, and for the periods specified in the Award Agreement or Section 5.3, as applicable. 6.Specific Terms of Awards 6.1 Options. A. Date of Grant. The granting of an Option shall take place at the time specified in the Award Agreement. Only if expressly so provided in the applicable Award Agreement shall the Grant Date be the date on which the Award Agreement shall have been duly executed and delivered by the Company and the Optionee. B. Exercise Price. The price at which shares of Stock may be acquired under each Option shall be the Market Value of Stock on the Grant Date, except as provided otherwise by the Committee upon the grant of the Option. C. Option Period. No Option may be exercised on or after the tenth anniversary of the Grant Date, except as provided otherwise by the Committee upon the grant of the Option. D. Exercisability. An Option may be immediately exercisable or become exercisable in such installments, cumulative or non-cumulative, as the Committee may determine. In the case of an Option not otherwise immediately exercisable in full, the Committee may Accelerate such Option in whole or in part at any time. E. Method of Exercise. An Option may be exercised by the Optionee giving written notice, in the manner provided in Section 14,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by delivery to the Company of shares of Stock having a Market Value equal to the exercise price of the shares to be purchased, or II. by surrender of the Option as to all or part of the shares of Stock for which the Option is then exercisable in exchange for shares of Stock having an aggregate Market Value equal to the difference between (1) the aggregate Market Value of the surrendered portion of the Option, and (2) the aggregate exercise price under the Option for the surrendered portion of the Option, or III. unless prohibited by applicable law, by delivery to the Company of the Optionee's executed promissory note in the principal amount equal to the exercise price of the shares of Stock to be purchased and otherwise in such form as the Committee shall have approved, or IV. by delivery of any other lawful means of consideration which the Committee may approve. 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agent a certificate or certificates or book-entry authorization and instruction to the Company's transfer agent and registrar for the number of shares then being purchased. Such shares of Stock shall be fully paid and nonassessable. In its reasonable discretion, the Committee may suspend or halt Option exercises for such length of time as the Committee deems reasonably necessary under circumstances in which such suspension or halt is considered to be in the best interests of the Company. 6.2 Stock Appreciation Rights. A. Tandem or Stand-Alone. Stock Appreciation Rights may be granted in tandem with an Option (at or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 B. Exercise Price. Stock Appreciation Rights shall have an exercise price of not less than the Market Value of the Stock on the date of award, or in the case of Stock Appreciation Rights in tandem with Options, the exercise price of the related Option. C. Other Terms. Except as the Committee may deem inappropriate or inapplicable in the circumstances, Stock Appreciation Rights shall be subject to terms and conditions substantially similar to those applicable to an Option. In addition, a Stock Appreciation Right related to an Option which can only be exercised during limited periods following a Corporate Transaction may entitle the Participant to receive an amount based upon the highest price paid or offered for Stock in any transaction relating to the Corporate Transaction or paid during the 30-day period immediately preceding the occurrence of the Corporate Transaction in any transaction reported in the stock market in which the Stock is normally traded. 6.3 Restricted Stock. A. Purchase Price. Shares of Restricted Stock shall be issued under the Plan for such consideration, in cash, other property or services, or any combination thereof, as is determined by the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Issuance of Certificates. Each Participant receiving a Restricted Stock Award, subject to subsection (c) below, shall be issued a stock certificate in respect of such shares of Restricted Stock, or if issued in uncertificated form, shall be registered in the name of the Participant on the books of the Company's transfer agent and registrar. Such certificate or uncertificated shares shall be registered in the name of such Participant, and, if applicable, the certificate or the books of the Company's transfer agent and registrar shall bear an appropriate legend referring to the terms, conditions, and restrictions applicable to such Award substantially in the following form: The shares evidenced by this certificate are subject to the terms and conditions of the 8x8, Inc. Amended and Restated 2017 New Employee Inducement Incentive Plan and an Award Agreement entered into by the registered owner and 8x8, Inc., copies of which will be furnished by the Company to the holder of the shares evidenced by this certificate upon written request and without charge. C. Escrow of Shares.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 D. Restrictions and Restriction Period.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 E. Rights Pending Lapse of Risk of Forfeiture or Forfeiture of Award.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(but any dividends or other distributions payable in shares of Stock or other securities of the Company shall constitute additional Restricted Stock, subject to the same Risk of Forfeiture as the shares of Restricted Stock in respect of which such shares of Stock or other securities are paid). The Committee, as determined at the time of Award, may permit or require the payment of cash dividends to be deferred and, if the Committee so determines, reinvested in additional Restricted Stock to the extent shares of Stock are available under Section 3.1. F. Lapse of Restrictions. If and when the Restriction Period expires without a prior forfeiture of the Restricted Stock, the certificates for such shares shall be delivered to the Participant promptly if not theretofore so delivered. 6.4 Restricted Stock Units. A. Character. Each Restricted Stock Unit shall entitle the recipient to a share of Stock at the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Form and Timing of Payment. Payment of earned Restricted Stock Units shall be made in a single lump sum following the close of the applicable Restriction Period unless the applicable Award Agreement provides for a later settlement date in compliance with Section 409A of the Code. At the discretion of the Committee, Participants may be entitled to receive payments equivalent to any dividends declared with respect to Stock referenced in grants of Restricted Stock Units but only following the close of the applicable Restriction Period and then only if the underlying Stock shall have been earned. Unless the Committee shall provide otherwise, any such dividend equivalents shall be paid, if at all, without interest or other earnings. 6.5 Performance Units. A. Character. Each Performance Unit shall entitle the recipient to the value of a specified number of shares of Stock, over the initial value for such number of shares, if any, established by the Committee at the time of grant, at the close of a specified Performance Period to the extent specified business objectives, including, but not limited to, Performance Goals, shall have been achieved. B. Earning of Performance Units. The Committee shall set Performance Goals or other business objectives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or other business objectives have been achieved. C. Form and Timing of Payment. Payment of earned Performance Units shall be made in a single lump sum following the close of the applicable Performance Period. At the discretion of the Committee, Participants may be entitled to receive any dividends declared with respect to Stock which have been earned in connection with grants of Performance Units which have been earned, but not yet distributed to Participants. Subject to compliance with Section 409A of the Code,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 deferral election is required or permitted, the Committee shall establish rules and procedures for such payment deferrals. 6.6 Stock Grants. Stock Grants shall be awarded solely in recognition of expected contributions to the success of the Company or its Affiliates, as an inducement to employment, and in such other limited circumstances as the Committee deems appropriate. Stock Grants shall be made without forfeiture conditions of any kind. 6.7 Awards to Participants outside the United States. The Committee may modify the terms of any Award under the Plan, granted to a Participant 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administrating any such modified Award. No such modification, supplement, amendment, restatement or alternative version may increase the share limit of Section 3.1. 7.Adjustment Provisions 7.1 Adjustment for Corporate Actions. All of the share numbers set forth in the Plan reflect the capital structure of the Company as of the Effective Date. If subsequent to the Effective Date the outstanding shares of Stock (or any other securities covered by the Plan by reason of the prior application of this Section) are increased, decreased, or exchanged for a different number or kind of shares or other securities, or if additional shares or new or different shares or other securities are distributed with respect to shares of Stock, as a result of a reorganization, recapitalization, reclassification, stock dividend, stock split, reverse stock split, or other similar distribution with respect to such shares of Stock, an appropriate and proportionate adjustment will be made in (i) the maximum numbers and kinds of shares provided in Section 3.1, (ii) the numbers and kinds of shares or other securities subject to the then outstanding Awards, (iii) the exercise price for each share or other unit of any other securities subject to then outstanding Stock Rights (without change in the aggregate exercise price as to which such Rights remain exercisable), and (iv) the repurchase price of each share of Restricted Stock then subject to a Risk of Forfeiture in the form of a Company repurchase right. 7.2 Adjustment of Awards upon the Occurrence of Certain Unusual or Nonrecurring Events. In the event of any corporate action not specifically covered by the preceding Section, including, but not limited to, an extraordinary cash distribution on Stock, a corporate separation or other reorganization or liquidation, the Committee may make such adjustment of outstanding Awards and their terms, if any, as it, in its sole discretion, may deem equitable and appropriate in the circumstances. The Committee also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7.3 Related Matters. Any adjustment in Awards made pursuant to Section 7.1 or 7.2 shall be determined and made, if at all, by the Committee, acting in its sole discretion, and shall include any correlative modification of terms, including of Stock Right exercise prices, rates of vesting or exercisability, Risks of Forfeiture, applicable repurchase prices for Restricted Stock, and Performance Goals and other business objectives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7. The Committee, in its discretion, may determine that no fraction of a share of Stock shall be purchasable or deliverable upon exercise, and in that event if any adjustment hereunder of the number of shares of Stock covered by an Award would cause such number to include a fraction of a share of Stock, such number of shares of Stock shall be adjusted to the nearest smaller whole number of shares. No adjustment of an Option exercise price per share pursuant to Sections 7.1 or 7.2 shall result in an exercise price which is less than the par value of the Stock. 7.4 Corporate Transactions. A. Treatment of Awards in a Corporate Transaction. In a Corporate Transaction, the Committee, in its sole and absolute discretion, may take any one or more of the following actions as to all or any (or any portion of) outstanding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Assumption and Substitution. Provide that such Awards shall be assumed, or substantially equivalent rights shall be provided in substitution therefor, by the acquiring or succeeding entity (or an affiliate thereof), and that any repurchase or other rights of the Company under each such Award shall inure to the benefit of such acquiring or succeeding entity (or affiliate thereof). II. Termination, Forfeiture and Reacquisition. Upon written notice to the holders, provide that: A. any unexercised Stock Rights shall terminate immediately prior to the consummation of the Corporate Transaction unless exercised within a specified period following the date of such notice and that any Stock Rights not then exercisable will expire automatically upon consummation of the Corporate Transaction; B. any Restricted Stock Units shall terminate and be forfeited immediately prior to the consummation of the Corporate Transaction to the extent they are then subject to a Risk of Forfeiture; and/or C. any shares of Restricted Stock shall automatically be reacquired by the Corporation upon consummation of the Corporate Transaction at a price per share equal to the lesser of the Market Value of the Restricted Stock and the purchase price paid by the Participant. III. Acceleration of Vesting. Provide that: A. any and all Stock Rights not already exercisable in full shall Accelerate with respect to all or a portion of the shares for which such Stock Rights are not then exercisable prior to or upon the consummation of the Corporate Transaction; and/or B. any Risk of Forfeiture applicable to Restricted Stock and Restricted Stock Units which is not based on achievement of Performance Goals or other business objectives shall lapse upon consummation of the Corporate Transaction with respect to all or a portion of the Restricted Stock and Restricted Stock Units then subject to such Risk of Forfeiture. IV. Achievement of Performance Goals. Provide that all outstanding Awards of Restricted Stock, Restricted Stock Units, and/or Performance Units conditioned on the achievement of Performance Goals or other business objectives and the target payout opportunities attainable under outstanding Performance Units shall be deemed to have been satisfied as of the effective date of the Corporate Transaction as to (i) none of, (ii) all of or (iii) a pro rata number of shares based on the assumed achievement of all relevant Performance Goals or other business objectives and the length of time within the Restriction Period or Performance Period which has elapsed prior to the Corporate Transaction. All such Awards of Performance Units and Restricted Stock Units shall be paid to the extent earned to Participants in accordance with their terms within 30 days following the effective date of the Corporate Transaction. V. Cash Payments to Holders of Stock Rights. Provide for cash payments, net of applicable tax withholdings, to be made to holders of Stock Rights equal to the excess, if any, of (A) the acquisition price times the number of shares of Stock subject to a Stock Right (to the extent the exercise price does not exceed the acquisition price) over (B) the aggregate exercise price for all such shares of Stock subject to the Stock Right, in exchange for the termination of such Stock Right; provided, that if the acquisition price does not exceed the exercise price of any such Stock Right, the Committee may cancel that Stock Right without the payment of any consideration therefor prior to or upon the Corporate Transaction. For this purpose, "acquisition price" means the amount of cash, and market value of any other consideration, received in payment for a share of Stock surrendered in a Corporate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 Conversion of Stock Rights upon Liquidation or Dissolution. Provide that, in connection with a liquidation or dissolution of the Company, Stock Rights shall convert into the right to receive liquidation proceeds net of the exercise price thereof and any applicable tax withholdings. VII. Any combination of the foregoing. None of the foregoing shall apply, however, (i) in the case of an Award Agreement, employment agreement or policy or plan adopted by the Board or the Committee that requires other or additional terms upon a Corporate Transaction (or similar event) and which, by its terms, takes precedence over the provisions of this Section 7, or (ii) if specifically prohibited under applicable laws, or by the rules and regulations of any governing governmental agencies or national securities exchanges on which the Stock is listed. B. Assumption and Substitution of Awards. For purposes of Section 7.4(a)(i) above, an Award shall be considered assumed, or a substantially equivalent award shall be considered to have been provided in substitution therefor, if following consummation of the Corporate Transaction the Award is assumed and/or exchanged or replaced with another award issued by the acquiring or succeeding entity (or an affiliate thereof) that confers the right to purchase or receive the value of, for each share of Stock subject to the Award immediately prior to the consummation of the Corporate Transaction, the consideration (whether cash, securities or other property) received as a result of the Corporate Transaction by holders of Stock for each share of Stock held immediately prior to the consummation of the Corporate Transaction (and if holders were offered a choice of consideration, the type of consideration chosen by the holders of a majority of the outstanding shares of Stock); provided, however, that if the consideration received as a result of the Corporate Transaction is not solely common stock (or its equivalent) of the acquiring or succeeding entity (or an affiliate thereof), the Committee may provide for the consideration to be received upon the exercise of Award to consist of or be based on solely common stock (or its equivalent) of the acquiring or succeeding entity (or an affiliate thereof) equivalent in value to the per share consideration received by holders of outstanding shares of Stock as a result of the Corporate Transaction. C. Related Matters. In taking any of the actions permitted under this Section 7.4, the Committee shall not be obligated to treat all Awards, all Awards held by a Participant, or all Awards of the same type, identically. Any determinations required to carry out the foregoing provisions of this Section 7.4, including, but not limited to, the market value of other consideration received by holders of Stock in a Corporate Transaction and whether substantially equivalent awards have been substituted, shall be made by the Committee acting in its sole and absolute discretion. In connection with any action or actions taken by the Committee in respect of Awards and in connection with a Corporate Transaction, the Committee may require such acknowledgements of satisfaction and releases from Participants as it may determine. 8.Settlement of Awards 8.1 In General. Awards of Restricted Stock shall be settled in accordance with their terms. All other Awards may be settled in cash, Stock, or other Awards, or a combination thereof, as determined by the Committee at or after grant and subject to any contrary Award Agreement. The Committee may not require settlement of any Award in Stock pursuant to the immediately preceding sentence to the extent issuance of such Stock would be prohibited or unreasonably delayed by reason of any other provision of the Plan. 8.2 Violation of Law. Notwithstanding any other provision of the Plan or the relevant Award Agreement, if, at any time, in the reasonable opinion of the Company, the issuance of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 covered by an Award may constitute a violation of law, then the Company may delay such issuance and the delivery of a certificate for such shares until (i) approval shall have been obtained from such governmental agencies, other than the SEC, as may be required under any applicable law, rule, or regulation and (ii) in the case where such issuance would constitute a violation of a law administered by or a regulation of the SEC, one of the following conditions shall have been satisfied: A. the shares are at the time of the issue of such shares effectively registered under the Securities Act; or B. the Company shall have determined, on such basis as it deems appropriate (including an opinion of counsel in form and substance satisfactory to the Company) that the sale, transfer, assignment, pledge, encumbrance or other disposition of such shares or such beneficial interest, as the case may be, does not require registration under the Securities Act or any applicable state securities laws. The Company shall make all reasonable efforts to bring about the occurrence of said events. 8.3 Corporate Restrictions on Rights in Stock. Any Stock to be issued pursuant to Awards granted under the Plan shall be subject to all restrictions upon the transfer thereof which may be now or hereafter imposed by the charter, certificate or articles, or by-laws, of the Company. Whenever Stock is to be issued pursuant to an Award, if the Committee so directs at or after grant, the Company shall be under no obligation to issue such shares until such time, if ever, as the recipient of the Award (and any person who exercises any Option, in whole or in part), shall have become a party to and bound by the Stockholders' Agreement, if any. In the event of any conflict between the provisions of this Plan and the provisions of the Stockholders' Agreement, the provisions of the Stockholders' Agreement shall control, but insofar as possible the provisions of the Plan and such Agreement shall be construed so as to give full force and effect to all such provisions. 8.4 Investment Representations.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the Securities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 8.5 Registration.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damages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period not to exceed 180 days commencing on the effective date of the registration statement relating to the underwritten public offering of securities. Without limiting the generality of the foregoing provisions of this Section 8.5,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 8.6 Placement of Legends; Stop Orders; etc. Each share of Stock to be issued pursuant to Awards granted under the Plan may bear a reference to the investment representations made in accordance with Section 8.4 in addition to any other applicable restrictions under the Plan, the terms of the Award and, if applicable, to the fact that no registration statement has been filed with the SEC in respect to such shares of Stock. All certificates for shares of Stock or other securities delivered under the Plan shall be subject to such stop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such certificates to make appropriate reference to such restrictions. 8.7 Tax Withholding. Whenever shares of Stock are issued or to be issued pursuant to Awards granted under the Plan, the Company shall have the right to require the recipient to remit to the Company an amount sufficient to satisfy federal, state, local or other withholding tax requirements if, when, and to the extent required by law (whether so required to secure for the Company an otherwise available tax deduction or otherwise)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recipient of an Award. However, in such cases Participants may elect, subject to the approval of the Committee, acting in its sole discretion, to satisfy an applicable withholding requirement, in whole or in part, by having the Company withhold shares to satisfy their tax obligations. Participants may only elect to have shares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 8.8 Company Charter and By-Laws; Other Company Policies. This Plan and all Awards granted under the Plan (including the exercise, settlement or exchange of an Award) are 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compensation payable or paid on the basis of inaccurate financial results or statements, employee conduct, and other similar events. 9.Reservation of Stock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 10.Limitation of Rights in Stock; No Special Service Rights A Participant shall not be deemed for any purpose to be a stockholder of the Company with respect to any of the shares of Stock subject to an Award, unless and until a certificate shall have been issued therefor and delivered to the Participant or his agent, or if uncertificated shares are to be issued, until such shares have been registered in the name of the Participant on the books of the transfer agent and registrar of the Stock.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by-laws to the contrary, at any time to terminate such employment or consulting agreement or to increase or decrease, or otherwise adjust, the other terms and conditions of the recipient's employment or other association with the Company and its Affiliates. 11.Unfunded Status of Plan 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 12.Nonexclusivity of the Plan 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 13.Termination and Amendment of the Plan The Independent Board may at any time terminate the Plan or make such modifications of the Plan as it shall deem advisable. Unless the Independent Board otherwise expressly provides, no amendment of the Plan shall affect the terms of any Award outstanding on the date of such amendment. In any case, no termination or amendment of the Plan may, without the consent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recipient of an Award granted hereunder, adversely affect the rights of the recipient under such Award. The Committee may amend the terms of any Award theretofore granted, prospectively or retroactively, provided that the Award as amended is consistent with the terms of the Plan, but no such amendment shall impair the rights of the recipient of such Award without his or her consent. 14.Notices and Other Communications Any notice, demand, request or other communication hereunder to any party shall be deemed to be sufficient if contained in a written instrument delivered in person or duly sent by first class registered, certified or overnight mail, postage prepaid, or by electronic mail with a confirmation copy by regular, certified or overnight mail, addressed, as the case may be, (i) if to the recipient of an Award, at his or her residence address last filed with the Company and (ii) if to the Company, at its principal place of business, addressed to the attention of its Chief Financial Officer, or to such other address or electronic mail address, as the case may be, as the addressee may have designated by notice to the addressor. All such notices, requests, demands and other communications shall be deemed to have been received: (i) in the case of personal delivery, on the date of such delivery; and (ii) in all other cases, when received by the addressee in accordance with the foregoing requirements. 15.No Guarantee of Tax Consequences 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the provisions and penalties of Section 409A of the Code, pertaining to non- qualified plans of deferred compensation, will or will not apply. 16.Administrative Provisions 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 17.Governing Law It is intended that all Awards shall be granted and maintained on a basis which ensures they are exempt from, or otherwise compliant with, the requirements of Section 409A of the Code and the Plan shall be governed, interpreted and enforced consistent with such intent. Neither the Committee nor the Company, nor any of its Affiliates or its or their officers, employees, agents, or representatives, shall have any liability or responsibility for any adverse federal, state or local tax consequences and penalty taxes which may result from the grant or settlement of any Award on a basis contrary to the provisions of Section 409A of the Code or comparable provisions of any applicable state or local income tax laws. The Plan and all Award Agreements and actions taken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thereunder otherwise shall be governed, interpreted and enforced in accordance with the laws of the State of California, without regard to the conflict of laws principles thereof.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5" w:name="ex103_offerletterxcaomar.htm"/>
      <w:bookmarkStart w:id="26" w:name="ksex103_offerletterxcaomar"/>
      <w:bookmarkEnd w:id="25"/>
      <w:bookmarkEnd w:id="26"/>
      <w:r>
        <w:rPr/>
        <w:drawing>
          <wp:inline distT="0" distB="0" distL="0" distR="0">
            <wp:extent cx="10048875" cy="13001625"/>
            <wp:effectExtent l="0" t="0" r="0" b="0"/>
            <wp:docPr id="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06/25/2026 RE:      Offer Letter Dear Colleen Martin-Garcia, Congratulations! We are excited to offer you employment with 8x8, Inc. (“8x8” or “Company”) in the full-time position of SVP, Chief Accounting Officer beginning on July 6, 2026 (“Start Date”). As such, you will have responsibilities and perform duties consistent with this position as assigned to you from time to time by your manager. Your designation as Principal Accounting Officer of 8x8, Inc. shall be subject to, and effective upon, your formal appointment by the Board of Directors at its next regularly scheduled meeting following your Start Date. You will be working out of the Company’s US-California-Campbell Office, reporting to your manager, the Company’s Chief Financial Officer, provided that you may be required to travel from time to time as directed by the Company. Compensation: Salary: You will be paid an annual salary of $360,000.00, paid in accordance with the Company’s standard payroll policies, which currently is to be paid biweekly, subject to required withholdings and taxes and any authorized employee deductions. This salary is subject to periodic review and adjustment. Bonus: You will also be eligible to participate in the Company's discretionary incentive plan. Your total annual target bonus opportunity will be equal to 50% of your base salary. The actual bonus amount could be larger or smaller than the target amount, based on your performance, and the performance of the Company. The exact bonus amount is at the sole discretion of the Company and is not guaranteed. Eligibility to receive a discretionary bonus is subject to your continued employment with the Company through the payment of any bonus.  The components and respective attainment will be determined by your management team and the Company, with details to be communicated. For fiscal year 2027, your bonus will be prorated based on your length of service during the fiscal year.   Stock Award: Subject to the approval of 8x8’s Board of Directors, you will be granted an award of approximately 600,000 shares of restricted stock units (“RSUs”), representing the right to acquire shares of 8x8, Inc. Common Stock upon vesting. Any such award shall be made to you in the next available quarterly award month following your Start Date (currently June, September, December and March), subject to your Start Date falling before the end of the month prior to the next available quarterly award month (failing which, any award shall be made on the next applicable quarterly award month). By way of illustration, if your Start Date is 20 August, the award would be made in Colleen Martin-Garcia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September whereas if your Start Date is 1 September, the award would be made in December. This award will be subject to the terms of the applicable 8x8, Inc. stock plan and any supporting grant award documents. The shares will vest over a three-year period, with one-third (1/3) vesting on the first anniversary of the grant date, and the remainder vesting in eight (8) equal quarterly installments thereafter, subject to your continued employment or other qualifying association with the Company or any of its affiliates. Share Retention: You agree to acquire and retain an ownership interest in shares of 8x8 Common Stock whose value equals or exceeds one times (1X) the amount of your base salary as set forth in the Salary section above. For avoidance of doubt, any unvested or unearned shares will not be counted towards this requirement. You will have five years from your Start Date in which to meet this stock ownership threshold. If at any time thereafter, while you remain employed by the Company, your aggregate share ownership as defined in this Share Retention section should fall below the threshold, you agree (a) to retain shares as they vest and you acquire them pursuant to any awards granted to you, and (b) not to sell or otherwise transfer any of your shares of 8x8 common stock (other than in satisfaction of withholding requirements as permitted under the applicable 8x8, Inc. stock plan), until your share ownership equals or exceeds the threshold. In the event of a Corporate Transaction (as defined in the stock plan), this Share Retention section shall cease to apply. Severance Benefits: You will be entitled to benefits under the 8x8, Inc. 2017 Executive Change-in-Control and Severance Policy, as amended, (the “Policy”) at the Executive Tier in accordance with the terms thereof. Such benefits include potential vesting acceleration of stock-based compensation and/or cash severance upon the termination of your employment under specified circumstances, including in connection with a Change-in-Control (as defined in the Policy), subject to the terms and conditions of the Policy. A copy of the Policy, as in effect on the date of this offer letter, may be requested and is available at the SEC’s website. Benefits: You will be eligible to participate in the Company’s standard vacation, medical, vision, dental insurance benefits and 401(k) plan available to similarly situated employees according to the benefit plans and Company policy. You will also be eligible to participate in the Company's Employee Stock Purchase Plan (“ESPP”, the offering periods for which commence on February 1st and August 1st of each year). The future availability and terms of the ESPP always remains subject to the approval of the Company’s Board of Directors. A copy of the ESPP is available at the SEC’s website and maybe requested from the Company. Pre-Employment Conditions: Confidential Information, Restrictive Covenants and Invention Assignment Agreement. You will be required to sign the Company’s Confidential Information, Restrictive Covenants and Invention Assignment Agreement (“Confidentiality Agreement”), which includes covenants relating to, among other matters, protection of the Company’s proprietary and confidential information, assignment of inventions and non-solicitation of Company employees for 12 months following the termination of your employment. Employment Eligibility and Background Check. Your employment with the Company is also contingent upon satisfactory completion and passing of employment screening that includes verification of employment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education history, and background and reference checks (which you hereby authorize the Company to conduct). In addition, you will be required to complete the Form I-9 (Employment Eligibility Verification) within your first three days of employment, in accordance with applicable law. This offer will be withdrawn if any of the above conditions are not satisfied. Compliance with Obligations to Current and Former Employers: 8x8 is hiring you for your talents, skills, general industry knowledge and expertise. During the course of your employment with 8x8, we expect you to comply with any and all obligations you may have to any former employers (including your current employer), including, for example, any prohibitions against the use or disclosure of such employer’s confidential information, or the solicitation of its employees.        You must not use or disclose during the course of your employment with 8x8, any trade secrets or other confidential information of any former employer or any other company not affiliated with 8x8, nor should you copy or take with you any confidential or proprietary materials from another company. You will not need this information to perform your duties at 8x8 and using such information would violate 8x8 policies. You represent and agree that (i) your employment with 8x8 will not violate any restrictions against competition or similar covenants to which you may be subject; (ii) you have not brought or disclosed to, and you will not bring or disclose to, or use in connection with your employment with, the Company any trade secrets or confidential or proprietary information from any prior employer, or any other person or entity; and (iii) other than with respect to information solely in your memory, you have not taken information from any prior employer, and you have returned or destroyed or, at the very least, will have returned or destroyed by your Start Date any confidential information of your former employer that you may have in your physical possession or under your control. At-Will Employment: This Offer Letter does not constitute a contract of employment for any period of time. You will be an employee-at-will, meaning that either you or the Company may terminate your employment at any time, with or without cause, with or without notice, for any reason or no particular reason.  Although your compensation and benefits may change from time to time, the at-will nature of your employment may only be changed by an express written agreement signed by an authorized officer of the Company.  Your signature at the end of this Offer Letter confirms that no promises or agreements that are contrary to our at-will relationship have been committed to you during any of your pre-employment discussions with 8x8. General Obligations: At all times during your employment, you are expected to adhere to the Company’s standards of professionalism, loyalty, integrity, honesty, reliability and respect for all. You also agree to observe, respect and comply with all policies and procedures of the Company, whether written or oral, including but not limited to the Company’s Employee Handbook.   No Outside Consulting: You agree not to serve on any board of directors or equivalent governing body for any other organization, nor to perform any outside consulting work for any other person or organization, while employed full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time at the Company, other than with the advance written approval of the Chief Legal Officer and Chief Human Resources Officer of the Company.  The Company acknowledges your current service on the boards of Arts Council Santa Cruz County and Skills of Life and consents to the continuation of that service.  8x8 is an E-Verify employer: 8x8 uses E-Verify to establish identity and authorization to work as required by the Immigration Reform and Control Act of 1986 ("IRCA"). E-Verify is an Internet-based system maintained by the U.S. government that allows businesses to determine the eligibility of their employees to work in the United States. E Verify compares information from an employee's Form I-9 to data from U.S. Department of Homeland Security and Social Security Administration records to confirm employment eligibility. For more information about E-Verify, please go to the government's website at: www.uscis.gov/e-verify. Miscellaneous: This Offer Letter, including all referenced plans, policies, and Confidentiality Agreement, sets forth the entire agreement between the Company and you with respect to its subject matter and supersedes all prior agreements between the Company and you, whether oral or written.  The Company reserves the right, in its sole discretion, to modify or rescind any of the terms set forth in this letter at any time during the course of your employment, to the extent permitted by law. We look forward to working with you. To indicate your acceptance of the Company’s offer, please electronically sign and date this letter on or before 5:00pm Pacific Time on June 26, 2026, after which time this offer may be withdrawn. Congratulations and welcome to the 8x8 team! Sincerely, 8x8, Inc By: By: Jared Lucas Chief Administrative Officer Accepted and Agreed: /s/ Jared Lucas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{dateSigned1} Colleen Martin-Garcia /s/ Colleen Martin-GarciaignHere1}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7" w:name="ex104_middletonhunteroff.htm"/>
      <w:bookmarkStart w:id="28" w:name="ksex104_middletonhunteroff"/>
      <w:bookmarkEnd w:id="27"/>
      <w:bookmarkEnd w:id="28"/>
      <w:r>
        <w:rPr/>
        <w:drawing>
          <wp:inline distT="0" distB="0" distL="0" distR="0">
            <wp:extent cx="10048875" cy="13001625"/>
            <wp:effectExtent l="0" t="0" r="0" b="0"/>
            <wp:docPr id="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DocuSign Envelope ID: 24D22698-6DDC-4B4B-9 F615A209725 axa Global Cloud Communications 8x8 February 15, 2018 Hunter L. Middleton RE: Global Vice President of Product Management Dear Hunter, On behalf of 8x8, Inc., a Delaware corporation ("8x8," or the "Company"), I am pleased to offer you the position of Global President of Product Management beginning Monday March 5, 2018. The terms of your employment relationship with the Company will be as set forth below. l. Position. You will become Global Vice President of Product Management. As such, you will have responsibilities as determined by your manager, which shall be the Company's Chief Product Officer. Your duties and responsibilities are subject to change depending on the needs of the Company. 2. Compensation. a. Base Salary. You will be paid an annualized salary of $300,000, payable in accordance with the Company's standard payroll policies, and subject to required withholding. b. Salary Review. Your base salary will be reviewed as part of the Company's normal salary review process. c. Expenses. You will be reimbursed for all reasonable and necessary business expenses incurred in the performance of your duties as provided in the Company's Employee Handbook. 8x8, Inc. 2125 O'Nel Dr. San Jose, CA 95131 Phone: 408.727.1885 Fax: 408.980.0432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24D2269B-6DDC-4B4B-9, F615A209725 3. Management Incentive Plan. Subject to approval by the Board of Directors, you will be eligible to participate in the Company's Management Incentive Plan (the "MIP"), with an annual bonus target of 40%. Payments are made under the MIP on a quarterly and annual basis, shortly after the completion of the relevant fiscal period, if minimum Company performance targets and/or individual objectives are met with respect to that fiscal period. Your participation in the MIP would commence on your employment start date, and you would be entitled to a pro rata payment (based on number of days of participation) of any quarterly and annual awards that become payable in respect of the fiscal period during which you begin participating in the MIP. The terms and conditions of the MIP are set forth in Exhibit A. Notwithstanding the foregoing, the Company reserves the right to change the terms of the MIP at any time. 4. Stock Awards. a. Initial Equity Grants: Subject to approval by the Board of Directors, you will receive the following awards of stock-based compensation, with vesting commencing on your start date: i. RSUs (restricted stock units) with respect to 45,864 shares of Common Stock, having a value of approximately $750,000, vesting at a rate of one-fourth (1/4) of the shares on the first, second, third and fourth anniversaries of your start date, subject to your continued employment or other association with the Company; and ii. PSUs (performance stock units) with respect to 12,820 shares of Common Stock (at target), having a value of approximately $250,000, vesting as set forth on Exhibit B attached hereto, and; The awards will be subject to the terms and conditions of the 8x8, Inc. 2017 New Employee Inducement Incentive Plan (the "2017 Plan") and will be documented with award agreements between the Company and you in the Company's standard form (except as modified by the provisions of this offer letter). S. Benefits. The Company will make available to you, standard vacation, medical and dental insurance benefits. The Company will also make available to you a 401(k) Plan. You are eligible for benefits on the first day of your employment. Medical benefits will start on your date of hire and your dental will start on the first day of the month following your date of hire. You will be eligible to participate in the Company's Employee Stock Purchase Plan upon enrollment by February 1" or August 1" of any year. 6. Standard Confidentiality and Inventions Assignment Agreement. Like all Company employees, you will be required to sign the Company's standard Confidential Information and Inventions Assignment Agreement (the "Confidentiality Agreement"), which includes covenants relating to, among other matters, protection of the Company's proprietary and confidential information, assignment of inventions and non-solicitation of Company employees for 12 months following the termination of your employment.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24D22698-6DDC-4B4B-9, 5F615A209725 7. Compliance with Obligations to Current and Former Employers. During the course of your employment with 8x8, we expect you to comply with any and all obligations you may have to your then-former employers (including your current employer), including, for example, any prohibitions against the use or disclosure of such employer's confidential information, or the solicitation of its employees. We do not want you to take with you, or use, or disclose during the course of your employment with 8x8, any trade secrets or other confidential information of these other companies. Prior to commencing your employment with 8x8, we expect you to return or destroy any confidential information of your former employers that you may have in your possession or under your control, in accordance with their policies, requirements and instructions. You will not need this information to perform your duties at 8x8, and using such information would violate 8x8 policies. 8x8 is hiring you for your talents, skills, general industry knowledge and expertise. We understand from our discussions with you that working for 8x8 in the role described in this letter will not violate any restrictions against competition or similar covenants to which you may be subject under any arrangement with your current employer, your past employers or any other third parties. If this is incorrect, please do not sign this letter and contact us as soon as possible. We encourage you to consult with a personal attorney if you have any uncertainty in this regard. 8. At-Will Employment: Employee Handbook. You will be an employee-at-will, meaning that either you or the Company may terminate your employment at any time, without notice, for any reason or no reason, without further obligation or liability to either party (except as set forth in the Policy, the Employee Handbook, the Confidentiality Agreement and any other agreement between the Company and you, and except as otherwise required under applicable law). You will receive the Company's Employee Handbook which sets forth many of the Company's key policies and procedures on or around your first day of employment. The Employee Handbook, as in effect from time-to-time, will be a part of the terms of your employment with the Company. 9. No Outside Consulting. You agree to not serve on any board of directors or equivalent governing body for any other organization, or perform any outside consulting work for any other person or organization, while employed full-time at the Company, other than with the advance written approval of the Chief Executive Officer of the Company. 10. Background Check. This offer letter is contingent upon satisfactory results of a background check and reference checks (which you hereby authorize the Company to conduct), and it may be rescinded at any time in the event the background or reference checks fail to meet the reasonable requirements of the Company. In addition, this offer letter is contingent on your demonstrating your right to work in the United State in accordance with applicable law. 11. Expiration Date. You will be deemed to have accepted this offer when the Company receives your signed counterpart to this offer letter. If not accepted, this offer will expire at 5:00pm Pacific Time on February 19, 2018. 12. Start Date. Your new position will become effective no later than March 5, 2018. Congratulations on joining the team!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DocuSign Envelope ID: 24D2269B-6DDC-4B4B-9. JF615A209725 Sincerely, Vikram Verma Chief Executive Officer ACCEPTED: 5Ci.La. Lente.Middleton D 2/27/2018 [</w:t>
        <w:softHyphen/>
        <w:t xml:space="preserve"> Attachments: Exhibit A- Management Incentive Plan Exhibit B- PSU Vesting Schedule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24D2269B-6DDC-4B4B-9. 5F615A209725 EXHIBIT A Management Incentive Plan [See attached]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24D2269B-6DDC-4B4-9. JF615A209725 EXHIBIT B PSU Vesting Schedule PSUs will vest (1) as to 50% of the total number of "on-target" shares, on the second anniversary of the grant date, and (2) as to the remaining 50% of the total number of "on-target" shares, on the third anniversary of the grant date, in each case subject to performance of the Company's Common Stock relative to the Russell 2000 Index during the period from grant date through the applicable vesting date, with 100% (or more) of the applicable tranche vesting if the total shareholder return (TSR) of the Company's Common Stock equals (or exceeds) the TSR of the Russell 2000 Index over the applicable measurement period. The number of PSUs that vest will be increased (or decreased), relative to target, by 2% for each 1% positive (or negative) difference in the TSR of the Company's Common Stock relative to the TSR of the Russell 2000 Index; provided, however, (1) in the event the TSR of the Company's Common Stock is more than 30% lower than the TSR of the Russell 2000 Index for the applicable measurement period, no PSUs of the applicable tranche shall vest, and (2) in no event will the total number of PSUs that vest in the event of a positive difference in the TSR of the Company's Common Stock relative to the TSR of the Russell 2000 Index exceed 200% of the total number of "on-target" PSUs in the applicable tranche. TSR shall be determined on a percentage basis based on the value of a $100 investment in Company Common Stock and the Russell 2000 Index on the grant date, including deemed reinvestment of dividends. Fair market value of Company Common Stock and the Russell 2000 Index on any particular date shall be the 30-day trading average price for the period prior to and through the date of determination. In addition and notwithstanding anything herein to the contrary, all vesting is subject to continued employment or other association with the Company through the end of the applicable measurement period.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24D02269B-6DDC-4B4B-9 5F6154209725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24D2269B-6DDC-4B4-9. CF615A209725 8X8, INC. SECOND AMENDED AND RESTATED MANAGEMENT INCENTIVE BONUS PLAN Effective: June 22, 2012 Amended: January 23, 2017 &amp; May 22, 2017 l. PURPOSE The purpose of this Second Amended and Restated Management Incentive Bonus Plan (the "Plan") is to promote the success of 8x8, Inc. (the "Company") by providing financial incentives to eligible Employees (individually a "Participant" and collectively the "Participants") to strive for more effective operation of the Company's business. The Company intends to use this Plan to link the interest of stockholders of the Company and Plan Participants by motivating Participants to focus on profitable revenue growth, product quality, completing individual objectives that support the Company's overall business strategy, to attract and retain Participants' services and to create a variable compensation plan that is competitive with other companies in the Company's market. 2. DEFINITIONS The following definitions shall be applicable throughout the Plan: a. "Annual Period" means the twelve-month period starting April 1 and ending March 31, which corresponds to the Company's fiscal year as of the Effective Date. b. "Award" means, as applicable, (a) the individual right of a Participant to receive payments under this Plan with respect to Annual and Quarter Periods and related benefits, or (b)the amount of cash paid to a Participant under the Plan with respect to an Annual or Quarter Period. c. "Award Determination Date" means the date following the end of each Annual Period and each Quarter Period that the Compensation Committee of the Company's Board of Directors (the "Committee") meets to review individual and Company performance, which shall in any event be no later than 45 days from the end of each Quarter Period and no later than 60 days from the end of each Annual Period. d. "Effective Date" means June 22, 2012. e. "Employee" means any individual, including an officer, who is a full service employee of the Company or any entity in which the Company beneficially owns more than 50% of the outstanding ownership interests entitled to vote for the election of directors or the equivalent managing body of such entity, determined on a worldwide basis. f. "Participant" has the meaning set forth in Section 1 above. g. "Participation Date" means, for each Participant, the date on which the Participant commences participation in the Plan as determined in accordance with Section 4. h. "Quarter Period" means the three-month period representing the Company's fiscal quarter. The quarters begin on April 1°, July 1, October 1", and January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24D2269B-6DDC-4B4B-9. 2F615A209725 i. "Term of the Plan" means the period during which the Plan is effective. This period shall begin on the Effective Date and end on a date to be determined in accordance with Section 10 of the Plan. 3. POWERS AND ADMINISTRATION a. Administration by the Committee. Subject to any powers to be exercised by the Company's board of directors, in its discretion, the Committee shall administer the Plan and have such powers and duties as are conferred upon it under this Plan, or any amendments thereto, or by the Board of Directors of the Company. The Committee shall have the authority and complete discretion to (i) prescribe, amend and rescind rules relating to the Plan; (ii) select Participants to receive Awards; (iii) construe and interpret the Plan; (iv) make changes in relation to the Term of the Plan; (v) correct any defect or omission, or reconcile any inconsistency in the Plan; (vi) authorize any person to execute on behalf of the Company any instrument required to effectuate the grant of an Award; and (vii) make all other determinations deemed necessary or advisable for the administration of the Plan. b. Committee's Interpretation Final. The Committee's interpretation and construction of any provision of the Plan shall be final and binding on all persons claiming an interest in an Award granted or issued under the Plan. Neither the Committee nor any director shall be liable for any action or determination made in good faith with respect to the Plan. The Company, in accordance with its bylaws, shall indemnify and defend such parties to the fullest extent provided by law and such bylaws. c. Nontransferability of Awards. An award granted a Participant shall not be assignable or transferable in whole or in part, either voluntarily or by operation of law or otherwise. In the event of the Participant's death, an Award is transferable by the Participant only by will or the laws of descent and distribution. Any attempted assignment, transfer or attachment by any creditor in violation of this Subsection 3(c) shall be null and void. 4. ELIGIBILITY AND PARTICIPATION a. Eligibility. All executive officers of the Company and other Employees deemed eligible by the Committee shall be eligible to participate in the Plan, and the Committee's grant of an Award to an Employee shall be conclusive evidence of the Committee's determination of that Employee's eligibility. A Participant's participation in the Plan shall be deemed to commence effective as of his or her Participation Date. The Participation Date for an eligible Employee will be (a) 90 days from the Employee's date of hire or (b) such other date as the Committee may approve (for example, 90 days from the date of an existing Employee's promotion to a new position). A Participant whose participation in the Plan commences on a date other than on the first day of an Annual Period shall be entitled to receive a pro-rated payment with respect to that Annual Period, based on the number of days the Participant participates in the Plan versus the maximum number of days available for participation during the Annual Period (assuming all other payment conditions are satisfied). For instance, a person hired on April 15" will generally have a Participation Date of July 15, which corresponds to 260 eligible days to participate in the Plan -i.e., from July 15 to March 31". Similarly, a Participant shall be entitled to a pro-rated payment with respect to the Quarter Period during which his or her participation in the Plan commences, based on the number of days of actual participation versus the maximum number of days available during the Quarter Period (assuming all other payment conditions are satisfied). b. Employment Requirement. Participants must be employed with the Company on the Award Determination Date and on the date the Award is to be paid, to be eligible for an Award payment under the Plan.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1" descr=""/>
                    <pic:cNvPicPr>
                      <a:picLocks noChangeAspect="1" noChangeArrowheads="1"/>
                    </pic:cNvPicPr>
                  </pic:nvPicPr>
                  <pic:blipFill>
                    <a:blip r:embed="rId54"/>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24D2269B-6D0DC-4B4-9 5F615A209725 c. Participation and Approval. For each Annual Period, the Chief Executive Officer shall present to the Committee a list of recommended Participants employed by the Company or a Company subsidiary at that time together with a recommended target Award for each Participant for the fiscal year, which recommendations may be submitted after the commencement of the current Annual Period. The Committee shall review the Chief Executive Officer's report, make any adjustments the Committee deems necessary, and approve target Awards for the Annual Period. The Committee or the Chief Executive Officer shall communicate to each Participant his or her participation in the Plan and his or her individual objectives and targets. 5. CALCULATION OF AWARDS a. Awards Based on Objectives. i. Awards for the Annual Period shall be based on (A) successful completion of approved individual objectives for such period (as approved at the beginning of the fiscal year), (B) the Company's performance against predetermined metrics (as approved at the beginning of the fiscal year), or (C) some combination of both, as determined by the Committee at the beginning of the relevant fiscal year. ii. Awards for the Quarter Period shall be based on (A) successful completion of approved individual objectives for such period (as approved at the beginning of the fiscal year or the relevant fiscal quarter), (B) the Company's performance against predetermined metrics (as approved at the beginning of the fiscal year or the relevant fiscal quarter), or (C) some combination of both, as determined by the Committee at the beginning of the relevant fiscal year. b. Determination of Award Target. Target amounts for Awards for Participants are determined by competitive market information relevant to the job the individual is performing for the Company, the job function of the individual and the individuals' expected contributions to the Company. The target amounts may be a specified cash amount or a percentage of base pay. 6. PAYMENT All payments are to be made in cash, less applicable federal, state, local and FICA taxes, as soon as practicable after the Award Determination Date, but in all events within 75 days after it. 7. AMENDMENT OF THE PLAN The Committee may, from time to time, terminate, suspend, or discontinue the Plan, in whole or part, or revise or amend it in any respect whatsoever. 8. SOURCE OF FUNDS The Plan is funded by a portion of profits in excess of minimum profit targets set forth annually by the Committee. All awards paid under the Plan are paid from the general assets of the Company and are not liabilities of the Company at any time prior to the time when payment is made. Nothing contained in the Plan shall require the Company to segregate any monies from its general funds, or to create any trust or make any special deposit in respect of any amounts payable under the Plan to or for any Participant or group of Participants.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2402269-6DDC-4B4B-9 2F615A209725 9. RIGHTS AS AN EMPLOYEE The Plan shall not be construed to give any individual the right to remain in the employ of the Company or to affect the right of the Company to terminate such individual's status as an Employee. Participation in the Plan will not affect participation in any other compensatory plan maintained by the Company. 10. EFFECTIVE DATE OF PLAN The Plan is effective on the Effective Date and shall remain in effect until such time as the Committee decides to terminate the Plan. 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31.1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 Samuel Wilson,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5, 2026</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31.2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 Kevin Kraus,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5, 2026</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June 30, 2026, as filed with the Securities and Exchange Commission on the date hereof (the "Report"), I, Samuel Wilson, Chief Executive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5, 2026</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June 30, 2026, as filed with the Securities and Exchange Commission on the date hereof (the "Report"), I, Kevin Kraus, Chief Financial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5, 2026</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 w:name="Archivo Light">
    <w:altName w:val="serif"/>
    <w:charset w:val="01"/>
    <w:family w:val="auto"/>
    <w:pitch w:val="default"/>
  </w:font>
  <w:font w:name="Archivo Semi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023731/000102373122000124/exhibit31certificateofamen.htm" TargetMode="External"/><Relationship Id="rId4" Type="http://schemas.openxmlformats.org/officeDocument/2006/relationships/hyperlink" Target="https://www.sec.gov/Archives/edgar/data/1023731/000113626115000219/exh3-2.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46302</Words>
  <Characters>245308</Characters>
  <CharactersWithSpaces>290230</CharactersWithSpaces>
  <Paragraphs>2188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ex104_middletonhunteroff</dc:title>
</cp:coreProperties>
</file>