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92075</wp:posOffset>
            </wp:positionV>
            <wp:extent cx="1637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127000</wp:posOffset>
            </wp:positionV>
            <wp:extent cx="1637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82" w:lineRule="exact"/>
        <w:rPr>
          <w:sz w:val="24"/>
          <w:szCs w:val="24"/>
          <w:color w:val="auto"/>
        </w:rPr>
      </w:pPr>
    </w:p>
    <w:p>
      <w:pPr>
        <w:jc w:val="center"/>
        <w:ind w:left="3680" w:right="1360" w:hanging="2314"/>
        <w:spacing w:after="0" w:line="400" w:lineRule="auto"/>
        <w:tabs>
          <w:tab w:leader="none" w:pos="1583"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2024</w:t>
      </w:r>
    </w:p>
    <w:p>
      <w:pPr>
        <w:jc w:val="center"/>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1580" w:hanging="212"/>
        <w:spacing w:after="0"/>
        <w:tabs>
          <w:tab w:leader="none" w:pos="1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2" w:lineRule="exact"/>
        <w:rPr>
          <w:sz w:val="24"/>
          <w:szCs w:val="24"/>
          <w:color w:val="auto"/>
        </w:rPr>
      </w:pPr>
    </w:p>
    <w:p>
      <w:pPr>
        <w:ind w:left="3600"/>
        <w:spacing w:after="0"/>
        <w:rPr>
          <w:sz w:val="20"/>
          <w:szCs w:val="20"/>
          <w:color w:val="auto"/>
        </w:rPr>
      </w:pPr>
      <w:r>
        <w:rPr>
          <w:rFonts w:ascii="Arial" w:cs="Arial" w:eastAsia="Arial" w:hAnsi="Arial"/>
          <w:sz w:val="16"/>
          <w:szCs w:val="16"/>
          <w:b w:val="1"/>
          <w:bCs w:val="1"/>
          <w:color w:val="auto"/>
        </w:rPr>
        <w:t>For the transition period from ________to _________</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001-38312</w:t>
      </w:r>
    </w:p>
    <w:p>
      <w:pPr>
        <w:spacing w:after="0" w:line="6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52070</wp:posOffset>
            </wp:positionV>
            <wp:extent cx="720090"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8x8, INC.</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5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Delaware</w:t>
            </w:r>
          </w:p>
        </w:tc>
        <w:tc>
          <w:tcPr>
            <w:tcW w:w="100" w:type="dxa"/>
            <w:vAlign w:val="bottom"/>
          </w:tcPr>
          <w:p>
            <w:pPr>
              <w:spacing w:after="0"/>
              <w:rPr>
                <w:sz w:val="18"/>
                <w:szCs w:val="18"/>
                <w:color w:val="auto"/>
              </w:rPr>
            </w:pPr>
          </w:p>
        </w:tc>
        <w:tc>
          <w:tcPr>
            <w:tcW w:w="5580" w:type="dxa"/>
            <w:vAlign w:val="bottom"/>
            <w:tcBorders>
              <w:bottom w:val="single" w:sz="8" w:color="auto"/>
            </w:tcBorders>
          </w:tcPr>
          <w:p>
            <w:pPr>
              <w:jc w:val="right"/>
              <w:ind w:right="2284"/>
              <w:spacing w:after="0"/>
              <w:rPr>
                <w:sz w:val="20"/>
                <w:szCs w:val="20"/>
                <w:color w:val="auto"/>
              </w:rPr>
            </w:pPr>
            <w:r>
              <w:rPr>
                <w:rFonts w:ascii="Arial" w:cs="Arial" w:eastAsia="Arial" w:hAnsi="Arial"/>
                <w:sz w:val="16"/>
                <w:szCs w:val="16"/>
                <w:b w:val="1"/>
                <w:bCs w:val="1"/>
                <w:color w:val="auto"/>
              </w:rPr>
              <w:t>77-0142404</w:t>
            </w:r>
          </w:p>
        </w:tc>
      </w:tr>
      <w:tr>
        <w:trPr>
          <w:trHeight w:val="188"/>
        </w:trPr>
        <w:tc>
          <w:tcPr>
            <w:tcW w:w="5660" w:type="dxa"/>
            <w:vAlign w:val="bottom"/>
            <w:gridSpan w:val="2"/>
          </w:tcPr>
          <w:p>
            <w:pPr>
              <w:jc w:val="center"/>
              <w:ind w:right="120"/>
              <w:spacing w:after="0"/>
              <w:rPr>
                <w:sz w:val="20"/>
                <w:szCs w:val="20"/>
                <w:color w:val="auto"/>
              </w:rPr>
            </w:pPr>
            <w:r>
              <w:rPr>
                <w:rFonts w:ascii="Arial" w:cs="Arial" w:eastAsia="Arial" w:hAnsi="Arial"/>
                <w:sz w:val="14"/>
                <w:szCs w:val="14"/>
                <w:color w:val="auto"/>
              </w:rPr>
              <w:t>(State or Other Jurisdiction of Incorporation or Organization)</w:t>
            </w:r>
          </w:p>
        </w:tc>
        <w:tc>
          <w:tcPr>
            <w:tcW w:w="5580" w:type="dxa"/>
            <w:vAlign w:val="bottom"/>
          </w:tcPr>
          <w:p>
            <w:pPr>
              <w:jc w:val="center"/>
              <w:spacing w:after="0"/>
              <w:rPr>
                <w:sz w:val="20"/>
                <w:szCs w:val="20"/>
                <w:color w:val="auto"/>
              </w:rPr>
            </w:pPr>
            <w:r>
              <w:rPr>
                <w:rFonts w:ascii="Arial" w:cs="Arial" w:eastAsia="Arial" w:hAnsi="Arial"/>
                <w:sz w:val="14"/>
                <w:szCs w:val="14"/>
                <w:color w:val="auto"/>
              </w:rPr>
              <w:t>(I.R.S. Employer Identification Number)</w:t>
            </w:r>
          </w:p>
        </w:tc>
      </w:tr>
    </w:tbl>
    <w:p>
      <w:pPr>
        <w:spacing w:after="0" w:line="12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675 Creekside Way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Campbell, CA 95008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23495</wp:posOffset>
            </wp:positionV>
            <wp:extent cx="2674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727-1885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34925</wp:posOffset>
            </wp:positionV>
            <wp:extent cx="26746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6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0"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3"/>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PAR VALUE $0.001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EGHT</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139" w:lineRule="exact"/>
        <w:rPr>
          <w:sz w:val="24"/>
          <w:szCs w:val="24"/>
          <w:color w:val="auto"/>
        </w:rPr>
      </w:pPr>
    </w:p>
    <w:p>
      <w:pPr>
        <w:jc w:val="both"/>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2" w:lineRule="exact"/>
        <w:rPr>
          <w:sz w:val="24"/>
          <w:szCs w:val="24"/>
          <w:color w:val="auto"/>
        </w:rPr>
      </w:pPr>
    </w:p>
    <w:p>
      <w:pPr>
        <w:jc w:val="both"/>
        <w:spacing w:after="0" w:line="20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2" w:lineRule="exact"/>
        <w:rPr>
          <w:sz w:val="24"/>
          <w:szCs w:val="24"/>
          <w:color w:val="auto"/>
        </w:rPr>
      </w:pPr>
    </w:p>
    <w:p>
      <w:pPr>
        <w:jc w:val="both"/>
        <w:spacing w:after="0" w:line="29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48" w:lineRule="exact"/>
        <w:rPr>
          <w:sz w:val="24"/>
          <w:szCs w:val="24"/>
          <w:color w:val="auto"/>
        </w:rPr>
      </w:pPr>
    </w:p>
    <w:tbl>
      <w:tblPr>
        <w:tblLayout w:type="fixed"/>
        <w:tblInd w:w="800" w:type="dxa"/>
        <w:tblCellMar>
          <w:top w:w="0" w:type="dxa"/>
          <w:left w:w="0" w:type="dxa"/>
          <w:bottom w:w="0" w:type="dxa"/>
          <w:right w:w="0" w:type="dxa"/>
        </w:tblCellMar>
      </w:tblPr>
      <w:tr>
        <w:trPr>
          <w:trHeight w:val="203"/>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320" w:type="dxa"/>
            <w:vAlign w:val="bottom"/>
          </w:tcPr>
          <w:p>
            <w:pPr>
              <w:ind w:left="18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0" w:lineRule="exact"/>
        <w:rPr>
          <w:sz w:val="24"/>
          <w:szCs w:val="24"/>
          <w:color w:val="auto"/>
        </w:rPr>
      </w:pPr>
    </w:p>
    <w:p>
      <w:pPr>
        <w:spacing w:after="0" w:line="20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760"/>
        <w:spacing w:after="0" w:line="22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 Registrant's Common Stock outstanding as of October 31, 2024 was 130,660,747.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9920" w:type="dxa"/>
            <w:vAlign w:val="bottom"/>
            <w:gridSpan w:val="26"/>
          </w:tcPr>
          <w:p>
            <w:pPr>
              <w:spacing w:after="0"/>
              <w:rPr>
                <w:sz w:val="20"/>
                <w:szCs w:val="20"/>
                <w:color w:val="auto"/>
              </w:rPr>
            </w:pPr>
            <w:r>
              <w:rPr>
                <w:rFonts w:ascii="Arial" w:cs="Arial" w:eastAsia="Arial" w:hAnsi="Arial"/>
                <w:sz w:val="16"/>
                <w:szCs w:val="16"/>
                <w:color w:val="0000FF"/>
              </w:rPr>
              <w:t>Table of Contents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4"/>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2"/>
          </w:tcPr>
          <w:p>
            <w:pPr>
              <w:jc w:val="center"/>
              <w:ind w:right="3720"/>
              <w:spacing w:after="0"/>
              <w:rPr>
                <w:sz w:val="20"/>
                <w:szCs w:val="20"/>
                <w:color w:val="auto"/>
              </w:rPr>
            </w:pPr>
            <w:r>
              <w:rPr>
                <w:rFonts w:ascii="Arial" w:cs="Arial" w:eastAsia="Arial" w:hAnsi="Arial"/>
                <w:sz w:val="16"/>
                <w:szCs w:val="16"/>
                <w:b w:val="1"/>
                <w:bCs w:val="1"/>
                <w:color w:val="auto"/>
              </w:rPr>
              <w:t>8X8, INC.</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00" w:type="dxa"/>
            <w:vAlign w:val="bottom"/>
            <w:gridSpan w:val="9"/>
          </w:tcPr>
          <w:p>
            <w:pPr>
              <w:jc w:val="center"/>
              <w:ind w:right="2280"/>
              <w:spacing w:after="0"/>
              <w:rPr>
                <w:sz w:val="20"/>
                <w:szCs w:val="20"/>
                <w:color w:val="auto"/>
              </w:rPr>
            </w:pPr>
            <w:r>
              <w:rPr>
                <w:rFonts w:ascii="Arial" w:cs="Arial" w:eastAsia="Arial" w:hAnsi="Arial"/>
                <w:sz w:val="16"/>
                <w:szCs w:val="16"/>
                <w:b w:val="1"/>
                <w:bCs w:val="1"/>
                <w:color w:val="auto"/>
              </w:rPr>
              <w:t>INDEX TO QUARTERLY REPORT ON FORM 10-Q</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00" w:type="dxa"/>
            <w:vAlign w:val="bottom"/>
            <w:gridSpan w:val="9"/>
          </w:tcPr>
          <w:p>
            <w:pPr>
              <w:jc w:val="center"/>
              <w:ind w:right="2280"/>
              <w:spacing w:after="0"/>
              <w:rPr>
                <w:sz w:val="20"/>
                <w:szCs w:val="20"/>
                <w:color w:val="auto"/>
              </w:rPr>
            </w:pPr>
            <w:r>
              <w:rPr>
                <w:rFonts w:ascii="Arial" w:cs="Arial" w:eastAsia="Arial" w:hAnsi="Arial"/>
                <w:sz w:val="16"/>
                <w:szCs w:val="16"/>
                <w:b w:val="1"/>
                <w:bCs w:val="1"/>
                <w:color w:val="auto"/>
              </w:rPr>
              <w:t>FOR THE QUARTER ENDED SEPTEMBER 30, 2024</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32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0" w:type="dxa"/>
            <w:vAlign w:val="bottom"/>
            <w:tcBorders>
              <w:bottom w:val="single" w:sz="8" w:color="0000FF"/>
            </w:tcBorders>
            <w:gridSpan w:val="16"/>
          </w:tcPr>
          <w:p>
            <w:pPr>
              <w:spacing w:after="0" w:line="149" w:lineRule="exact"/>
              <w:rPr>
                <w:sz w:val="20"/>
                <w:szCs w:val="20"/>
                <w:color w:val="auto"/>
              </w:rPr>
            </w:pPr>
            <w:r>
              <w:rPr>
                <w:rFonts w:ascii="Arial" w:cs="Arial" w:eastAsia="Arial" w:hAnsi="Arial"/>
                <w:sz w:val="16"/>
                <w:szCs w:val="16"/>
                <w:b w:val="1"/>
                <w:bCs w:val="1"/>
                <w:color w:val="0000FF"/>
              </w:rPr>
              <w:t>Forward-Looking Statements and Risk Factors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0" w:type="dxa"/>
            <w:vAlign w:val="bottom"/>
            <w:gridSpan w:val="2"/>
          </w:tcPr>
          <w:p>
            <w:pPr>
              <w:jc w:val="center"/>
              <w:ind w:left="539"/>
              <w:spacing w:after="0" w:line="169" w:lineRule="exact"/>
              <w:rPr>
                <w:sz w:val="20"/>
                <w:szCs w:val="20"/>
                <w:color w:val="auto"/>
              </w:rPr>
            </w:pPr>
            <w:r>
              <w:rPr>
                <w:rFonts w:ascii="Arial" w:cs="Arial" w:eastAsia="Arial" w:hAnsi="Arial"/>
                <w:sz w:val="16"/>
                <w:szCs w:val="16"/>
                <w:color w:val="0000FF"/>
                <w:w w:val="89"/>
              </w:rPr>
              <w:t>2</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00" w:type="dxa"/>
            <w:vAlign w:val="bottom"/>
            <w:gridSpan w:val="25"/>
            <w:vMerge w:val="restart"/>
          </w:tcPr>
          <w:p>
            <w:pPr>
              <w:spacing w:after="0"/>
              <w:rPr>
                <w:sz w:val="20"/>
                <w:szCs w:val="20"/>
                <w:color w:val="auto"/>
              </w:rPr>
            </w:pPr>
            <w:r>
              <w:rPr>
                <w:rFonts w:ascii="Arial" w:cs="Arial" w:eastAsia="Arial" w:hAnsi="Arial"/>
                <w:sz w:val="16"/>
                <w:szCs w:val="16"/>
                <w:b w:val="1"/>
                <w:bCs w:val="1"/>
                <w:color w:val="0000FF"/>
              </w:rPr>
              <w:t>PART I. FINANCIAL INFORMATION</w:t>
            </w: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900" w:type="dxa"/>
            <w:vAlign w:val="bottom"/>
            <w:gridSpan w:val="25"/>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Item 1. Financial Statements (unaudited):</w:t>
            </w:r>
          </w:p>
        </w:tc>
        <w:tc>
          <w:tcPr>
            <w:tcW w:w="6820" w:type="dxa"/>
            <w:vAlign w:val="bottom"/>
            <w:gridSpan w:val="11"/>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13"/>
            <w:vMerge w:val="restart"/>
          </w:tcPr>
          <w:p>
            <w:pPr>
              <w:spacing w:after="0"/>
              <w:rPr>
                <w:sz w:val="20"/>
                <w:szCs w:val="20"/>
                <w:color w:val="auto"/>
              </w:rPr>
            </w:pPr>
            <w:r>
              <w:rPr>
                <w:rFonts w:ascii="Arial" w:cs="Arial" w:eastAsia="Arial" w:hAnsi="Arial"/>
                <w:sz w:val="16"/>
                <w:szCs w:val="16"/>
                <w:color w:val="0000FF"/>
              </w:rPr>
              <w:t>Condensed Consolidated Balance Sheets</w:t>
            </w:r>
          </w:p>
        </w:tc>
        <w:tc>
          <w:tcPr>
            <w:tcW w:w="6660" w:type="dxa"/>
            <w:vAlign w:val="bottom"/>
            <w:gridSpan w:val="10"/>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bottom w:val="single" w:sz="8" w:color="0000FF"/>
            </w:tcBorders>
            <w:gridSpan w:val="13"/>
            <w:vMerge w:val="continue"/>
          </w:tcPr>
          <w:p>
            <w:pPr>
              <w:spacing w:after="0"/>
              <w:rPr>
                <w:sz w:val="17"/>
                <w:szCs w:val="17"/>
                <w:color w:val="auto"/>
              </w:rPr>
            </w:pPr>
          </w:p>
        </w:tc>
        <w:tc>
          <w:tcPr>
            <w:tcW w:w="6660" w:type="dxa"/>
            <w:vAlign w:val="bottom"/>
            <w:gridSpan w:val="10"/>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gridSpan w:val="15"/>
            <w:vMerge w:val="restart"/>
          </w:tcPr>
          <w:p>
            <w:pPr>
              <w:spacing w:after="0"/>
              <w:rPr>
                <w:sz w:val="20"/>
                <w:szCs w:val="20"/>
                <w:color w:val="auto"/>
              </w:rPr>
            </w:pPr>
            <w:r>
              <w:rPr>
                <w:rFonts w:ascii="Arial" w:cs="Arial" w:eastAsia="Arial" w:hAnsi="Arial"/>
                <w:sz w:val="16"/>
                <w:szCs w:val="16"/>
                <w:color w:val="0000FF"/>
              </w:rPr>
              <w:t>Condensed Consolidated Statements of Operations</w:t>
            </w:r>
          </w:p>
        </w:tc>
        <w:tc>
          <w:tcPr>
            <w:tcW w:w="5960" w:type="dxa"/>
            <w:vAlign w:val="bottom"/>
            <w:gridSpan w:val="8"/>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FF"/>
            </w:tcBorders>
            <w:gridSpan w:val="15"/>
            <w:vMerge w:val="continue"/>
          </w:tcPr>
          <w:p>
            <w:pPr>
              <w:spacing w:after="0"/>
              <w:rPr>
                <w:sz w:val="17"/>
                <w:szCs w:val="17"/>
                <w:color w:val="auto"/>
              </w:rPr>
            </w:pPr>
          </w:p>
        </w:tc>
        <w:tc>
          <w:tcPr>
            <w:tcW w:w="5960" w:type="dxa"/>
            <w:vAlign w:val="bottom"/>
            <w:gridSpan w:val="8"/>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4</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60" w:type="dxa"/>
            <w:vAlign w:val="bottom"/>
            <w:gridSpan w:val="23"/>
            <w:vMerge w:val="restart"/>
          </w:tcPr>
          <w:p>
            <w:pPr>
              <w:spacing w:after="0"/>
              <w:rPr>
                <w:sz w:val="20"/>
                <w:szCs w:val="20"/>
                <w:color w:val="auto"/>
              </w:rPr>
            </w:pPr>
            <w:r>
              <w:rPr>
                <w:rFonts w:ascii="Arial" w:cs="Arial" w:eastAsia="Arial" w:hAnsi="Arial"/>
                <w:sz w:val="16"/>
                <w:szCs w:val="16"/>
                <w:color w:val="0000FF"/>
              </w:rPr>
              <w:t>Condensed Consolidated Statements of Comprehensive Loss</w:t>
            </w: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23"/>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4</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tcBorders>
              <w:top w:val="single" w:sz="8" w:color="0000FF"/>
            </w:tcBorders>
            <w:gridSpan w:val="17"/>
            <w:vMerge w:val="restart"/>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FF"/>
            </w:tcBorders>
            <w:gridSpan w:val="17"/>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5</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gridSpan w:val="16"/>
            <w:vMerge w:val="restart"/>
          </w:tcPr>
          <w:p>
            <w:pPr>
              <w:spacing w:after="0"/>
              <w:rPr>
                <w:sz w:val="20"/>
                <w:szCs w:val="20"/>
                <w:color w:val="auto"/>
              </w:rPr>
            </w:pPr>
            <w:r>
              <w:rPr>
                <w:rFonts w:ascii="Arial" w:cs="Arial" w:eastAsia="Arial" w:hAnsi="Arial"/>
                <w:sz w:val="16"/>
                <w:szCs w:val="16"/>
                <w:color w:val="0000FF"/>
              </w:rPr>
              <w:t>Condensed Consolidated Statements of Cash Flows</w:t>
            </w:r>
          </w:p>
        </w:tc>
        <w:tc>
          <w:tcPr>
            <w:tcW w:w="5900" w:type="dxa"/>
            <w:vAlign w:val="bottom"/>
            <w:gridSpan w:val="7"/>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bottom w:val="single" w:sz="8" w:color="0000FF"/>
            </w:tcBorders>
            <w:gridSpan w:val="16"/>
            <w:vMerge w:val="continue"/>
          </w:tcPr>
          <w:p>
            <w:pPr>
              <w:spacing w:after="0"/>
              <w:rPr>
                <w:sz w:val="17"/>
                <w:szCs w:val="17"/>
                <w:color w:val="auto"/>
              </w:rPr>
            </w:pPr>
          </w:p>
        </w:tc>
        <w:tc>
          <w:tcPr>
            <w:tcW w:w="5900" w:type="dxa"/>
            <w:vAlign w:val="bottom"/>
            <w:gridSpan w:val="7"/>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6</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60" w:type="dxa"/>
            <w:vAlign w:val="bottom"/>
            <w:gridSpan w:val="23"/>
            <w:vMerge w:val="restart"/>
          </w:tcPr>
          <w:p>
            <w:pPr>
              <w:spacing w:after="0"/>
              <w:rPr>
                <w:sz w:val="20"/>
                <w:szCs w:val="20"/>
                <w:color w:val="auto"/>
              </w:rPr>
            </w:pPr>
            <w:r>
              <w:rPr>
                <w:rFonts w:ascii="Arial" w:cs="Arial" w:eastAsia="Arial" w:hAnsi="Arial"/>
                <w:sz w:val="16"/>
                <w:szCs w:val="16"/>
                <w:color w:val="0000FF"/>
              </w:rPr>
              <w:t>Notes to Unaudited Condensed Consolidated Financial Statements</w:t>
            </w: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23"/>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7</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gridSpan w:val="24"/>
          </w:tcPr>
          <w:p>
            <w:pPr>
              <w:spacing w:after="0"/>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1320" w:type="dxa"/>
            <w:vAlign w:val="bottom"/>
            <w:gridSpan w:val="3"/>
          </w:tcPr>
          <w:p>
            <w:pPr>
              <w:jc w:val="center"/>
              <w:ind w:right="20"/>
              <w:spacing w:after="0"/>
              <w:rPr>
                <w:sz w:val="20"/>
                <w:szCs w:val="20"/>
                <w:color w:val="auto"/>
              </w:rPr>
            </w:pPr>
            <w:r>
              <w:rPr>
                <w:rFonts w:ascii="Arial" w:cs="Arial" w:eastAsia="Arial" w:hAnsi="Arial"/>
                <w:sz w:val="16"/>
                <w:szCs w:val="16"/>
                <w:color w:val="0000FF"/>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tcBorders>
              <w:top w:val="single" w:sz="8" w:color="0000FF"/>
            </w:tcBorders>
            <w:gridSpan w:val="20"/>
            <w:vMerge w:val="restart"/>
          </w:tcPr>
          <w:p>
            <w:pPr>
              <w:spacing w:after="0"/>
              <w:rPr>
                <w:sz w:val="20"/>
                <w:szCs w:val="20"/>
                <w:color w:val="auto"/>
              </w:rPr>
            </w:pPr>
            <w:r>
              <w:rPr>
                <w:rFonts w:ascii="Arial" w:cs="Arial" w:eastAsia="Arial" w:hAnsi="Arial"/>
                <w:sz w:val="16"/>
                <w:szCs w:val="16"/>
                <w:color w:val="0000FF"/>
              </w:rPr>
              <w:t>Item 3. Quantitative and Qualitative Disclosures About Market Risk</w:t>
            </w:r>
          </w:p>
        </w:tc>
        <w:tc>
          <w:tcPr>
            <w:tcW w:w="2120" w:type="dxa"/>
            <w:vAlign w:val="bottom"/>
            <w:tcBorders>
              <w:top w:val="single" w:sz="8" w:color="0000FF"/>
            </w:tcBorders>
            <w:gridSpan w:val="3"/>
            <w:vMerge w:val="restart"/>
          </w:tcPr>
          <w:p>
            <w:pPr>
              <w:spacing w:after="0" w:line="20" w:lineRule="exact"/>
              <w:rPr>
                <w:sz w:val="1"/>
                <w:szCs w:val="1"/>
                <w:color w:val="auto"/>
              </w:rPr>
            </w:pPr>
          </w:p>
        </w:tc>
        <w:tc>
          <w:tcPr>
            <w:tcW w:w="2880" w:type="dxa"/>
            <w:vAlign w:val="bottom"/>
            <w:vMerge w:val="restart"/>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bottom w:val="single" w:sz="8" w:color="0000FF"/>
            </w:tcBorders>
            <w:gridSpan w:val="20"/>
            <w:vMerge w:val="continue"/>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28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780" w:type="dxa"/>
            <w:vAlign w:val="bottom"/>
            <w:gridSpan w:val="24"/>
            <w:vMerge w:val="restart"/>
          </w:tcPr>
          <w:p>
            <w:pPr>
              <w:spacing w:after="0"/>
              <w:rPr>
                <w:sz w:val="20"/>
                <w:szCs w:val="20"/>
                <w:color w:val="auto"/>
              </w:rPr>
            </w:pPr>
            <w:r>
              <w:rPr>
                <w:rFonts w:ascii="Arial" w:cs="Arial" w:eastAsia="Arial" w:hAnsi="Arial"/>
                <w:sz w:val="16"/>
                <w:szCs w:val="16"/>
                <w:color w:val="0000FF"/>
              </w:rPr>
              <w:t>Item 4. Controls and Procedures</w:t>
            </w: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gridSpan w:val="24"/>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b w:val="1"/>
                <w:bCs w:val="1"/>
                <w:color w:val="0000FF"/>
              </w:rPr>
              <w:t>PART II. OTHER INFORMATION</w:t>
            </w:r>
          </w:p>
        </w:tc>
        <w:tc>
          <w:tcPr>
            <w:tcW w:w="7480" w:type="dxa"/>
            <w:vAlign w:val="bottom"/>
            <w:gridSpan w:val="15"/>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7"/>
            <w:vMerge w:val="restart"/>
          </w:tcPr>
          <w:p>
            <w:pPr>
              <w:spacing w:after="0"/>
              <w:rPr>
                <w:sz w:val="20"/>
                <w:szCs w:val="20"/>
                <w:color w:val="auto"/>
              </w:rPr>
            </w:pPr>
            <w:r>
              <w:rPr>
                <w:rFonts w:ascii="Arial" w:cs="Arial" w:eastAsia="Arial" w:hAnsi="Arial"/>
                <w:sz w:val="16"/>
                <w:szCs w:val="16"/>
                <w:color w:val="0000FF"/>
              </w:rPr>
              <w:t>Item 1. Legal Proceedings</w:t>
            </w:r>
          </w:p>
        </w:tc>
        <w:tc>
          <w:tcPr>
            <w:tcW w:w="7900" w:type="dxa"/>
            <w:vAlign w:val="bottom"/>
            <w:gridSpan w:val="17"/>
            <w:vMerge w:val="restart"/>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7"/>
            <w:vMerge w:val="continue"/>
          </w:tcPr>
          <w:p>
            <w:pPr>
              <w:spacing w:after="0"/>
              <w:rPr>
                <w:sz w:val="17"/>
                <w:szCs w:val="17"/>
                <w:color w:val="auto"/>
              </w:rPr>
            </w:pPr>
          </w:p>
        </w:tc>
        <w:tc>
          <w:tcPr>
            <w:tcW w:w="7900" w:type="dxa"/>
            <w:vAlign w:val="bottom"/>
            <w:gridSpan w:val="17"/>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top w:val="single" w:sz="8" w:color="0000FF"/>
            </w:tcBorders>
            <w:gridSpan w:val="7"/>
            <w:vMerge w:val="restart"/>
          </w:tcPr>
          <w:p>
            <w:pPr>
              <w:spacing w:after="0"/>
              <w:rPr>
                <w:sz w:val="20"/>
                <w:szCs w:val="20"/>
                <w:color w:val="auto"/>
              </w:rPr>
            </w:pPr>
            <w:r>
              <w:rPr>
                <w:rFonts w:ascii="Arial" w:cs="Arial" w:eastAsia="Arial" w:hAnsi="Arial"/>
                <w:sz w:val="16"/>
                <w:szCs w:val="16"/>
                <w:color w:val="0000FF"/>
              </w:rPr>
              <w:t>Item 1A. Risk Factors</w:t>
            </w:r>
          </w:p>
        </w:tc>
        <w:tc>
          <w:tcPr>
            <w:tcW w:w="7900" w:type="dxa"/>
            <w:vAlign w:val="bottom"/>
            <w:gridSpan w:val="17"/>
            <w:vMerge w:val="restart"/>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7"/>
            <w:vMerge w:val="continue"/>
          </w:tcPr>
          <w:p>
            <w:pPr>
              <w:spacing w:after="0"/>
              <w:rPr>
                <w:sz w:val="17"/>
                <w:szCs w:val="17"/>
                <w:color w:val="auto"/>
              </w:rPr>
            </w:pPr>
          </w:p>
        </w:tc>
        <w:tc>
          <w:tcPr>
            <w:tcW w:w="7900" w:type="dxa"/>
            <w:vAlign w:val="bottom"/>
            <w:gridSpan w:val="17"/>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Item 2. Unregistered Sales of Equity Securities and Use of Proceeds</w:t>
            </w:r>
          </w:p>
        </w:tc>
        <w:tc>
          <w:tcPr>
            <w:tcW w:w="488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12"/>
            <w:vMerge w:val="restart"/>
          </w:tcPr>
          <w:p>
            <w:pPr>
              <w:spacing w:after="0"/>
              <w:rPr>
                <w:sz w:val="20"/>
                <w:szCs w:val="20"/>
                <w:color w:val="auto"/>
              </w:rPr>
            </w:pPr>
            <w:r>
              <w:rPr>
                <w:rFonts w:ascii="Arial" w:cs="Arial" w:eastAsia="Arial" w:hAnsi="Arial"/>
                <w:sz w:val="16"/>
                <w:szCs w:val="16"/>
                <w:color w:val="0000FF"/>
              </w:rPr>
              <w:t>Item 3. Defaults Upon Senior Securities</w:t>
            </w:r>
          </w:p>
        </w:tc>
        <w:tc>
          <w:tcPr>
            <w:tcW w:w="6940" w:type="dxa"/>
            <w:vAlign w:val="bottom"/>
            <w:gridSpan w:val="12"/>
            <w:vMerge w:val="restart"/>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0000FF"/>
            </w:tcBorders>
            <w:gridSpan w:val="12"/>
            <w:vMerge w:val="continue"/>
          </w:tcPr>
          <w:p>
            <w:pPr>
              <w:spacing w:after="0"/>
              <w:rPr>
                <w:sz w:val="17"/>
                <w:szCs w:val="17"/>
                <w:color w:val="auto"/>
              </w:rPr>
            </w:pPr>
          </w:p>
        </w:tc>
        <w:tc>
          <w:tcPr>
            <w:tcW w:w="6940" w:type="dxa"/>
            <w:vAlign w:val="bottom"/>
            <w:gridSpan w:val="12"/>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gridSpan w:val="8"/>
            <w:vMerge w:val="restart"/>
          </w:tcPr>
          <w:p>
            <w:pPr>
              <w:spacing w:after="0"/>
              <w:rPr>
                <w:sz w:val="20"/>
                <w:szCs w:val="20"/>
                <w:color w:val="auto"/>
              </w:rPr>
            </w:pPr>
            <w:r>
              <w:rPr>
                <w:rFonts w:ascii="Arial" w:cs="Arial" w:eastAsia="Arial" w:hAnsi="Arial"/>
                <w:sz w:val="16"/>
                <w:szCs w:val="16"/>
                <w:color w:val="0000FF"/>
              </w:rPr>
              <w:t>Item 4. Mine Safety Disclosures</w:t>
            </w:r>
          </w:p>
        </w:tc>
        <w:tc>
          <w:tcPr>
            <w:tcW w:w="7500" w:type="dxa"/>
            <w:vAlign w:val="bottom"/>
            <w:gridSpan w:val="16"/>
            <w:vMerge w:val="restart"/>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0000FF"/>
            </w:tcBorders>
            <w:gridSpan w:val="8"/>
            <w:vMerge w:val="continue"/>
          </w:tcPr>
          <w:p>
            <w:pPr>
              <w:spacing w:after="0"/>
              <w:rPr>
                <w:sz w:val="17"/>
                <w:szCs w:val="17"/>
                <w:color w:val="auto"/>
              </w:rPr>
            </w:pPr>
          </w:p>
        </w:tc>
        <w:tc>
          <w:tcPr>
            <w:tcW w:w="7500" w:type="dxa"/>
            <w:vAlign w:val="bottom"/>
            <w:gridSpan w:val="16"/>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6"/>
            <w:vMerge w:val="restart"/>
          </w:tcPr>
          <w:p>
            <w:pPr>
              <w:spacing w:after="0"/>
              <w:rPr>
                <w:sz w:val="20"/>
                <w:szCs w:val="20"/>
                <w:color w:val="auto"/>
              </w:rPr>
            </w:pPr>
            <w:r>
              <w:rPr>
                <w:rFonts w:ascii="Arial" w:cs="Arial" w:eastAsia="Arial" w:hAnsi="Arial"/>
                <w:sz w:val="16"/>
                <w:szCs w:val="16"/>
                <w:color w:val="0000FF"/>
              </w:rPr>
              <w:t>Item 5. Other Information</w:t>
            </w:r>
          </w:p>
        </w:tc>
        <w:tc>
          <w:tcPr>
            <w:tcW w:w="7980" w:type="dxa"/>
            <w:vAlign w:val="bottom"/>
            <w:gridSpan w:val="18"/>
            <w:vMerge w:val="restart"/>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FF"/>
            </w:tcBorders>
            <w:gridSpan w:val="6"/>
            <w:vMerge w:val="continue"/>
          </w:tcPr>
          <w:p>
            <w:pPr>
              <w:spacing w:after="0"/>
              <w:rPr>
                <w:sz w:val="17"/>
                <w:szCs w:val="17"/>
                <w:color w:val="auto"/>
              </w:rPr>
            </w:pPr>
          </w:p>
        </w:tc>
        <w:tc>
          <w:tcPr>
            <w:tcW w:w="7980" w:type="dxa"/>
            <w:vAlign w:val="bottom"/>
            <w:gridSpan w:val="18"/>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780" w:type="dxa"/>
            <w:vAlign w:val="bottom"/>
            <w:gridSpan w:val="24"/>
            <w:vMerge w:val="restart"/>
          </w:tcPr>
          <w:p>
            <w:pPr>
              <w:spacing w:after="0"/>
              <w:rPr>
                <w:sz w:val="20"/>
                <w:szCs w:val="20"/>
                <w:color w:val="auto"/>
              </w:rPr>
            </w:pPr>
            <w:r>
              <w:rPr>
                <w:rFonts w:ascii="Arial" w:cs="Arial" w:eastAsia="Arial" w:hAnsi="Arial"/>
                <w:sz w:val="16"/>
                <w:szCs w:val="16"/>
                <w:color w:val="0000FF"/>
              </w:rPr>
              <w:t>Item 6. Exhibits</w:t>
            </w: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gridSpan w:val="24"/>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9140" w:type="dxa"/>
            <w:vAlign w:val="bottom"/>
            <w:gridSpan w:val="22"/>
            <w:shd w:val="clear" w:color="auto" w:fill="0000FF"/>
          </w:tcPr>
          <w:p>
            <w:pPr>
              <w:spacing w:after="0"/>
              <w:rPr>
                <w:sz w:val="2"/>
                <w:szCs w:val="2"/>
                <w:color w:val="auto"/>
              </w:rPr>
            </w:pPr>
          </w:p>
        </w:tc>
        <w:tc>
          <w:tcPr>
            <w:tcW w:w="6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rPr>
                <w:sz w:val="20"/>
                <w:szCs w:val="20"/>
                <w:color w:val="auto"/>
              </w:rPr>
            </w:pPr>
            <w:r>
              <w:rPr>
                <w:rFonts w:ascii="Arial" w:cs="Arial" w:eastAsia="Arial" w:hAnsi="Arial"/>
                <w:sz w:val="16"/>
                <w:szCs w:val="16"/>
                <w:b w:val="1"/>
                <w:bCs w:val="1"/>
                <w:color w:val="0000FF"/>
              </w:rPr>
              <w:t>Signature</w:t>
            </w:r>
          </w:p>
        </w:tc>
        <w:tc>
          <w:tcPr>
            <w:tcW w:w="9140" w:type="dxa"/>
            <w:vAlign w:val="bottom"/>
            <w:gridSpan w:val="22"/>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and Risk Factors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Statements contained in this quarterly report on Form 10-Q, or this "Quarterly Report," regarding our expectations, beliefs, estimates, intentions or strategies are forward-looking statements within the meaning of Section 27A of the Securities Act of 1933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average annual service revenue per customer; cost of service revenue; growth in service revenue; research and development expenses; costs related to our continued growth initiatives; hiring of employees; sales and marketing expenses; unit costs and cost reductions; gross profit margin; general and administrative expenses in future periods; liquidity; indebtedness; capital; cash, cash equivalents and investment balances; anticipated cash flows; operating efficiency; and the ongoing impact of the COVID-19 pandemic.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11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economic downturns on us and our customers;</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cost increases and general inflationary pressures, as well as supply chain shortages and disruptions, on our operating expenses;</w:t>
      </w:r>
    </w:p>
    <w:p>
      <w:pPr>
        <w:spacing w:after="0" w:line="14"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delayed draw term loan facility and convertible senior notes due 2028, including the impact of increased interest expense and timing of any future repayments or refinancing on our stock price;</w:t>
      </w:r>
    </w:p>
    <w:p>
      <w:pPr>
        <w:ind w:left="640" w:hanging="308"/>
        <w:spacing w:after="0" w:line="234"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cancellations and rate of customer churn;</w:t>
      </w:r>
    </w:p>
    <w:p>
      <w:pPr>
        <w:ind w:left="660" w:right="20" w:hanging="328"/>
        <w:spacing w:after="0" w:line="24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ongoing volatility and conflict in the political and economic environment, including the impact of Russia’s invasion of Ukraine and conflicts in the Middle East, and any related macroeconomic impacts;</w:t>
      </w:r>
    </w:p>
    <w:p>
      <w:pPr>
        <w:ind w:left="660" w:hanging="328"/>
        <w:spacing w:after="0" w:line="25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acceptance and demand for our new and existing cloud communication and collaboration services and features, including voice, contact center, video, messaging, and communication application programming interfaces;</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competitive market pressures, and any changes in the competitive dynamics of the markets in which we compete;</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quality and reliability of our services;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business;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acquisition costs;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network of channel partners to provide substantial new customer demand;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timing and extent of improvements in operating results from increased spending in marketing, sales, and research and development;</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and retaining existing employees;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infrastructure of third-party network service providers;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failure in our physical infrastructure;</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defects or bugs in our software;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cybersecurity breaches;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compatibility of our software with third-party applications and mobile platforms;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continued compliance with industry standards and regulatory and privacy requirements, globally;</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introduction and adoption of our cloud software solutions in markets outside of the United States;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that any reduction in spending may not achieve the desired result or may result in a reduction in revenue;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relating to the acquisition and integration of businesses we have acquired or may acquire in the future, including most recently, Fuze, Inc.;</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fluctuations in the value of the United States Dollar and other currencies that underlie our business transactions;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substantial amount of indebtedness, which could have important consequences to our business;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future intellectual property infringement claims and other litigation that could adversely impact our business and operating results; 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instability in the banking system in recent years, which could adversely impact our operations and operating results.</w:t>
      </w:r>
    </w:p>
    <w:p>
      <w:pPr>
        <w:spacing w:after="0" w:line="1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Please refer to the "Risk Factors" section of our annual report on Form 10-K for the fiscal year ended March 31, 2024 (the "Form 10-K")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fiscal year ends on March 31 of each calendar year. Each reference to a fiscal year in this Quarterly Report refers to the fiscal year ended March 31 of the calendar year indicated (for example, fiscal year 2025 refers to the fiscal year ended March 31, 2025). Unless the context requires otherwise, references to "we," "us," "our," "8x8," and the "Company" refer to 8x8,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49"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2024</w:t>
            </w:r>
          </w:p>
        </w:tc>
        <w:tc>
          <w:tcPr>
            <w:tcW w:w="340" w:type="dxa"/>
            <w:vAlign w:val="bottom"/>
          </w:tcPr>
          <w:p>
            <w:pPr>
              <w:spacing w:after="0"/>
              <w:rPr>
                <w:sz w:val="17"/>
                <w:szCs w:val="17"/>
                <w:color w:val="auto"/>
              </w:rPr>
            </w:pPr>
          </w:p>
        </w:tc>
        <w:tc>
          <w:tcPr>
            <w:tcW w:w="1840" w:type="dxa"/>
            <w:vAlign w:val="bottom"/>
          </w:tcPr>
          <w:p>
            <w:pPr>
              <w:jc w:val="right"/>
              <w:ind w:right="499"/>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197"/>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116,262</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Short-term investments</w:t>
            </w: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64,567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58,979</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sales commission costs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35,933</w:t>
            </w:r>
          </w:p>
        </w:tc>
        <w:tc>
          <w:tcPr>
            <w:tcW w:w="0" w:type="dxa"/>
            <w:vAlign w:val="bottom"/>
          </w:tcPr>
          <w:p>
            <w:pPr>
              <w:spacing w:after="0"/>
              <w:rPr>
                <w:sz w:val="1"/>
                <w:szCs w:val="1"/>
                <w:color w:val="auto"/>
              </w:rPr>
            </w:pPr>
          </w:p>
        </w:tc>
      </w:tr>
      <w:tr>
        <w:trPr>
          <w:trHeight w:val="215"/>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35,258</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247,836</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50,364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53,181</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35,924</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76,519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86,717</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266,574</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Restricted cash, non-current</w:t>
            </w:r>
          </w:p>
        </w:tc>
        <w:tc>
          <w:tcPr>
            <w:tcW w:w="260" w:type="dxa"/>
            <w:vAlign w:val="bottom"/>
          </w:tcPr>
          <w:p>
            <w:pPr>
              <w:spacing w:after="0"/>
              <w:rPr>
                <w:sz w:val="18"/>
                <w:szCs w:val="18"/>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sales commission costs, non-current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52,859</w:t>
            </w:r>
          </w:p>
        </w:tc>
        <w:tc>
          <w:tcPr>
            <w:tcW w:w="0" w:type="dxa"/>
            <w:vAlign w:val="bottom"/>
          </w:tcPr>
          <w:p>
            <w:pPr>
              <w:spacing w:after="0"/>
              <w:rPr>
                <w:sz w:val="1"/>
                <w:szCs w:val="1"/>
                <w:color w:val="auto"/>
              </w:rPr>
            </w:pP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 non-current</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12,783</w:t>
            </w:r>
          </w:p>
        </w:tc>
        <w:tc>
          <w:tcPr>
            <w:tcW w:w="0" w:type="dxa"/>
            <w:vAlign w:val="bottom"/>
          </w:tcPr>
          <w:p>
            <w:pPr>
              <w:spacing w:after="0"/>
              <w:rPr>
                <w:sz w:val="1"/>
                <w:szCs w:val="1"/>
                <w:color w:val="auto"/>
              </w:rPr>
            </w:pPr>
          </w:p>
        </w:tc>
      </w:tr>
      <w:tr>
        <w:trPr>
          <w:trHeight w:val="235"/>
        </w:trPr>
        <w:tc>
          <w:tcPr>
            <w:tcW w:w="6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740,126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755,979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48,862</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Accrued and other liabilities</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68,783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78,102</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11,295</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37,696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34,325</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Term loan, current</w:t>
            </w: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78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208,840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172,584</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56,647</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6,594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7,810</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non-current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197,796</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Term loan</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159,194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211,894</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7,290</w:t>
            </w:r>
          </w:p>
        </w:tc>
        <w:tc>
          <w:tcPr>
            <w:tcW w:w="0" w:type="dxa"/>
            <w:vAlign w:val="bottom"/>
          </w:tcPr>
          <w:p>
            <w:pPr>
              <w:spacing w:after="0"/>
              <w:rPr>
                <w:sz w:val="1"/>
                <w:szCs w:val="1"/>
                <w:color w:val="auto"/>
              </w:rPr>
            </w:pPr>
          </w:p>
        </w:tc>
      </w:tr>
      <w:tr>
        <w:trPr>
          <w:trHeight w:val="210"/>
        </w:trPr>
        <w:tc>
          <w:tcPr>
            <w:tcW w:w="6780" w:type="dxa"/>
            <w:vAlign w:val="bottom"/>
            <w:tcBorders>
              <w:bottom w:val="single" w:sz="8" w:color="CCEEFF"/>
            </w:tcBorders>
          </w:tcPr>
          <w:p>
            <w:pPr>
              <w:ind w:left="68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630,314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654,021</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Commitments and contingencies (Note </w:t>
            </w:r>
            <w:r>
              <w:rPr>
                <w:rFonts w:ascii="Arial" w:cs="Arial" w:eastAsia="Arial" w:hAnsi="Arial"/>
                <w:sz w:val="16"/>
                <w:szCs w:val="16"/>
                <w:color w:val="0000FF"/>
              </w:rPr>
              <w:t>7</w:t>
            </w: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78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Preferred stock: $0.001 par value, 5,000,000 shares authorized, none issued and</w:t>
            </w:r>
          </w:p>
        </w:tc>
        <w:tc>
          <w:tcPr>
            <w:tcW w:w="26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outstanding as of September 30, 2024 and March 31, 2024</w:t>
            </w:r>
          </w:p>
        </w:tc>
        <w:tc>
          <w:tcPr>
            <w:tcW w:w="26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40"/>
              <w:spacing w:after="0" w:line="162" w:lineRule="exact"/>
              <w:rPr>
                <w:sz w:val="20"/>
                <w:szCs w:val="20"/>
                <w:color w:val="auto"/>
              </w:rPr>
            </w:pPr>
            <w:r>
              <w:rPr>
                <w:rFonts w:ascii="Arial" w:cs="Arial" w:eastAsia="Arial" w:hAnsi="Arial"/>
                <w:sz w:val="16"/>
                <w:szCs w:val="16"/>
                <w:color w:val="auto"/>
              </w:rPr>
              <w:t>Common stock: $0.001 par value, 300,000,000 shares authorized, 130,516,596 shares</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40"/>
              <w:spacing w:after="0" w:line="162" w:lineRule="exact"/>
              <w:rPr>
                <w:sz w:val="20"/>
                <w:szCs w:val="20"/>
                <w:color w:val="auto"/>
              </w:rPr>
            </w:pPr>
            <w:r>
              <w:rPr>
                <w:rFonts w:ascii="Arial" w:cs="Arial" w:eastAsia="Arial" w:hAnsi="Arial"/>
                <w:sz w:val="16"/>
                <w:szCs w:val="16"/>
                <w:color w:val="auto"/>
              </w:rPr>
              <w:t>and 125,193,573 shares issued and outstanding as of September 30, 2024 and March 31,</w:t>
            </w:r>
          </w:p>
        </w:tc>
        <w:tc>
          <w:tcPr>
            <w:tcW w:w="26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2024, respectively</w:t>
            </w:r>
          </w:p>
        </w:tc>
        <w:tc>
          <w:tcPr>
            <w:tcW w:w="26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998,572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973,895</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(3,549)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(11,553)</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(885,342)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(860,509)</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101,958</w:t>
            </w:r>
          </w:p>
        </w:tc>
        <w:tc>
          <w:tcPr>
            <w:tcW w:w="0" w:type="dxa"/>
            <w:vAlign w:val="bottom"/>
          </w:tcPr>
          <w:p>
            <w:pPr>
              <w:spacing w:after="0"/>
              <w:rPr>
                <w:sz w:val="1"/>
                <w:szCs w:val="1"/>
                <w:color w:val="auto"/>
              </w:rPr>
            </w:pPr>
          </w:p>
        </w:tc>
      </w:tr>
      <w:tr>
        <w:trPr>
          <w:trHeight w:val="235"/>
        </w:trPr>
        <w:tc>
          <w:tcPr>
            <w:tcW w:w="6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740,126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755,979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288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rPr>
              <w:t>Six Months Ended September 30,</w:t>
            </w:r>
          </w:p>
        </w:tc>
      </w:tr>
      <w:tr>
        <w:trPr>
          <w:trHeight w:val="196"/>
        </w:trPr>
        <w:tc>
          <w:tcPr>
            <w:tcW w:w="48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r>
      <w:tr>
        <w:trPr>
          <w:trHeight w:val="211"/>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353,020</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15,266</w:t>
            </w:r>
          </w:p>
        </w:tc>
      </w:tr>
      <w:tr>
        <w:trPr>
          <w:trHeight w:val="210"/>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180,998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184,999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359,145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368,286</w:t>
            </w:r>
          </w:p>
        </w:tc>
      </w:tr>
      <w:tr>
        <w:trPr>
          <w:trHeight w:val="209"/>
        </w:trPr>
        <w:tc>
          <w:tcPr>
            <w:tcW w:w="4840" w:type="dxa"/>
            <w:vAlign w:val="bottom"/>
          </w:tcPr>
          <w:p>
            <w:pPr>
              <w:ind w:left="20"/>
              <w:spacing w:after="0"/>
              <w:rPr>
                <w:sz w:val="20"/>
                <w:szCs w:val="20"/>
                <w:color w:val="auto"/>
              </w:rPr>
            </w:pPr>
            <w:r>
              <w:rPr>
                <w:rFonts w:ascii="Arial" w:cs="Arial" w:eastAsia="Arial" w:hAnsi="Arial"/>
                <w:sz w:val="16"/>
                <w:szCs w:val="16"/>
                <w:color w:val="auto"/>
              </w:rPr>
              <w:t>Cost of service revenue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50,251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49,144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99,747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95,420</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other revenue</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16,356</w:t>
            </w:r>
          </w:p>
        </w:tc>
      </w:tr>
      <w:tr>
        <w:trPr>
          <w:trHeight w:val="209"/>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cost of revenue</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111,776</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244,135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256,510</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69,499</w:t>
            </w: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64,867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68,687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131,973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137,191</w:t>
            </w: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19,848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27,586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42,939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53,812</w:t>
            </w:r>
          </w:p>
        </w:tc>
      </w:tr>
      <w:tr>
        <w:trPr>
          <w:trHeight w:val="209"/>
        </w:trPr>
        <w:tc>
          <w:tcPr>
            <w:tcW w:w="48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238,340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260,502</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w:t>
            </w: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(17,861)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(20,139)</w:t>
            </w:r>
          </w:p>
        </w:tc>
      </w:tr>
      <w:tr>
        <w:trPr>
          <w:trHeight w:val="21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2,407</w:t>
            </w:r>
          </w:p>
        </w:tc>
      </w:tr>
      <w:tr>
        <w:trPr>
          <w:trHeight w:val="209"/>
        </w:trPr>
        <w:tc>
          <w:tcPr>
            <w:tcW w:w="4840" w:type="dxa"/>
            <w:vAlign w:val="bottom"/>
          </w:tcPr>
          <w:p>
            <w:pPr>
              <w:ind w:left="20"/>
              <w:spacing w:after="0"/>
              <w:rPr>
                <w:sz w:val="20"/>
                <w:szCs w:val="20"/>
                <w:color w:val="auto"/>
              </w:rPr>
            </w:pPr>
            <w:r>
              <w:rPr>
                <w:rFonts w:ascii="Arial" w:cs="Arial" w:eastAsia="Arial" w:hAnsi="Arial"/>
                <w:sz w:val="16"/>
                <w:szCs w:val="16"/>
                <w:color w:val="auto"/>
              </w:rPr>
              <w:t>Loss before provision (benefit) for income taxes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(13,445)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(23,059)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(21,724)</w:t>
            </w:r>
          </w:p>
        </w:tc>
      </w:tr>
      <w:tr>
        <w:trPr>
          <w:trHeight w:val="216"/>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(benefit)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r>
      <w:tr>
        <w:trPr>
          <w:trHeight w:val="210"/>
        </w:trPr>
        <w:tc>
          <w:tcPr>
            <w:tcW w:w="4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(22,779)</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 per share:</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Basic and 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(0.19)</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Basic and diluted</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129,250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120,757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127,633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118,778</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loss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(14,543)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(7,452)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(24,833)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(22,779)</w:t>
            </w: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gain (loss) on investments in securities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(2,879)</w:t>
            </w: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00" w:type="dxa"/>
            <w:vAlign w:val="bottom"/>
          </w:tcPr>
          <w:p>
            <w:pPr>
              <w:spacing w:after="0"/>
              <w:rPr>
                <w:sz w:val="14"/>
                <w:szCs w:val="14"/>
                <w:color w:val="auto"/>
              </w:rPr>
            </w:pPr>
          </w:p>
        </w:tc>
        <w:tc>
          <w:tcPr>
            <w:tcW w:w="2260" w:type="dxa"/>
            <w:vAlign w:val="bottom"/>
            <w:gridSpan w:val="5"/>
          </w:tcPr>
          <w:p>
            <w:pPr>
              <w:ind w:left="620"/>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tcPr>
          <w:p>
            <w:pPr>
              <w:jc w:val="center"/>
              <w:ind w:right="30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24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Comprehensive</w:t>
            </w:r>
          </w:p>
        </w:tc>
        <w:tc>
          <w:tcPr>
            <w:tcW w:w="1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280" w:type="dxa"/>
            <w:vAlign w:val="bottom"/>
          </w:tcPr>
          <w:p>
            <w:pPr>
              <w:spacing w:after="0"/>
              <w:rPr>
                <w:sz w:val="15"/>
                <w:szCs w:val="15"/>
                <w:color w:val="auto"/>
              </w:rPr>
            </w:pPr>
          </w:p>
        </w:tc>
        <w:tc>
          <w:tcPr>
            <w:tcW w:w="900" w:type="dxa"/>
            <w:vAlign w:val="bottom"/>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8"/>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2024</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125,194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973,895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(11,553)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(860,509)</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101,958</w:t>
            </w:r>
          </w:p>
        </w:tc>
        <w:tc>
          <w:tcPr>
            <w:tcW w:w="0" w:type="dxa"/>
            <w:vAlign w:val="bottom"/>
          </w:tcPr>
          <w:p>
            <w:pPr>
              <w:spacing w:after="0"/>
              <w:rPr>
                <w:sz w:val="1"/>
                <w:szCs w:val="1"/>
                <w:color w:val="auto"/>
              </w:rPr>
            </w:pPr>
          </w:p>
        </w:tc>
      </w:tr>
      <w:tr>
        <w:trPr>
          <w:trHeight w:val="153"/>
        </w:trPr>
        <w:tc>
          <w:tcPr>
            <w:tcW w:w="3900" w:type="dxa"/>
            <w:vAlign w:val="bottom"/>
          </w:tcPr>
          <w:p>
            <w:pPr>
              <w:ind w:left="240"/>
              <w:spacing w:after="0" w:line="153" w:lineRule="exact"/>
              <w:rPr>
                <w:sz w:val="20"/>
                <w:szCs w:val="20"/>
                <w:color w:val="auto"/>
              </w:rPr>
            </w:pPr>
            <w:r>
              <w:rPr>
                <w:rFonts w:ascii="Arial" w:cs="Arial" w:eastAsia="Arial" w:hAnsi="Arial"/>
                <w:sz w:val="14"/>
                <w:szCs w:val="14"/>
                <w:color w:val="auto"/>
              </w:rPr>
              <w:t>Issuance of common stock under stock plans, less</w:t>
            </w: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2,769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2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900" w:type="dxa"/>
            <w:vAlign w:val="bottom"/>
          </w:tcPr>
          <w:p>
            <w:pPr>
              <w:ind w:left="240"/>
              <w:spacing w:after="0"/>
              <w:rPr>
                <w:sz w:val="20"/>
                <w:szCs w:val="20"/>
                <w:color w:val="auto"/>
              </w:rPr>
            </w:pPr>
            <w:r>
              <w:rPr>
                <w:rFonts w:ascii="Arial" w:cs="Arial" w:eastAsia="Arial" w:hAnsi="Arial"/>
                <w:sz w:val="14"/>
                <w:szCs w:val="14"/>
                <w:color w:val="auto"/>
              </w:rPr>
              <w:t>withholding</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13,279</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Unrealized investment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(10,290)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(10,290)</w:t>
            </w:r>
          </w:p>
        </w:tc>
        <w:tc>
          <w:tcPr>
            <w:tcW w:w="0" w:type="dxa"/>
            <w:vAlign w:val="bottom"/>
          </w:tcPr>
          <w:p>
            <w:pPr>
              <w:spacing w:after="0"/>
              <w:rPr>
                <w:sz w:val="1"/>
                <w:szCs w:val="1"/>
                <w:color w:val="auto"/>
              </w:rPr>
            </w:pPr>
          </w:p>
        </w:tc>
      </w:tr>
      <w:tr>
        <w:trPr>
          <w:trHeight w:val="225"/>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10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127,963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987,171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(870,799)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104,588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40"/>
              <w:spacing w:after="0" w:line="140" w:lineRule="exact"/>
              <w:rPr>
                <w:sz w:val="20"/>
                <w:szCs w:val="20"/>
                <w:color w:val="auto"/>
              </w:rPr>
            </w:pPr>
            <w:r>
              <w:rPr>
                <w:rFonts w:ascii="Arial" w:cs="Arial" w:eastAsia="Arial" w:hAnsi="Arial"/>
                <w:sz w:val="14"/>
                <w:szCs w:val="14"/>
                <w:color w:val="auto"/>
              </w:rPr>
              <w:t>Issuance of common stock under stock plans, less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900" w:type="dxa"/>
            <w:vAlign w:val="bottom"/>
            <w:vMerge w:val="continue"/>
          </w:tcPr>
          <w:p>
            <w:pPr>
              <w:spacing w:after="0"/>
              <w:rPr>
                <w:sz w:val="8"/>
                <w:szCs w:val="8"/>
                <w:color w:val="auto"/>
              </w:rPr>
            </w:pP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1,479</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8"/>
                <w:szCs w:val="8"/>
                <w:color w:val="auto"/>
              </w:rPr>
            </w:pPr>
          </w:p>
        </w:tc>
        <w:tc>
          <w:tcPr>
            <w:tcW w:w="112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900" w:type="dxa"/>
            <w:vAlign w:val="bottom"/>
          </w:tcPr>
          <w:p>
            <w:pPr>
              <w:ind w:left="240"/>
              <w:spacing w:after="0"/>
              <w:rPr>
                <w:sz w:val="20"/>
                <w:szCs w:val="20"/>
                <w:color w:val="auto"/>
              </w:rPr>
            </w:pPr>
            <w:r>
              <w:rPr>
                <w:rFonts w:ascii="Arial" w:cs="Arial" w:eastAsia="Arial" w:hAnsi="Arial"/>
                <w:sz w:val="14"/>
                <w:szCs w:val="14"/>
                <w:color w:val="auto"/>
              </w:rPr>
              <w:t>withholding</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ESPP share issuance</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9,721</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8,363</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(14,543)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(14,543)</w:t>
            </w:r>
          </w:p>
        </w:tc>
        <w:tc>
          <w:tcPr>
            <w:tcW w:w="0" w:type="dxa"/>
            <w:vAlign w:val="bottom"/>
          </w:tcPr>
          <w:p>
            <w:pPr>
              <w:spacing w:after="0"/>
              <w:rPr>
                <w:sz w:val="1"/>
                <w:szCs w:val="1"/>
                <w:color w:val="auto"/>
              </w:rPr>
            </w:pPr>
          </w:p>
        </w:tc>
      </w:tr>
      <w:tr>
        <w:trPr>
          <w:trHeight w:val="225"/>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2024</w:t>
            </w:r>
          </w:p>
        </w:tc>
        <w:tc>
          <w:tcPr>
            <w:tcW w:w="10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130,517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998,572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(885,342)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109,812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2160" w:type="dxa"/>
            <w:vAlign w:val="bottom"/>
            <w:gridSpan w:val="4"/>
            <w:vMerge w:val="restart"/>
          </w:tcPr>
          <w:p>
            <w:pPr>
              <w:ind w:left="6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900" w:type="dxa"/>
            <w:vAlign w:val="bottom"/>
          </w:tcPr>
          <w:p>
            <w:pPr>
              <w:spacing w:after="0"/>
              <w:rPr>
                <w:sz w:val="8"/>
                <w:szCs w:val="8"/>
                <w:color w:val="auto"/>
              </w:rPr>
            </w:pPr>
          </w:p>
        </w:tc>
        <w:tc>
          <w:tcPr>
            <w:tcW w:w="21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tcPr>
          <w:p>
            <w:pPr>
              <w:jc w:val="center"/>
              <w:ind w:right="300"/>
              <w:spacing w:after="0" w:line="102"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8"/>
                <w:szCs w:val="8"/>
                <w:color w:val="auto"/>
              </w:rPr>
            </w:pPr>
          </w:p>
        </w:tc>
        <w:tc>
          <w:tcPr>
            <w:tcW w:w="1240" w:type="dxa"/>
            <w:vAlign w:val="bottom"/>
            <w:gridSpan w:val="2"/>
          </w:tcPr>
          <w:p>
            <w:pPr>
              <w:jc w:val="center"/>
              <w:ind w:right="220"/>
              <w:spacing w:after="0" w:line="102"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8"/>
                <w:szCs w:val="8"/>
                <w:color w:val="auto"/>
              </w:rPr>
            </w:pPr>
          </w:p>
        </w:tc>
        <w:tc>
          <w:tcPr>
            <w:tcW w:w="1120" w:type="dxa"/>
            <w:vAlign w:val="bottom"/>
            <w:gridSpan w:val="2"/>
          </w:tcPr>
          <w:p>
            <w:pPr>
              <w:jc w:val="center"/>
              <w:ind w:right="240"/>
              <w:spacing w:after="0" w:line="102" w:lineRule="exact"/>
              <w:rPr>
                <w:sz w:val="20"/>
                <w:szCs w:val="20"/>
                <w:color w:val="auto"/>
              </w:rPr>
            </w:pPr>
            <w:r>
              <w:rPr>
                <w:rFonts w:ascii="Arial" w:cs="Arial" w:eastAsia="Arial" w:hAnsi="Arial"/>
                <w:sz w:val="10"/>
                <w:szCs w:val="10"/>
                <w:b w:val="1"/>
                <w:bCs w:val="1"/>
                <w:color w:val="auto"/>
              </w:rPr>
              <w:t>Accumulated</w:t>
            </w: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280" w:type="dxa"/>
            <w:vAlign w:val="bottom"/>
          </w:tcPr>
          <w:p>
            <w:pPr>
              <w:spacing w:after="0"/>
              <w:rPr>
                <w:sz w:val="16"/>
                <w:szCs w:val="16"/>
                <w:color w:val="auto"/>
              </w:rPr>
            </w:pPr>
          </w:p>
        </w:tc>
        <w:tc>
          <w:tcPr>
            <w:tcW w:w="900" w:type="dxa"/>
            <w:vAlign w:val="bottom"/>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114,659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905,635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(792,917)</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99,906</w:t>
            </w:r>
          </w:p>
        </w:tc>
        <w:tc>
          <w:tcPr>
            <w:tcW w:w="0" w:type="dxa"/>
            <w:vAlign w:val="bottom"/>
          </w:tcPr>
          <w:p>
            <w:pPr>
              <w:spacing w:after="0"/>
              <w:rPr>
                <w:sz w:val="1"/>
                <w:szCs w:val="1"/>
                <w:color w:val="auto"/>
              </w:rPr>
            </w:pPr>
          </w:p>
        </w:tc>
      </w:tr>
      <w:tr>
        <w:trPr>
          <w:trHeight w:val="148"/>
        </w:trPr>
        <w:tc>
          <w:tcPr>
            <w:tcW w:w="3900" w:type="dxa"/>
            <w:vAlign w:val="bottom"/>
          </w:tcPr>
          <w:p>
            <w:pPr>
              <w:ind w:left="240"/>
              <w:spacing w:after="0" w:line="149" w:lineRule="exact"/>
              <w:rPr>
                <w:sz w:val="20"/>
                <w:szCs w:val="20"/>
                <w:color w:val="auto"/>
              </w:rPr>
            </w:pPr>
            <w:r>
              <w:rPr>
                <w:rFonts w:ascii="Arial" w:cs="Arial" w:eastAsia="Arial" w:hAnsi="Arial"/>
                <w:sz w:val="14"/>
                <w:szCs w:val="14"/>
                <w:color w:val="auto"/>
              </w:rPr>
              <w:t>Issuance of common stock under stock plans, less</w:t>
            </w: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3,535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00" w:type="dxa"/>
            <w:vAlign w:val="bottom"/>
          </w:tcPr>
          <w:p>
            <w:pPr>
              <w:ind w:left="240"/>
              <w:spacing w:after="0"/>
              <w:rPr>
                <w:sz w:val="20"/>
                <w:szCs w:val="20"/>
                <w:color w:val="auto"/>
              </w:rPr>
            </w:pPr>
            <w:r>
              <w:rPr>
                <w:rFonts w:ascii="Arial" w:cs="Arial" w:eastAsia="Arial" w:hAnsi="Arial"/>
                <w:sz w:val="14"/>
                <w:szCs w:val="14"/>
                <w:color w:val="auto"/>
              </w:rPr>
              <w:t>withholding</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18,559</w:t>
            </w:r>
          </w:p>
        </w:tc>
        <w:tc>
          <w:tcPr>
            <w:tcW w:w="0" w:type="dxa"/>
            <w:vAlign w:val="bottom"/>
          </w:tcPr>
          <w:p>
            <w:pPr>
              <w:spacing w:after="0"/>
              <w:rPr>
                <w:sz w:val="1"/>
                <w:szCs w:val="1"/>
                <w:color w:val="auto"/>
              </w:rPr>
            </w:pPr>
          </w:p>
        </w:tc>
      </w:tr>
      <w:tr>
        <w:trPr>
          <w:trHeight w:val="148"/>
        </w:trPr>
        <w:tc>
          <w:tcPr>
            <w:tcW w:w="3900" w:type="dxa"/>
            <w:vAlign w:val="bottom"/>
          </w:tcPr>
          <w:p>
            <w:pPr>
              <w:ind w:left="240"/>
              <w:spacing w:after="0" w:line="149" w:lineRule="exact"/>
              <w:rPr>
                <w:sz w:val="20"/>
                <w:szCs w:val="20"/>
                <w:color w:val="auto"/>
              </w:rPr>
            </w:pPr>
            <w:r>
              <w:rPr>
                <w:rFonts w:ascii="Arial" w:cs="Arial" w:eastAsia="Arial" w:hAnsi="Arial"/>
                <w:sz w:val="14"/>
                <w:szCs w:val="14"/>
                <w:color w:val="auto"/>
              </w:rPr>
              <w:t>Issuance of common stock under stock plans, less</w:t>
            </w: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1,038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00" w:type="dxa"/>
            <w:vAlign w:val="bottom"/>
          </w:tcPr>
          <w:p>
            <w:pPr>
              <w:ind w:left="240"/>
              <w:spacing w:after="0"/>
              <w:rPr>
                <w:sz w:val="20"/>
                <w:szCs w:val="20"/>
                <w:color w:val="auto"/>
              </w:rPr>
            </w:pPr>
            <w:r>
              <w:rPr>
                <w:rFonts w:ascii="Arial" w:cs="Arial" w:eastAsia="Arial" w:hAnsi="Arial"/>
                <w:sz w:val="14"/>
                <w:szCs w:val="14"/>
                <w:color w:val="auto"/>
              </w:rPr>
              <w:t>withholding, related to Fuze Acquisition</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investment gain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(15,327)</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119,232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924,190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(11,196)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(808,244)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104,869</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900" w:type="dxa"/>
            <w:vAlign w:val="bottom"/>
            <w:shd w:val="clear" w:color="auto" w:fill="CCEEFF"/>
          </w:tcPr>
          <w:p>
            <w:pPr>
              <w:ind w:left="240"/>
              <w:spacing w:after="0" w:line="116" w:lineRule="exact"/>
              <w:rPr>
                <w:sz w:val="20"/>
                <w:szCs w:val="20"/>
                <w:color w:val="auto"/>
              </w:rPr>
            </w:pPr>
            <w:r>
              <w:rPr>
                <w:rFonts w:ascii="Arial" w:cs="Arial" w:eastAsia="Arial" w:hAnsi="Arial"/>
                <w:sz w:val="13"/>
                <w:szCs w:val="13"/>
                <w:color w:val="auto"/>
              </w:rPr>
              <w:t>Issuance of common stock under stock plans, less</w:t>
            </w: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1,784</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withholding</w:t>
            </w: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ESPP share issuance</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843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2,366</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14,940</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Unrealized investment gain</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(7,452)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(7,452)</w:t>
            </w:r>
          </w:p>
        </w:tc>
        <w:tc>
          <w:tcPr>
            <w:tcW w:w="0" w:type="dxa"/>
            <w:vAlign w:val="bottom"/>
          </w:tcPr>
          <w:p>
            <w:pPr>
              <w:spacing w:after="0"/>
              <w:rPr>
                <w:sz w:val="1"/>
                <w:szCs w:val="1"/>
                <w:color w:val="auto"/>
              </w:rPr>
            </w:pPr>
          </w:p>
        </w:tc>
      </w:tr>
      <w:tr>
        <w:trPr>
          <w:trHeight w:val="225"/>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10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121,859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941,493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(815,696)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110,410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auto"/>
            </w:tcBorders>
            <w:gridSpan w:val="4"/>
          </w:tcPr>
          <w:p>
            <w:pPr>
              <w:jc w:val="right"/>
              <w:ind w:right="222"/>
              <w:spacing w:after="0"/>
              <w:rPr>
                <w:sz w:val="20"/>
                <w:szCs w:val="20"/>
                <w:color w:val="auto"/>
              </w:rPr>
            </w:pPr>
            <w:r>
              <w:rPr>
                <w:rFonts w:ascii="Arial" w:cs="Arial" w:eastAsia="Arial" w:hAnsi="Arial"/>
                <w:sz w:val="14"/>
                <w:szCs w:val="14"/>
                <w:b w:val="1"/>
                <w:bCs w:val="1"/>
                <w:color w:val="auto"/>
              </w:rPr>
              <w:t>Six Months Ended September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0" w:type="dxa"/>
            <w:vAlign w:val="bottom"/>
            <w:gridSpan w:val="2"/>
          </w:tcPr>
          <w:p>
            <w:pPr>
              <w:ind w:left="240"/>
              <w:spacing w:after="0"/>
              <w:rPr>
                <w:sz w:val="20"/>
                <w:szCs w:val="20"/>
                <w:color w:val="auto"/>
              </w:rPr>
            </w:pPr>
            <w:r>
              <w:rPr>
                <w:rFonts w:ascii="Arial" w:cs="Arial" w:eastAsia="Arial" w:hAnsi="Arial"/>
                <w:sz w:val="16"/>
                <w:szCs w:val="16"/>
                <w:color w:val="auto"/>
              </w:rPr>
              <w:t>Net loss</w:t>
            </w:r>
          </w:p>
        </w:tc>
        <w:tc>
          <w:tcPr>
            <w:tcW w:w="1340" w:type="dxa"/>
            <w:vAlign w:val="bottom"/>
          </w:tcPr>
          <w:p>
            <w:pPr>
              <w:jc w:val="right"/>
              <w:ind w:right="1165"/>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(24,833)</w:t>
            </w:r>
          </w:p>
        </w:tc>
        <w:tc>
          <w:tcPr>
            <w:tcW w:w="100" w:type="dxa"/>
            <w:vAlign w:val="bottom"/>
          </w:tcPr>
          <w:p>
            <w:pPr>
              <w:spacing w:after="0"/>
              <w:rPr>
                <w:sz w:val="18"/>
                <w:szCs w:val="18"/>
                <w:color w:val="auto"/>
              </w:rPr>
            </w:pPr>
          </w:p>
        </w:tc>
        <w:tc>
          <w:tcPr>
            <w:tcW w:w="1380" w:type="dxa"/>
            <w:vAlign w:val="bottom"/>
          </w:tcPr>
          <w:p>
            <w:pPr>
              <w:jc w:val="right"/>
              <w:ind w:right="120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(22,779)</w:t>
            </w: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gridSpan w:val="2"/>
          </w:tcPr>
          <w:p>
            <w:pPr>
              <w:ind w:left="460"/>
              <w:spacing w:after="0"/>
              <w:rPr>
                <w:sz w:val="20"/>
                <w:szCs w:val="20"/>
                <w:color w:val="auto"/>
              </w:rPr>
            </w:pPr>
            <w:r>
              <w:rPr>
                <w:rFonts w:ascii="Arial" w:cs="Arial" w:eastAsia="Arial" w:hAnsi="Arial"/>
                <w:sz w:val="16"/>
                <w:szCs w:val="16"/>
                <w:color w:val="auto"/>
              </w:rPr>
              <w:t>Depreciation</w:t>
            </w:r>
          </w:p>
        </w:tc>
        <w:tc>
          <w:tcPr>
            <w:tcW w:w="1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3,756</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4,090</w:t>
            </w: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Amortization of intangible assets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10,198</w:t>
            </w:r>
          </w:p>
        </w:tc>
        <w:tc>
          <w:tcPr>
            <w:tcW w:w="0" w:type="dxa"/>
            <w:vAlign w:val="bottom"/>
          </w:tcPr>
          <w:p>
            <w:pPr>
              <w:spacing w:after="0"/>
              <w:rPr>
                <w:sz w:val="1"/>
                <w:szCs w:val="1"/>
                <w:color w:val="auto"/>
              </w:rPr>
            </w:pPr>
          </w:p>
        </w:tc>
      </w:tr>
      <w:tr>
        <w:trPr>
          <w:trHeight w:val="215"/>
        </w:trPr>
        <w:tc>
          <w:tcPr>
            <w:tcW w:w="6800" w:type="dxa"/>
            <w:vAlign w:val="bottom"/>
            <w:gridSpan w:val="2"/>
          </w:tcPr>
          <w:p>
            <w:pPr>
              <w:ind w:left="460"/>
              <w:spacing w:after="0"/>
              <w:rPr>
                <w:sz w:val="20"/>
                <w:szCs w:val="20"/>
                <w:color w:val="auto"/>
              </w:rPr>
            </w:pPr>
            <w:r>
              <w:rPr>
                <w:rFonts w:ascii="Arial" w:cs="Arial" w:eastAsia="Arial" w:hAnsi="Arial"/>
                <w:sz w:val="16"/>
                <w:szCs w:val="16"/>
                <w:color w:val="auto"/>
              </w:rPr>
              <w:t>Amortization of capitalized internal-use software costs</w:t>
            </w:r>
          </w:p>
        </w:tc>
        <w:tc>
          <w:tcPr>
            <w:tcW w:w="1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7,022</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10,061</w:t>
            </w: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Amortization of debt discount and issuance costs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0" w:type="dxa"/>
            <w:vAlign w:val="bottom"/>
          </w:tcPr>
          <w:p>
            <w:pPr>
              <w:spacing w:after="0"/>
              <w:rPr>
                <w:sz w:val="1"/>
                <w:szCs w:val="1"/>
                <w:color w:val="auto"/>
              </w:rPr>
            </w:pPr>
          </w:p>
        </w:tc>
      </w:tr>
      <w:tr>
        <w:trPr>
          <w:trHeight w:val="215"/>
        </w:trPr>
        <w:tc>
          <w:tcPr>
            <w:tcW w:w="6800" w:type="dxa"/>
            <w:vAlign w:val="bottom"/>
            <w:gridSpan w:val="2"/>
          </w:tcPr>
          <w:p>
            <w:pPr>
              <w:ind w:left="460"/>
              <w:spacing w:after="0"/>
              <w:rPr>
                <w:sz w:val="20"/>
                <w:szCs w:val="20"/>
                <w:color w:val="auto"/>
              </w:rPr>
            </w:pPr>
            <w:r>
              <w:rPr>
                <w:rFonts w:ascii="Arial" w:cs="Arial" w:eastAsia="Arial" w:hAnsi="Arial"/>
                <w:sz w:val="16"/>
                <w:szCs w:val="16"/>
                <w:color w:val="auto"/>
              </w:rPr>
              <w:t>Amortization of deferred sales commission costs</w:t>
            </w:r>
          </w:p>
        </w:tc>
        <w:tc>
          <w:tcPr>
            <w:tcW w:w="1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19,697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20,099</w:t>
            </w: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Allowance for credit losses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15"/>
        </w:trPr>
        <w:tc>
          <w:tcPr>
            <w:tcW w:w="6800" w:type="dxa"/>
            <w:vAlign w:val="bottom"/>
            <w:gridSpan w:val="2"/>
          </w:tcPr>
          <w:p>
            <w:pPr>
              <w:ind w:left="460"/>
              <w:spacing w:after="0"/>
              <w:rPr>
                <w:sz w:val="20"/>
                <w:szCs w:val="20"/>
                <w:color w:val="auto"/>
              </w:rPr>
            </w:pPr>
            <w:r>
              <w:rPr>
                <w:rFonts w:ascii="Arial" w:cs="Arial" w:eastAsia="Arial" w:hAnsi="Arial"/>
                <w:sz w:val="16"/>
                <w:szCs w:val="16"/>
                <w:color w:val="auto"/>
              </w:rPr>
              <w:t>Operating lease expense, net of accretion</w:t>
            </w:r>
          </w:p>
        </w:tc>
        <w:tc>
          <w:tcPr>
            <w:tcW w:w="1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6,038</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5,109</w:t>
            </w: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32,717</w:t>
            </w:r>
          </w:p>
        </w:tc>
        <w:tc>
          <w:tcPr>
            <w:tcW w:w="0" w:type="dxa"/>
            <w:vAlign w:val="bottom"/>
          </w:tcPr>
          <w:p>
            <w:pPr>
              <w:spacing w:after="0"/>
              <w:rPr>
                <w:sz w:val="1"/>
                <w:szCs w:val="1"/>
                <w:color w:val="auto"/>
              </w:rPr>
            </w:pPr>
          </w:p>
        </w:tc>
      </w:tr>
      <w:tr>
        <w:trPr>
          <w:trHeight w:val="215"/>
        </w:trPr>
        <w:tc>
          <w:tcPr>
            <w:tcW w:w="6800" w:type="dxa"/>
            <w:vAlign w:val="bottom"/>
            <w:gridSpan w:val="2"/>
          </w:tcPr>
          <w:p>
            <w:pPr>
              <w:ind w:left="460"/>
              <w:spacing w:after="0"/>
              <w:rPr>
                <w:sz w:val="20"/>
                <w:szCs w:val="20"/>
                <w:color w:val="auto"/>
              </w:rPr>
            </w:pPr>
            <w:r>
              <w:rPr>
                <w:rFonts w:ascii="Arial" w:cs="Arial" w:eastAsia="Arial" w:hAnsi="Arial"/>
                <w:sz w:val="16"/>
                <w:szCs w:val="16"/>
                <w:color w:val="auto"/>
              </w:rPr>
              <w:t>Loss on debt extinguishment</w:t>
            </w:r>
          </w:p>
        </w:tc>
        <w:tc>
          <w:tcPr>
            <w:tcW w:w="1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11,996</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Gain on remeasurement of warrants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0" w:type="dxa"/>
            <w:vAlign w:val="bottom"/>
          </w:tcPr>
          <w:p>
            <w:pPr>
              <w:spacing w:after="0"/>
              <w:rPr>
                <w:sz w:val="1"/>
                <w:szCs w:val="1"/>
                <w:color w:val="auto"/>
              </w:rPr>
            </w:pPr>
          </w:p>
        </w:tc>
      </w:tr>
      <w:tr>
        <w:trPr>
          <w:trHeight w:val="215"/>
        </w:trPr>
        <w:tc>
          <w:tcPr>
            <w:tcW w:w="6800" w:type="dxa"/>
            <w:vAlign w:val="bottom"/>
            <w:gridSpan w:val="2"/>
          </w:tcPr>
          <w:p>
            <w:pPr>
              <w:ind w:left="460"/>
              <w:spacing w:after="0"/>
              <w:rPr>
                <w:sz w:val="20"/>
                <w:szCs w:val="20"/>
                <w:color w:val="auto"/>
              </w:rPr>
            </w:pPr>
            <w:r>
              <w:rPr>
                <w:rFonts w:ascii="Arial" w:cs="Arial" w:eastAsia="Arial" w:hAnsi="Arial"/>
                <w:sz w:val="16"/>
                <w:szCs w:val="16"/>
                <w:color w:val="auto"/>
              </w:rPr>
              <w:t>Other</w:t>
            </w:r>
          </w:p>
        </w:tc>
        <w:tc>
          <w:tcPr>
            <w:tcW w:w="1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(3,626)</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Changes in assets and liabilities: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gridSpan w:val="2"/>
          </w:tcPr>
          <w:p>
            <w:pPr>
              <w:ind w:left="680"/>
              <w:spacing w:after="0"/>
              <w:rPr>
                <w:sz w:val="20"/>
                <w:szCs w:val="20"/>
                <w:color w:val="auto"/>
              </w:rPr>
            </w:pPr>
            <w:r>
              <w:rPr>
                <w:rFonts w:ascii="Arial" w:cs="Arial" w:eastAsia="Arial" w:hAnsi="Arial"/>
                <w:sz w:val="16"/>
                <w:szCs w:val="16"/>
                <w:color w:val="auto"/>
              </w:rPr>
              <w:t>Accounts receivable, net</w:t>
            </w:r>
          </w:p>
        </w:tc>
        <w:tc>
          <w:tcPr>
            <w:tcW w:w="1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(5,314)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Deferred sales commission costs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(12,068)</w:t>
            </w:r>
          </w:p>
        </w:tc>
        <w:tc>
          <w:tcPr>
            <w:tcW w:w="0" w:type="dxa"/>
            <w:vAlign w:val="bottom"/>
          </w:tcPr>
          <w:p>
            <w:pPr>
              <w:spacing w:after="0"/>
              <w:rPr>
                <w:sz w:val="1"/>
                <w:szCs w:val="1"/>
                <w:color w:val="auto"/>
              </w:rPr>
            </w:pPr>
          </w:p>
        </w:tc>
      </w:tr>
      <w:tr>
        <w:trPr>
          <w:trHeight w:val="215"/>
        </w:trPr>
        <w:tc>
          <w:tcPr>
            <w:tcW w:w="6800" w:type="dxa"/>
            <w:vAlign w:val="bottom"/>
            <w:gridSpan w:val="2"/>
          </w:tcPr>
          <w:p>
            <w:pPr>
              <w:ind w:left="680"/>
              <w:spacing w:after="0"/>
              <w:rPr>
                <w:sz w:val="20"/>
                <w:szCs w:val="20"/>
                <w:color w:val="auto"/>
              </w:rPr>
            </w:pPr>
            <w:r>
              <w:rPr>
                <w:rFonts w:ascii="Arial" w:cs="Arial" w:eastAsia="Arial" w:hAnsi="Arial"/>
                <w:sz w:val="16"/>
                <w:szCs w:val="16"/>
                <w:color w:val="auto"/>
              </w:rPr>
              <w:t>Other current and non-current assets</w:t>
            </w:r>
          </w:p>
        </w:tc>
        <w:tc>
          <w:tcPr>
            <w:tcW w:w="1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(1,306)</w:t>
            </w: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Accounts payable and accruals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0" w:type="dxa"/>
            <w:vAlign w:val="bottom"/>
          </w:tcPr>
          <w:p>
            <w:pPr>
              <w:spacing w:after="0"/>
              <w:rPr>
                <w:sz w:val="1"/>
                <w:szCs w:val="1"/>
                <w:color w:val="auto"/>
              </w:rPr>
            </w:pPr>
          </w:p>
        </w:tc>
      </w:tr>
      <w:tr>
        <w:trPr>
          <w:trHeight w:val="215"/>
        </w:trPr>
        <w:tc>
          <w:tcPr>
            <w:tcW w:w="68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Deferred revenue</w:t>
            </w:r>
          </w:p>
        </w:tc>
        <w:tc>
          <w:tcPr>
            <w:tcW w:w="1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2,860</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Net cash provided by operating activities</w:t>
            </w:r>
          </w:p>
        </w:tc>
        <w:tc>
          <w:tcPr>
            <w:tcW w:w="1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30,465</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43,936</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gridSpan w:val="2"/>
          </w:tcPr>
          <w:p>
            <w:pPr>
              <w:ind w:left="240"/>
              <w:spacing w:after="0"/>
              <w:rPr>
                <w:sz w:val="20"/>
                <w:szCs w:val="20"/>
                <w:color w:val="auto"/>
              </w:rPr>
            </w:pPr>
            <w:r>
              <w:rPr>
                <w:rFonts w:ascii="Arial" w:cs="Arial" w:eastAsia="Arial" w:hAnsi="Arial"/>
                <w:sz w:val="16"/>
                <w:szCs w:val="16"/>
                <w:color w:val="auto"/>
              </w:rPr>
              <w:t>Purchases of property and equipment</w:t>
            </w:r>
          </w:p>
        </w:tc>
        <w:tc>
          <w:tcPr>
            <w:tcW w:w="1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Capitalized internal-use software costs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(7,442)</w:t>
            </w:r>
          </w:p>
        </w:tc>
        <w:tc>
          <w:tcPr>
            <w:tcW w:w="0" w:type="dxa"/>
            <w:vAlign w:val="bottom"/>
          </w:tcPr>
          <w:p>
            <w:pPr>
              <w:spacing w:after="0"/>
              <w:rPr>
                <w:sz w:val="1"/>
                <w:szCs w:val="1"/>
                <w:color w:val="auto"/>
              </w:rPr>
            </w:pPr>
          </w:p>
        </w:tc>
      </w:tr>
      <w:tr>
        <w:trPr>
          <w:trHeight w:val="215"/>
        </w:trPr>
        <w:tc>
          <w:tcPr>
            <w:tcW w:w="6800" w:type="dxa"/>
            <w:vAlign w:val="bottom"/>
            <w:gridSpan w:val="2"/>
          </w:tcPr>
          <w:p>
            <w:pPr>
              <w:ind w:left="240"/>
              <w:spacing w:after="0"/>
              <w:rPr>
                <w:sz w:val="20"/>
                <w:szCs w:val="20"/>
                <w:color w:val="auto"/>
              </w:rPr>
            </w:pPr>
            <w:r>
              <w:rPr>
                <w:rFonts w:ascii="Arial" w:cs="Arial" w:eastAsia="Arial" w:hAnsi="Arial"/>
                <w:sz w:val="16"/>
                <w:szCs w:val="16"/>
                <w:color w:val="auto"/>
              </w:rPr>
              <w:t>Purchase of investments</w:t>
            </w:r>
          </w:p>
        </w:tc>
        <w:tc>
          <w:tcPr>
            <w:tcW w:w="13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(6,174)</w:t>
            </w: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 of cost investment</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Maturities of investments</w:t>
            </w:r>
          </w:p>
        </w:tc>
        <w:tc>
          <w:tcPr>
            <w:tcW w:w="1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27,909</w:t>
            </w: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1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(7,204)</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12,735</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gridSpan w:val="2"/>
          </w:tcPr>
          <w:p>
            <w:pPr>
              <w:ind w:left="24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1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1,682</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2,365</w:t>
            </w: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Payments for debt issuance costs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00" w:type="dxa"/>
            <w:vAlign w:val="bottom"/>
            <w:gridSpan w:val="2"/>
          </w:tcPr>
          <w:p>
            <w:pPr>
              <w:ind w:left="240"/>
              <w:spacing w:after="0"/>
              <w:rPr>
                <w:sz w:val="20"/>
                <w:szCs w:val="20"/>
                <w:color w:val="auto"/>
              </w:rPr>
            </w:pPr>
            <w:r>
              <w:rPr>
                <w:rFonts w:ascii="Arial" w:cs="Arial" w:eastAsia="Arial" w:hAnsi="Arial"/>
                <w:sz w:val="16"/>
                <w:szCs w:val="16"/>
                <w:color w:val="auto"/>
              </w:rPr>
              <w:t>Repayment of principal on term loan</w:t>
            </w:r>
          </w:p>
        </w:tc>
        <w:tc>
          <w:tcPr>
            <w:tcW w:w="1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(225,000)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Gross proceeds from term loan</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financing activities</w:t>
            </w:r>
          </w:p>
        </w:tc>
        <w:tc>
          <w:tcPr>
            <w:tcW w:w="1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Net cash used in financing activities</w:t>
            </w:r>
          </w:p>
        </w:tc>
        <w:tc>
          <w:tcPr>
            <w:tcW w:w="1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(25,136)</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(22,635)</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1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3,019</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w:t>
            </w: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32,284</w:t>
            </w:r>
          </w:p>
        </w:tc>
        <w:tc>
          <w:tcPr>
            <w:tcW w:w="0" w:type="dxa"/>
            <w:vAlign w:val="bottom"/>
          </w:tcPr>
          <w:p>
            <w:pPr>
              <w:spacing w:after="0"/>
              <w:rPr>
                <w:sz w:val="1"/>
                <w:szCs w:val="1"/>
                <w:color w:val="auto"/>
              </w:rPr>
            </w:pPr>
          </w:p>
        </w:tc>
      </w:tr>
      <w:tr>
        <w:trPr>
          <w:trHeight w:val="215"/>
        </w:trPr>
        <w:tc>
          <w:tcPr>
            <w:tcW w:w="68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1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116,723</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112,729</w:t>
            </w:r>
          </w:p>
        </w:tc>
        <w:tc>
          <w:tcPr>
            <w:tcW w:w="0" w:type="dxa"/>
            <w:vAlign w:val="bottom"/>
          </w:tcPr>
          <w:p>
            <w:pPr>
              <w:spacing w:after="0"/>
              <w:rPr>
                <w:sz w:val="1"/>
                <w:szCs w:val="1"/>
                <w:color w:val="auto"/>
              </w:rPr>
            </w:pPr>
          </w:p>
        </w:tc>
      </w:tr>
      <w:tr>
        <w:trPr>
          <w:trHeight w:val="235"/>
        </w:trPr>
        <w:tc>
          <w:tcPr>
            <w:tcW w:w="6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1340" w:type="dxa"/>
            <w:vAlign w:val="bottom"/>
            <w:tcBorders>
              <w:bottom w:val="single" w:sz="8" w:color="auto"/>
            </w:tcBorders>
            <w:shd w:val="clear" w:color="auto" w:fill="CCEEFF"/>
          </w:tcPr>
          <w:p>
            <w:pPr>
              <w:jc w:val="right"/>
              <w:ind w:right="1165"/>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117,867</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20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145,013</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Supplemental and non-cash disclosures:</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80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7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222"/>
              <w:spacing w:after="0"/>
              <w:rPr>
                <w:sz w:val="20"/>
                <w:szCs w:val="20"/>
                <w:color w:val="auto"/>
              </w:rPr>
            </w:pPr>
            <w:r>
              <w:rPr>
                <w:rFonts w:ascii="Arial" w:cs="Arial" w:eastAsia="Arial" w:hAnsi="Arial"/>
                <w:sz w:val="14"/>
                <w:szCs w:val="14"/>
                <w:b w:val="1"/>
                <w:bCs w:val="1"/>
                <w:color w:val="auto"/>
              </w:rPr>
              <w:t>Six Months Ended September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17,799</w:t>
            </w:r>
          </w:p>
        </w:tc>
        <w:tc>
          <w:tcPr>
            <w:tcW w:w="0" w:type="dxa"/>
            <w:vAlign w:val="bottom"/>
          </w:tcPr>
          <w:p>
            <w:pPr>
              <w:spacing w:after="0"/>
              <w:rPr>
                <w:sz w:val="1"/>
                <w:szCs w:val="1"/>
                <w:color w:val="auto"/>
              </w:rPr>
            </w:pPr>
          </w:p>
        </w:tc>
      </w:tr>
      <w:tr>
        <w:trPr>
          <w:trHeight w:val="215"/>
        </w:trPr>
        <w:tc>
          <w:tcPr>
            <w:tcW w:w="6800" w:type="dxa"/>
            <w:vAlign w:val="bottom"/>
            <w:gridSpan w:val="2"/>
          </w:tcPr>
          <w:p>
            <w:pPr>
              <w:ind w:left="20"/>
              <w:spacing w:after="0"/>
              <w:rPr>
                <w:sz w:val="20"/>
                <w:szCs w:val="20"/>
                <w:color w:val="auto"/>
              </w:rPr>
            </w:pPr>
            <w:r>
              <w:rPr>
                <w:rFonts w:ascii="Arial" w:cs="Arial" w:eastAsia="Arial" w:hAnsi="Arial"/>
                <w:sz w:val="16"/>
                <w:szCs w:val="16"/>
                <w:color w:val="auto"/>
              </w:rPr>
              <w:t>Income taxes paid</w:t>
            </w:r>
          </w:p>
        </w:tc>
        <w:tc>
          <w:tcPr>
            <w:tcW w:w="1340" w:type="dxa"/>
            <w:vAlign w:val="bottom"/>
          </w:tcPr>
          <w:p>
            <w:pPr>
              <w:jc w:val="right"/>
              <w:ind w:right="11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2,386</w:t>
            </w:r>
          </w:p>
        </w:tc>
        <w:tc>
          <w:tcPr>
            <w:tcW w:w="100" w:type="dxa"/>
            <w:vAlign w:val="bottom"/>
          </w:tcPr>
          <w:p>
            <w:pPr>
              <w:spacing w:after="0"/>
              <w:rPr>
                <w:sz w:val="18"/>
                <w:szCs w:val="18"/>
                <w:color w:val="auto"/>
              </w:rPr>
            </w:pPr>
          </w:p>
        </w:tc>
        <w:tc>
          <w:tcPr>
            <w:tcW w:w="1380" w:type="dxa"/>
            <w:vAlign w:val="bottom"/>
          </w:tcPr>
          <w:p>
            <w:pPr>
              <w:jc w:val="right"/>
              <w:ind w:right="120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3,118</w:t>
            </w:r>
          </w:p>
        </w:tc>
        <w:tc>
          <w:tcPr>
            <w:tcW w:w="0" w:type="dxa"/>
            <w:vAlign w:val="bottom"/>
          </w:tcPr>
          <w:p>
            <w:pPr>
              <w:spacing w:after="0"/>
              <w:rPr>
                <w:sz w:val="1"/>
                <w:szCs w:val="1"/>
                <w:color w:val="auto"/>
              </w:rPr>
            </w:pPr>
          </w:p>
        </w:tc>
      </w:tr>
      <w:tr>
        <w:trPr>
          <w:trHeight w:val="217"/>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Payables and accruals for property and equipment</w:t>
            </w:r>
          </w:p>
        </w:tc>
        <w:tc>
          <w:tcPr>
            <w:tcW w:w="1340" w:type="dxa"/>
            <w:vAlign w:val="bottom"/>
            <w:shd w:val="clear" w:color="auto" w:fill="CCEEFF"/>
          </w:tcPr>
          <w:p>
            <w:pPr>
              <w:jc w:val="right"/>
              <w:ind w:right="1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320" w:lineRule="exact"/>
        <w:rPr>
          <w:sz w:val="20"/>
          <w:szCs w:val="20"/>
          <w:color w:val="auto"/>
        </w:rPr>
      </w:pPr>
    </w:p>
    <w:p>
      <w:pPr>
        <w:ind w:right="6440" w:firstLine="8"/>
        <w:spacing w:after="0" w:line="440"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 AND SIGNIFICANT ACCOUNTING POLICIES THE COMPANY</w:t>
      </w:r>
    </w:p>
    <w:p>
      <w:pPr>
        <w:jc w:val="both"/>
        <w:ind w:right="20"/>
        <w:spacing w:after="0" w:line="286" w:lineRule="auto"/>
        <w:rPr>
          <w:sz w:val="20"/>
          <w:szCs w:val="20"/>
          <w:color w:val="auto"/>
        </w:rPr>
      </w:pPr>
      <w:r>
        <w:rPr>
          <w:rFonts w:ascii="Arial" w:cs="Arial" w:eastAsia="Arial" w:hAnsi="Arial"/>
          <w:sz w:val="16"/>
          <w:szCs w:val="16"/>
          <w:color w:val="auto"/>
        </w:rPr>
        <w:t>8x8, Inc. ("8x8" or the "Company") was incorporated in California in February 1987 and was reincorporated in Delaware in December 1996. The Company trades under the symbol "EGHT" on the Nasdaq Global Select Market.</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accompanying condensed consolidated financial statements are unaudited and have been prepared in accordance with U.S. generally accepted accounting principles ("U.S. GAAP") and regulations of the Securities and Exchange Commission ("SEC") regarding interim financial reporting. Accordingly, certain information and disclosures normally included in the Company's annual consolidated financial statements prepared in accordance with U.S. GAAP have been condensed or omitted. These condensed consolidated financial statements should be read in conjunction with the Company's audited consolidated financial statements as of and for the fiscal year ended March 31, 2024 and notes thereto included in the Form 10-K. There were no material changes during the three and six months ended September 30, 2024 to the Company's significant accounting policies as described in the Form 10-K.</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unaudited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2025.</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REPORTING PRESENTATION</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Historically, cost of revenue and cost of other revenue have been presented within operating expenses. During the fourth quarter of fiscal year 2024, the Company made voluntary changes in accounting presentation and reclassified prior period amounts to conform to current year presentation to separately state cost of revenue, cost of other revenue and recognize gross profit on the Company's condensed consolidated statement of operations.</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Historically, interest expense has been presented within other income (expense), net. During the second quarter of fiscal year 2025, the Company made voluntary changes in accounting presentation and reclassified prior period amounts to conform to current year presentation to separately state interest expense on the Company's condensed consolidated statement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current expected credit losses, returns reserve for expected cancellations, fair value of and/or potential impairment of goodwill and value and useful life of long-lived assets (including intangible assets, right-of-use assets and cost investments), capitalized internal-use software costs, benefit period for deferred commissions, stock-based compensation, incremental borrowing rate used to calculate operating lease liabilities, income and sales tax liabilities, convertible senior notes and warrant fair value,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 NOT YET ADOPTED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November 2023, the Financial Accounting Standards Board ("FASB") issued Accounting Standards Update ("ASU") No. 2023-07, Segment Reporting (Topic 280): Improvements to Reportable Segment Disclosures, which requires disclosure of incremental segment information on an annual and interim basis. This ASU is effective for fiscal years beginning after December 15, 2023, and interim periods within fiscal years beginning after December 15, 2024, and requires retrospective application to all prior periods presented in the financial statements. The Company is currently evaluating the impact that this guidance will have on the presentation of its condensed consolidated financial statements and accompanying notes.</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December 2023, the FASB issued ASU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2024. The Company is currently evaluating the impact that this guidance will have on the presentation of its condensed consolidated financial statements and accompanying notes.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November 2024, the FASB issued ASU 2024-03, Disaggregation of Income Statement Expenses (Topic 220): Income Statement - Reporting Comprehensive Income - Expense Disaggregation Disclosures, which requires companies to disclose additional information about specific expense categories in the notes to financial statements. The update will be effective for annual periods beginning after December 15, 2026, and interim reporting periods beginning after December 15, 2027. The Company is currently evaluating the impact that this guidance will have on the presentation of its condensed consolidated financial statements and accompanying notes.</w:t>
      </w:r>
    </w:p>
    <w:p>
      <w:pPr>
        <w:spacing w:after="0" w:line="11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There have been no other recent accounting pronouncements, changes in accounting pronouncements or recently adopted accounting guidance during the six months ended September 30, 2024 that are of significance or potential significance to us.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 RECOGNITION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disaggregates its revenue by geographic region. See Note </w:t>
      </w:r>
      <w:r>
        <w:rPr>
          <w:rFonts w:ascii="Arial" w:cs="Arial" w:eastAsia="Arial" w:hAnsi="Arial"/>
          <w:sz w:val="16"/>
          <w:szCs w:val="16"/>
          <w:color w:val="0000FF"/>
        </w:rPr>
        <w:t>12</w:t>
      </w:r>
      <w:r>
        <w:rPr>
          <w:rFonts w:ascii="Arial" w:cs="Arial" w:eastAsia="Arial" w:hAnsi="Arial"/>
          <w:sz w:val="16"/>
          <w:szCs w:val="16"/>
          <w:color w:val="auto"/>
        </w:rPr>
        <w:t>, Geographical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amounts of contract assets and deferred revenue from contracts with customers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2024</w:t>
            </w:r>
          </w:p>
        </w:tc>
        <w:tc>
          <w:tcPr>
            <w:tcW w:w="340" w:type="dxa"/>
            <w:vAlign w:val="bottom"/>
          </w:tcPr>
          <w:p>
            <w:pPr>
              <w:spacing w:after="0"/>
              <w:rPr>
                <w:sz w:val="17"/>
                <w:szCs w:val="17"/>
                <w:color w:val="auto"/>
              </w:rPr>
            </w:pPr>
          </w:p>
        </w:tc>
        <w:tc>
          <w:tcPr>
            <w:tcW w:w="1840" w:type="dxa"/>
            <w:vAlign w:val="bottom"/>
          </w:tcPr>
          <w:p>
            <w:pPr>
              <w:jc w:val="right"/>
              <w:ind w:right="501"/>
              <w:spacing w:after="0"/>
              <w:rPr>
                <w:sz w:val="20"/>
                <w:szCs w:val="20"/>
                <w:color w:val="auto"/>
              </w:rPr>
            </w:pPr>
            <w:r>
              <w:rPr>
                <w:rFonts w:ascii="Arial" w:cs="Arial" w:eastAsia="Arial" w:hAnsi="Arial"/>
                <w:sz w:val="14"/>
                <w:szCs w:val="14"/>
                <w:b w:val="1"/>
                <w:bCs w:val="1"/>
                <w:color w:val="auto"/>
              </w:rPr>
              <w:t>March 31, 2024</w:t>
            </w: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assets, current (component of Other current assets)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8,103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9,453</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Contract assets, non-current (component of Other assets)</w:t>
            </w:r>
          </w:p>
        </w:tc>
        <w:tc>
          <w:tcPr>
            <w:tcW w:w="26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7,906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7,879</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current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37,696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34,325</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26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6,594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7,810</w:t>
            </w:r>
          </w:p>
        </w:tc>
      </w:tr>
    </w:tbl>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Contract assets are recorded for contract consideration not yet invoiced but for which the performance obligations are completed. Contract assets, net of allowances for credit losses, are included in other current assets or other assets in the Company's consolidated balance sheets, depending on if their reduction will be recognized during the succeeding twelve-month period or beyond. The allowance applied to our contract assets as of March 31, 2024 and 2023 and the activity in this account, including the current-period provision for expected credit losses for the six months ended September 30, 2024 and 2023, were not material. Contract assets are transferred to accounts receivable when the right to invoice becomes unconditional.</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six months ended September 30, 2024 and 2023, the Company recognized revenues of approximately $27.1 million and $28.6 million that were included in deferred revenue at the beginning of the fiscal year,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subscription terms typically range from one to five years. Contract revenue from the remaining performance obligations that had not yet been recognized as of September 30, 2024 was approximately $800.0 million. This amount excludes contracts with an original expected length of less than one year. The Company expects to recognize revenue on approximately 87% of the remaining performance obligations over the next 24 months and approximately 13% over the remainder of the subscription period.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Sales Commission Costs</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Amortization of deferred sales commission costs for the three months ended September 30, 2024 and 2023 was approximately $9.9 million and $10.1 million, respectively, and $19.7 million and $20.1 million during the six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MEASUREMENTS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available-for-sale investments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Cash and Cash</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Restricted Cash</w:t>
            </w:r>
          </w:p>
        </w:tc>
        <w:tc>
          <w:tcPr>
            <w:tcW w:w="160" w:type="dxa"/>
            <w:vAlign w:val="bottom"/>
          </w:tcPr>
          <w:p>
            <w:pPr>
              <w:spacing w:after="0"/>
              <w:rPr>
                <w:sz w:val="14"/>
                <w:szCs w:val="14"/>
                <w:color w:val="auto"/>
              </w:rPr>
            </w:pPr>
          </w:p>
        </w:tc>
        <w:tc>
          <w:tcPr>
            <w:tcW w:w="110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44"/>
        </w:trPr>
        <w:tc>
          <w:tcPr>
            <w:tcW w:w="2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September 30, 2024</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Costs</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Gain</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 Loss</w:t>
            </w: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89,771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2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280" w:type="dxa"/>
            <w:vAlign w:val="bottom"/>
            <w:gridSpan w:val="2"/>
          </w:tcPr>
          <w:p>
            <w:pPr>
              <w:ind w:left="56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117,867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117,867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117,405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24"/>
                <w:szCs w:val="2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24"/>
                <w:szCs w:val="2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Cash and Cash</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Restricted Cash</w:t>
            </w:r>
          </w:p>
        </w:tc>
        <w:tc>
          <w:tcPr>
            <w:tcW w:w="160" w:type="dxa"/>
            <w:vAlign w:val="bottom"/>
          </w:tcPr>
          <w:p>
            <w:pPr>
              <w:spacing w:after="0"/>
              <w:rPr>
                <w:sz w:val="24"/>
                <w:szCs w:val="24"/>
                <w:color w:val="auto"/>
              </w:rPr>
            </w:pPr>
          </w:p>
        </w:tc>
        <w:tc>
          <w:tcPr>
            <w:tcW w:w="110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48"/>
        </w:trPr>
        <w:tc>
          <w:tcPr>
            <w:tcW w:w="2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March 31, 2024</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(Current &amp; Non-</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Costs</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Gain</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 Loss</w:t>
            </w: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53,943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53,943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2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Subtotal</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91,576</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91,576</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91,115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Level 2:</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80" w:type="dxa"/>
            <w:vAlign w:val="bottom"/>
            <w:gridSpan w:val="2"/>
          </w:tcPr>
          <w:p>
            <w:pPr>
              <w:ind w:left="240"/>
              <w:spacing w:after="0"/>
              <w:rPr>
                <w:sz w:val="20"/>
                <w:szCs w:val="20"/>
                <w:color w:val="auto"/>
              </w:rPr>
            </w:pPr>
            <w:r>
              <w:rPr>
                <w:rFonts w:ascii="Arial" w:cs="Arial" w:eastAsia="Arial" w:hAnsi="Arial"/>
                <w:sz w:val="16"/>
                <w:szCs w:val="16"/>
                <w:color w:val="auto"/>
              </w:rPr>
              <w:t>Term deposit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25,147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09"/>
        </w:trPr>
        <w:tc>
          <w:tcPr>
            <w:tcW w:w="22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Subtotal</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26,196</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26,195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25,147</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35"/>
        </w:trPr>
        <w:tc>
          <w:tcPr>
            <w:tcW w:w="22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September 30, 2023, cash, cash equivalents and restricted cash of $145.0 million included $144.0 million, $0.5 million, and $0.5 million of cash and cash equivalents, restricted cash and non-current restricted cash, respectively.</w:t>
      </w:r>
    </w:p>
    <w:p>
      <w:pPr>
        <w:spacing w:after="0" w:line="8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To support its current operations, the Company considers all highly liquid investments with an original maturity of three months or less to be cash equivalents. The restricted cash component of the money market funds is comprised of letters of credit securing leases for certain office facilities.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uses the Black-Scholes option-pricing valuation model to value its detachable warrants from inception and at each reporting period. During the three months ended September 30, 2024, the Company used historical volatility to determine the fair value of the warrants liability due to the low trading volume and moneyness assessment as of September 30, 2024. Changes in the fair values of the detachable warrants liability are recorded as loss on warrants remeasurement within Other (expense) income, net in the condensed consolidated statements of operations.</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following table presents additional information about valuation techniques and inputs used for the detachable warrants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that are measured at fair value and categorized within Level 3 as of September 30, 2024 and March 31, 2024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2024</w:t>
            </w:r>
          </w:p>
        </w:tc>
        <w:tc>
          <w:tcPr>
            <w:tcW w:w="360" w:type="dxa"/>
            <w:vAlign w:val="bottom"/>
          </w:tcPr>
          <w:p>
            <w:pPr>
              <w:spacing w:after="0"/>
              <w:rPr>
                <w:sz w:val="17"/>
                <w:szCs w:val="17"/>
                <w:color w:val="auto"/>
              </w:rPr>
            </w:pPr>
          </w:p>
        </w:tc>
        <w:tc>
          <w:tcPr>
            <w:tcW w:w="1900" w:type="dxa"/>
            <w:vAlign w:val="bottom"/>
          </w:tcPr>
          <w:p>
            <w:pPr>
              <w:jc w:val="right"/>
              <w:ind w:right="541"/>
              <w:spacing w:after="0"/>
              <w:rPr>
                <w:sz w:val="20"/>
                <w:szCs w:val="20"/>
                <w:color w:val="auto"/>
              </w:rPr>
            </w:pPr>
            <w:r>
              <w:rPr>
                <w:rFonts w:ascii="Arial" w:cs="Arial" w:eastAsia="Arial" w:hAnsi="Arial"/>
                <w:sz w:val="14"/>
                <w:szCs w:val="14"/>
                <w:b w:val="1"/>
                <w:bCs w:val="1"/>
                <w:color w:val="auto"/>
              </w:rPr>
              <w:t>March 31, 2024</w:t>
            </w:r>
          </w:p>
        </w:tc>
      </w:tr>
      <w:tr>
        <w:trPr>
          <w:trHeight w:val="216"/>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Estimated fair value of detachable warrants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1,311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3,321</w:t>
            </w:r>
          </w:p>
        </w:tc>
      </w:tr>
      <w:tr>
        <w:trPr>
          <w:trHeight w:val="222"/>
        </w:trPr>
        <w:tc>
          <w:tcPr>
            <w:tcW w:w="6600" w:type="dxa"/>
            <w:vAlign w:val="bottom"/>
          </w:tcPr>
          <w:p>
            <w:pPr>
              <w:ind w:left="20"/>
              <w:spacing w:after="0"/>
              <w:rPr>
                <w:sz w:val="20"/>
                <w:szCs w:val="20"/>
                <w:color w:val="auto"/>
              </w:rPr>
            </w:pPr>
            <w:r>
              <w:rPr>
                <w:rFonts w:ascii="Arial" w:cs="Arial" w:eastAsia="Arial" w:hAnsi="Arial"/>
                <w:sz w:val="16"/>
                <w:szCs w:val="16"/>
                <w:color w:val="auto"/>
              </w:rPr>
              <w:t>Unobservable inputs:</w:t>
            </w: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7"/>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volatility</w:t>
            </w:r>
          </w:p>
        </w:tc>
        <w:tc>
          <w:tcPr>
            <w:tcW w:w="3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87.2 %</w:t>
            </w:r>
          </w:p>
        </w:tc>
      </w:tr>
      <w:tr>
        <w:trPr>
          <w:trHeight w:val="222"/>
        </w:trPr>
        <w:tc>
          <w:tcPr>
            <w:tcW w:w="6600" w:type="dxa"/>
            <w:vAlign w:val="bottom"/>
          </w:tcPr>
          <w:p>
            <w:pPr>
              <w:ind w:left="140"/>
              <w:spacing w:after="0"/>
              <w:rPr>
                <w:sz w:val="20"/>
                <w:szCs w:val="20"/>
                <w:color w:val="auto"/>
              </w:rPr>
            </w:pPr>
            <w:r>
              <w:rPr>
                <w:rFonts w:ascii="Arial" w:cs="Arial" w:eastAsia="Arial" w:hAnsi="Arial"/>
                <w:sz w:val="16"/>
                <w:szCs w:val="16"/>
                <w:color w:val="auto"/>
              </w:rPr>
              <w:t>Risk-free rate</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37"/>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term</w:t>
            </w:r>
          </w:p>
        </w:tc>
        <w:tc>
          <w:tcPr>
            <w:tcW w:w="30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1300"/>
              <w:spacing w:after="0"/>
              <w:rPr>
                <w:sz w:val="20"/>
                <w:szCs w:val="20"/>
                <w:color w:val="auto"/>
              </w:rPr>
            </w:pPr>
            <w:r>
              <w:rPr>
                <w:rFonts w:ascii="Arial" w:cs="Arial" w:eastAsia="Arial" w:hAnsi="Arial"/>
                <w:sz w:val="16"/>
                <w:szCs w:val="16"/>
                <w:color w:val="auto"/>
              </w:rPr>
              <w:t>2.9 years</w:t>
            </w:r>
          </w:p>
        </w:tc>
        <w:tc>
          <w:tcPr>
            <w:tcW w:w="36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years</w:t>
            </w:r>
          </w:p>
        </w:tc>
      </w:tr>
    </w:tbl>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As of September 30, 2024 and March 31, 2024, the estimated fair value of the Company’s convertible senior notes due in 2028 was $147.4 million and $161.7 million, respectively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The fair value of the convertible senior notes was determined based on the closing price of each of the securities on the last trading day of the reporting period, and each is Level 2 in the fair value hierarchy due to limited trading activity of the debt instruments. As of September 30, 2024 and March 31, 2024, the carrying value of the Company’s 2024 Term Loan approximates its estimated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FINANCIAL STATEMENT COMPONENTS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net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September 30, 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2024</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accounts receivable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59,757</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Unbilled trade accounts receivable</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4,470</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allowance for credit losses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0" w:type="dxa"/>
            <w:vAlign w:val="bottom"/>
          </w:tcPr>
          <w:p>
            <w:pPr>
              <w:spacing w:after="0"/>
              <w:rPr>
                <w:sz w:val="1"/>
                <w:szCs w:val="1"/>
                <w:color w:val="auto"/>
              </w:rPr>
            </w:pPr>
          </w:p>
        </w:tc>
      </w:tr>
      <w:tr>
        <w:trPr>
          <w:trHeight w:val="21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allowance for sales reserves</w:t>
            </w:r>
          </w:p>
        </w:tc>
        <w:tc>
          <w:tcPr>
            <w:tcW w:w="24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0" w:type="dxa"/>
            <w:vAlign w:val="bottom"/>
          </w:tcPr>
          <w:p>
            <w:pPr>
              <w:spacing w:after="0"/>
              <w:rPr>
                <w:sz w:val="1"/>
                <w:szCs w:val="1"/>
                <w:color w:val="auto"/>
              </w:rPr>
            </w:pPr>
          </w:p>
        </w:tc>
      </w:tr>
      <w:tr>
        <w:trPr>
          <w:trHeight w:val="235"/>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64,567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58,979</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6"/>
                <w:szCs w:val="16"/>
                <w:color w:val="auto"/>
              </w:rPr>
              <w:t>Allowance for credit losses and sales reserves consisted of the following (in thousands):</w:t>
            </w: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340" w:type="dxa"/>
            <w:vAlign w:val="bottom"/>
            <w:gridSpan w:val="5"/>
            <w:vMerge w:val="continue"/>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ind w:right="302"/>
              <w:spacing w:after="0"/>
              <w:rPr>
                <w:sz w:val="20"/>
                <w:szCs w:val="20"/>
                <w:color w:val="auto"/>
              </w:rPr>
            </w:pPr>
            <w:r>
              <w:rPr>
                <w:rFonts w:ascii="Arial" w:cs="Arial" w:eastAsia="Arial" w:hAnsi="Arial"/>
                <w:sz w:val="14"/>
                <w:szCs w:val="14"/>
                <w:b w:val="1"/>
                <w:bCs w:val="1"/>
                <w:color w:val="auto"/>
              </w:rPr>
              <w:t>Six Months Ended September 30, 2024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4"/>
                <w:szCs w:val="14"/>
                <w:b w:val="1"/>
                <w:bCs w:val="1"/>
                <w:color w:val="auto"/>
              </w:rPr>
              <w:t>Year Ended March 31, 2024</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Credit Losses</w:t>
            </w:r>
          </w:p>
        </w:tc>
        <w:tc>
          <w:tcPr>
            <w:tcW w:w="28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Sales Reserves</w:t>
            </w:r>
          </w:p>
        </w:tc>
        <w:tc>
          <w:tcPr>
            <w:tcW w:w="240" w:type="dxa"/>
            <w:vAlign w:val="bottom"/>
          </w:tcPr>
          <w:p>
            <w:pPr>
              <w:spacing w:after="0"/>
              <w:rPr>
                <w:sz w:val="17"/>
                <w:szCs w:val="17"/>
                <w:color w:val="auto"/>
              </w:rPr>
            </w:pPr>
          </w:p>
        </w:tc>
        <w:tc>
          <w:tcPr>
            <w:tcW w:w="1520" w:type="dxa"/>
            <w:vAlign w:val="bottom"/>
            <w:gridSpan w:val="5"/>
          </w:tcPr>
          <w:p>
            <w:pPr>
              <w:ind w:left="120"/>
              <w:spacing w:after="0"/>
              <w:rPr>
                <w:sz w:val="20"/>
                <w:szCs w:val="20"/>
                <w:color w:val="auto"/>
              </w:rPr>
            </w:pPr>
            <w:r>
              <w:rPr>
                <w:rFonts w:ascii="Arial" w:cs="Arial" w:eastAsia="Arial" w:hAnsi="Arial"/>
                <w:sz w:val="14"/>
                <w:szCs w:val="14"/>
                <w:b w:val="1"/>
                <w:bCs w:val="1"/>
                <w:color w:val="auto"/>
              </w:rPr>
              <w:t>Credit Losses</w:t>
            </w:r>
          </w:p>
        </w:tc>
        <w:tc>
          <w:tcPr>
            <w:tcW w:w="16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Sales Reserves</w:t>
            </w:r>
          </w:p>
        </w:tc>
        <w:tc>
          <w:tcPr>
            <w:tcW w:w="0" w:type="dxa"/>
            <w:vAlign w:val="bottom"/>
          </w:tcPr>
          <w:p>
            <w:pPr>
              <w:spacing w:after="0"/>
              <w:rPr>
                <w:sz w:val="1"/>
                <w:szCs w:val="1"/>
                <w:color w:val="auto"/>
              </w:rPr>
            </w:pPr>
          </w:p>
        </w:tc>
      </w:tr>
      <w:tr>
        <w:trPr>
          <w:trHeight w:val="21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gridSpan w:val="2"/>
            <w:shd w:val="clear" w:color="auto" w:fill="CCEEFF"/>
          </w:tcPr>
          <w:p>
            <w:pPr>
              <w:ind w:left="840"/>
              <w:spacing w:after="0"/>
              <w:rPr>
                <w:sz w:val="20"/>
                <w:szCs w:val="20"/>
                <w:color w:val="auto"/>
              </w:rPr>
            </w:pPr>
            <w:r>
              <w:rPr>
                <w:rFonts w:ascii="Arial" w:cs="Arial" w:eastAsia="Arial" w:hAnsi="Arial"/>
                <w:sz w:val="16"/>
                <w:szCs w:val="16"/>
                <w:color w:val="auto"/>
              </w:rPr>
              <w:t>(2,502)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rPr>
              <w:t>(3,644)</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05"/>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(3,218)</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Reserve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840"/>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3"/>
          </w:tcPr>
          <w:p>
            <w:pPr>
              <w:jc w:val="center"/>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(3,581)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957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1,684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rPr>
              <w:t>2,867</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4,297</w:t>
            </w:r>
          </w:p>
        </w:tc>
        <w:tc>
          <w:tcPr>
            <w:tcW w:w="0" w:type="dxa"/>
            <w:vAlign w:val="bottom"/>
          </w:tcPr>
          <w:p>
            <w:pPr>
              <w:spacing w:after="0"/>
              <w:rPr>
                <w:sz w:val="1"/>
                <w:szCs w:val="1"/>
                <w:color w:val="auto"/>
              </w:rPr>
            </w:pPr>
          </w:p>
        </w:tc>
      </w:tr>
      <w:tr>
        <w:trPr>
          <w:trHeight w:val="210"/>
        </w:trPr>
        <w:tc>
          <w:tcPr>
            <w:tcW w:w="4320" w:type="dxa"/>
            <w:vAlign w:val="bottom"/>
          </w:tcPr>
          <w:p>
            <w:pPr>
              <w:ind w:left="220"/>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2"/>
          </w:tcPr>
          <w:p>
            <w:pPr>
              <w:ind w:left="840"/>
              <w:spacing w:after="0"/>
              <w:rPr>
                <w:sz w:val="20"/>
                <w:szCs w:val="20"/>
                <w:color w:val="auto"/>
              </w:rPr>
            </w:pPr>
            <w:r>
              <w:rPr>
                <w:rFonts w:ascii="Arial" w:cs="Arial" w:eastAsia="Arial" w:hAnsi="Arial"/>
                <w:sz w:val="16"/>
                <w:szCs w:val="16"/>
                <w:color w:val="auto"/>
              </w:rPr>
              <w:t>(2,275)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(2,746)</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90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4560" w:type="dxa"/>
            <w:vAlign w:val="bottom"/>
            <w:gridSpan w:val="2"/>
          </w:tcPr>
          <w:p>
            <w:pPr>
              <w:spacing w:after="0"/>
              <w:rPr>
                <w:sz w:val="20"/>
                <w:szCs w:val="20"/>
                <w:color w:val="auto"/>
              </w:rPr>
            </w:pPr>
            <w:r>
              <w:rPr>
                <w:rFonts w:ascii="Arial" w:cs="Arial" w:eastAsia="Arial" w:hAnsi="Arial"/>
                <w:sz w:val="16"/>
                <w:szCs w:val="16"/>
                <w:color w:val="auto"/>
              </w:rPr>
              <w:t>Other current assets consisted of the following (in thousands):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1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September 30, 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2024</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18,172</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Contract assets, current</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9,453</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7,633</w:t>
            </w: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Arial" w:cs="Arial" w:eastAsia="Arial" w:hAnsi="Arial"/>
                <w:sz w:val="16"/>
                <w:szCs w:val="16"/>
                <w:color w:val="auto"/>
              </w:rPr>
              <w:t>Total other 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35,258</w:t>
            </w:r>
          </w:p>
        </w:tc>
        <w:tc>
          <w:tcPr>
            <w:tcW w:w="0" w:type="dxa"/>
            <w:vAlign w:val="bottom"/>
          </w:tcPr>
          <w:p>
            <w:pPr>
              <w:spacing w:after="0"/>
              <w:rPr>
                <w:sz w:val="1"/>
                <w:szCs w:val="1"/>
                <w:color w:val="auto"/>
              </w:rPr>
            </w:pPr>
          </w:p>
        </w:tc>
      </w:tr>
      <w:tr>
        <w:trPr>
          <w:trHeight w:val="20"/>
        </w:trPr>
        <w:tc>
          <w:tcPr>
            <w:tcW w:w="6060" w:type="dxa"/>
            <w:vAlign w:val="bottom"/>
            <w:gridSpan w:val="4"/>
            <w:vMerge w:val="restart"/>
          </w:tcPr>
          <w:p>
            <w:pPr>
              <w:spacing w:after="0"/>
              <w:rPr>
                <w:sz w:val="20"/>
                <w:szCs w:val="20"/>
                <w:color w:val="auto"/>
              </w:rPr>
            </w:pPr>
            <w:r>
              <w:rPr>
                <w:rFonts w:ascii="Arial" w:cs="Arial" w:eastAsia="Arial" w:hAnsi="Arial"/>
                <w:sz w:val="16"/>
                <w:szCs w:val="16"/>
                <w:color w:val="auto"/>
              </w:rPr>
              <w:t>Accrued and other liabilities consisted of the following (in thousands):</w:t>
            </w: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60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1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September 30, 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2024</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19,550</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Accrued taxes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30,849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44,096</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14,456</w:t>
            </w:r>
          </w:p>
        </w:tc>
        <w:tc>
          <w:tcPr>
            <w:tcW w:w="0" w:type="dxa"/>
            <w:vAlign w:val="bottom"/>
          </w:tcPr>
          <w:p>
            <w:pPr>
              <w:spacing w:after="0"/>
              <w:rPr>
                <w:sz w:val="1"/>
                <w:szCs w:val="1"/>
                <w:color w:val="auto"/>
              </w:rPr>
            </w:pPr>
          </w:p>
        </w:tc>
      </w:tr>
      <w:tr>
        <w:trPr>
          <w:trHeight w:val="210"/>
        </w:trPr>
        <w:tc>
          <w:tcPr>
            <w:tcW w:w="4320" w:type="dxa"/>
            <w:vAlign w:val="bottom"/>
          </w:tcPr>
          <w:p>
            <w:pPr>
              <w:ind w:left="220"/>
              <w:spacing w:after="0"/>
              <w:rPr>
                <w:sz w:val="20"/>
                <w:szCs w:val="20"/>
                <w:color w:val="auto"/>
              </w:rPr>
            </w:pPr>
            <w:r>
              <w:rPr>
                <w:rFonts w:ascii="Arial" w:cs="Arial" w:eastAsia="Arial" w:hAnsi="Arial"/>
                <w:sz w:val="16"/>
                <w:szCs w:val="16"/>
                <w:color w:val="auto"/>
              </w:rPr>
              <w:t>Total accrued and other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68,783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78,102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consisted of the following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Six Months Ended September 30,</w:t>
            </w:r>
          </w:p>
        </w:tc>
      </w:tr>
      <w:tr>
        <w:trPr>
          <w:trHeight w:val="196"/>
        </w:trPr>
        <w:tc>
          <w:tcPr>
            <w:tcW w:w="43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2023</w:t>
            </w:r>
          </w:p>
        </w:tc>
      </w:tr>
      <w:tr>
        <w:trPr>
          <w:trHeight w:val="211"/>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debt extinguishment</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(11,996)</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82"/>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Gain on warrants remeasurement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2,781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2,531</w:t>
            </w: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1,238</w:t>
            </w:r>
          </w:p>
        </w:tc>
      </w:tr>
      <w:tr>
        <w:trPr>
          <w:trHeight w:val="21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1,419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404</w:t>
            </w:r>
          </w:p>
        </w:tc>
      </w:tr>
      <w:tr>
        <w:trPr>
          <w:trHeight w:val="235"/>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(12,709)</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4,803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2,407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INTANGIBLE ASSETS AND GOODWILL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intangible assets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March 31, 2024</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63"/>
              <w:spacing w:after="0" w:line="147"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2"/>
                <w:szCs w:val="12"/>
                <w:color w:val="auto"/>
              </w:rPr>
            </w:pPr>
          </w:p>
        </w:tc>
        <w:tc>
          <w:tcPr>
            <w:tcW w:w="11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10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6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00" w:type="dxa"/>
            <w:vAlign w:val="bottom"/>
          </w:tcPr>
          <w:p>
            <w:pPr>
              <w:jc w:val="right"/>
              <w:ind w:right="26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46,481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(41,084)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46,454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9,631</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105,839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(34,717)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71,122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105,827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(28,741)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77,086</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and domains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584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3280" w:type="dxa"/>
            <w:vAlign w:val="bottom"/>
          </w:tcPr>
          <w:p>
            <w:pPr>
              <w:ind w:left="220"/>
              <w:spacing w:after="0" w:line="142" w:lineRule="exact"/>
              <w:rPr>
                <w:sz w:val="20"/>
                <w:szCs w:val="20"/>
                <w:color w:val="auto"/>
              </w:rPr>
            </w:pPr>
            <w:r>
              <w:rPr>
                <w:rFonts w:ascii="Arial" w:cs="Arial" w:eastAsia="Arial" w:hAnsi="Arial"/>
                <w:sz w:val="16"/>
                <w:szCs w:val="16"/>
                <w:color w:val="auto"/>
              </w:rPr>
              <w:t>Total acquired identifiable intangible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3"/>
              <w:spacing w:after="0"/>
              <w:rPr>
                <w:sz w:val="20"/>
                <w:szCs w:val="20"/>
                <w:color w:val="auto"/>
              </w:rPr>
            </w:pPr>
            <w:r>
              <w:rPr>
                <w:rFonts w:ascii="Arial" w:cs="Arial" w:eastAsia="Arial" w:hAnsi="Arial"/>
                <w:sz w:val="16"/>
                <w:szCs w:val="16"/>
                <w:color w:val="auto"/>
              </w:rPr>
              <w:t>152,907</w:t>
            </w: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(76,388)</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76,519</w:t>
            </w:r>
          </w:p>
        </w:tc>
        <w:tc>
          <w:tcPr>
            <w:tcW w:w="10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3"/>
              <w:spacing w:after="0"/>
              <w:rPr>
                <w:sz w:val="20"/>
                <w:szCs w:val="20"/>
                <w:color w:val="auto"/>
              </w:rPr>
            </w:pPr>
            <w:r>
              <w:rPr>
                <w:rFonts w:ascii="Arial" w:cs="Arial" w:eastAsia="Arial" w:hAnsi="Arial"/>
                <w:sz w:val="16"/>
                <w:szCs w:val="16"/>
                <w:color w:val="auto"/>
              </w:rPr>
              <w:t>152,865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(66,148)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86,717</w:t>
            </w:r>
          </w:p>
        </w:tc>
        <w:tc>
          <w:tcPr>
            <w:tcW w:w="0" w:type="dxa"/>
            <w:vAlign w:val="bottom"/>
          </w:tcPr>
          <w:p>
            <w:pPr>
              <w:spacing w:after="0"/>
              <w:rPr>
                <w:sz w:val="1"/>
                <w:szCs w:val="1"/>
                <w:color w:val="auto"/>
              </w:rPr>
            </w:pPr>
          </w:p>
        </w:tc>
      </w:tr>
      <w:tr>
        <w:trPr>
          <w:trHeight w:val="189"/>
        </w:trPr>
        <w:tc>
          <w:tcPr>
            <w:tcW w:w="3280" w:type="dxa"/>
            <w:vAlign w:val="bottom"/>
          </w:tcPr>
          <w:p>
            <w:pPr>
              <w:ind w:left="220"/>
              <w:spacing w:after="0"/>
              <w:rPr>
                <w:sz w:val="20"/>
                <w:szCs w:val="20"/>
                <w:color w:val="auto"/>
              </w:rPr>
            </w:pPr>
            <w:r>
              <w:rPr>
                <w:rFonts w:ascii="Arial" w:cs="Arial" w:eastAsia="Arial" w:hAnsi="Arial"/>
                <w:sz w:val="16"/>
                <w:szCs w:val="16"/>
                <w:color w:val="auto"/>
              </w:rPr>
              <w:t>assets</w:t>
            </w:r>
          </w:p>
        </w:tc>
        <w:tc>
          <w:tcPr>
            <w:tcW w:w="2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September 30, 2024, the weighted average remaining useful lives for developed technology and customer relationships were 1.2 years and 6.2 years, respectively. The annual amortization of the Company's intangible assets, based upon existing intangible assets and current useful lives, is estimated to be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year 2025</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8,898</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13,895</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11,757</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2028</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11,044</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 and thereafter</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30,925</w:t>
            </w:r>
          </w:p>
        </w:tc>
        <w:tc>
          <w:tcPr>
            <w:tcW w:w="0" w:type="dxa"/>
            <w:vAlign w:val="bottom"/>
          </w:tcPr>
          <w:p>
            <w:pPr>
              <w:spacing w:after="0"/>
              <w:rPr>
                <w:sz w:val="1"/>
                <w:szCs w:val="1"/>
                <w:color w:val="auto"/>
              </w:rPr>
            </w:pPr>
          </w:p>
        </w:tc>
      </w:tr>
      <w:tr>
        <w:trPr>
          <w:trHeight w:val="208"/>
        </w:trPr>
        <w:tc>
          <w:tcPr>
            <w:tcW w:w="4840" w:type="dxa"/>
            <w:vAlign w:val="bottom"/>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76,519</w:t>
            </w:r>
          </w:p>
        </w:tc>
        <w:tc>
          <w:tcPr>
            <w:tcW w:w="0" w:type="dxa"/>
            <w:vAlign w:val="bottom"/>
          </w:tcPr>
          <w:p>
            <w:pPr>
              <w:spacing w:after="0"/>
              <w:rPr>
                <w:sz w:val="1"/>
                <w:szCs w:val="1"/>
                <w:color w:val="auto"/>
              </w:rPr>
            </w:pPr>
          </w:p>
        </w:tc>
      </w:tr>
      <w:tr>
        <w:trPr>
          <w:trHeight w:val="22"/>
        </w:trPr>
        <w:tc>
          <w:tcPr>
            <w:tcW w:w="8080" w:type="dxa"/>
            <w:vAlign w:val="bottom"/>
            <w:gridSpan w:val="7"/>
            <w:vMerge w:val="restart"/>
          </w:tcPr>
          <w:p>
            <w:pPr>
              <w:spacing w:after="0"/>
              <w:rPr>
                <w:sz w:val="20"/>
                <w:szCs w:val="20"/>
                <w:color w:val="auto"/>
              </w:rPr>
            </w:pPr>
            <w:r>
              <w:rPr>
                <w:rFonts w:ascii="Arial" w:cs="Arial" w:eastAsia="Arial" w:hAnsi="Arial"/>
                <w:sz w:val="16"/>
                <w:szCs w:val="16"/>
                <w:color w:val="auto"/>
              </w:rPr>
              <w:t>The following table provides a summary of the changes in the carrying amounts of goodwill (in thousands):</w:t>
            </w: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808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2024</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266,574</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currency translation</w:t>
            </w:r>
          </w:p>
        </w:tc>
        <w:tc>
          <w:tcPr>
            <w:tcW w:w="2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w:t>
            </w:r>
          </w:p>
        </w:tc>
        <w:tc>
          <w:tcPr>
            <w:tcW w:w="0" w:type="dxa"/>
            <w:vAlign w:val="bottom"/>
          </w:tcPr>
          <w:p>
            <w:pPr>
              <w:spacing w:after="0"/>
              <w:rPr>
                <w:sz w:val="1"/>
                <w:szCs w:val="1"/>
                <w:color w:val="auto"/>
              </w:rPr>
            </w:pP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2024</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269,229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6. LEASES</w:t>
            </w: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840" w:type="dxa"/>
            <w:vAlign w:val="bottom"/>
          </w:tcPr>
          <w:p>
            <w:pPr>
              <w:spacing w:after="0"/>
              <w:rPr>
                <w:sz w:val="20"/>
                <w:szCs w:val="20"/>
                <w:color w:val="auto"/>
              </w:rPr>
            </w:pPr>
            <w:r>
              <w:rPr>
                <w:rFonts w:ascii="Arial" w:cs="Arial" w:eastAsia="Arial" w:hAnsi="Arial"/>
                <w:sz w:val="16"/>
                <w:szCs w:val="16"/>
                <w:color w:val="auto"/>
              </w:rPr>
              <w:t>The components of lease expense were as follows (in thousands):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24"/>
                <w:szCs w:val="24"/>
                <w:color w:val="auto"/>
              </w:rPr>
            </w:pPr>
          </w:p>
        </w:tc>
        <w:tc>
          <w:tcPr>
            <w:tcW w:w="28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2,048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2,099</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supplemental cash flow information related to leases was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2880" w:type="dxa"/>
            <w:vAlign w:val="bottom"/>
            <w:gridSpan w:val="4"/>
          </w:tcPr>
          <w:p>
            <w:pPr>
              <w:jc w:val="right"/>
              <w:ind w:right="362"/>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 from operating leases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7,279</w:t>
            </w:r>
          </w:p>
        </w:tc>
        <w:tc>
          <w:tcPr>
            <w:tcW w:w="0" w:type="dxa"/>
            <w:vAlign w:val="bottom"/>
          </w:tcPr>
          <w:p>
            <w:pPr>
              <w:spacing w:after="0"/>
              <w:rPr>
                <w:sz w:val="1"/>
                <w:szCs w:val="1"/>
                <w:color w:val="auto"/>
              </w:rPr>
            </w:pPr>
          </w:p>
        </w:tc>
      </w:tr>
      <w:tr>
        <w:trPr>
          <w:trHeight w:val="162"/>
        </w:trPr>
        <w:tc>
          <w:tcPr>
            <w:tcW w:w="4840" w:type="dxa"/>
            <w:vAlign w:val="bottom"/>
          </w:tcPr>
          <w:p>
            <w:pPr>
              <w:ind w:left="20"/>
              <w:spacing w:after="0" w:line="162" w:lineRule="exact"/>
              <w:rPr>
                <w:sz w:val="20"/>
                <w:szCs w:val="20"/>
                <w:color w:val="auto"/>
              </w:rPr>
            </w:pPr>
            <w:r>
              <w:rPr>
                <w:rFonts w:ascii="Arial" w:cs="Arial" w:eastAsia="Arial" w:hAnsi="Arial"/>
                <w:sz w:val="16"/>
                <w:szCs w:val="16"/>
                <w:color w:val="auto"/>
              </w:rPr>
              <w:t>Right-of-use assets obtained in exchange for operating lease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2,311</w:t>
            </w:r>
          </w:p>
        </w:tc>
        <w:tc>
          <w:tcPr>
            <w:tcW w:w="1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1,954</w:t>
            </w:r>
          </w:p>
        </w:tc>
        <w:tc>
          <w:tcPr>
            <w:tcW w:w="100" w:type="dxa"/>
            <w:vAlign w:val="bottom"/>
          </w:tcPr>
          <w:p>
            <w:pPr>
              <w:spacing w:after="0"/>
              <w:rPr>
                <w:sz w:val="14"/>
                <w:szCs w:val="14"/>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ind w:right="2"/>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obligations</w:t>
            </w:r>
          </w:p>
        </w:tc>
        <w:tc>
          <w:tcPr>
            <w:tcW w:w="22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Short-term lease expense was immaterial during the six months ended September 30, 2024 and 2023.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supplemental lease information: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0" w:type="dxa"/>
            <w:vAlign w:val="bottom"/>
          </w:tcPr>
          <w:p>
            <w:pPr>
              <w:spacing w:after="0"/>
              <w:rPr>
                <w:sz w:val="17"/>
                <w:szCs w:val="17"/>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September 30, 2024</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March 31, 2024</w:t>
            </w:r>
          </w:p>
        </w:tc>
      </w:tr>
      <w:tr>
        <w:trPr>
          <w:trHeight w:val="211"/>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5.7 years</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6.2 years</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maturity of lease liabilities under the Company's non-cancellable operating leases as of September 30, 2024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year 2025</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7,254</w:t>
            </w:r>
          </w:p>
        </w:tc>
      </w:tr>
      <w:tr>
        <w:trPr>
          <w:trHeight w:val="215"/>
        </w:trPr>
        <w:tc>
          <w:tcPr>
            <w:tcW w:w="9060" w:type="dxa"/>
            <w:vAlign w:val="bottom"/>
          </w:tcPr>
          <w:p>
            <w:pPr>
              <w:ind w:left="20"/>
              <w:spacing w:after="0"/>
              <w:rPr>
                <w:sz w:val="20"/>
                <w:szCs w:val="20"/>
                <w:color w:val="auto"/>
              </w:rPr>
            </w:pPr>
            <w:r>
              <w:rPr>
                <w:rFonts w:ascii="Arial" w:cs="Arial" w:eastAsia="Arial" w:hAnsi="Arial"/>
                <w:sz w:val="16"/>
                <w:szCs w:val="16"/>
                <w:color w:val="auto"/>
              </w:rPr>
              <w:t>2026</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13,752</w:t>
            </w:r>
          </w:p>
        </w:tc>
      </w:tr>
      <w:tr>
        <w:trPr>
          <w:trHeight w:val="217"/>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12,166</w:t>
            </w:r>
          </w:p>
        </w:tc>
      </w:tr>
      <w:tr>
        <w:trPr>
          <w:trHeight w:val="215"/>
        </w:trPr>
        <w:tc>
          <w:tcPr>
            <w:tcW w:w="9060" w:type="dxa"/>
            <w:vAlign w:val="bottom"/>
          </w:tcPr>
          <w:p>
            <w:pPr>
              <w:ind w:left="20"/>
              <w:spacing w:after="0"/>
              <w:rPr>
                <w:sz w:val="20"/>
                <w:szCs w:val="20"/>
                <w:color w:val="auto"/>
              </w:rPr>
            </w:pPr>
            <w:r>
              <w:rPr>
                <w:rFonts w:ascii="Arial" w:cs="Arial" w:eastAsia="Arial" w:hAnsi="Arial"/>
                <w:sz w:val="16"/>
                <w:szCs w:val="16"/>
                <w:color w:val="auto"/>
              </w:rPr>
              <w:t>2028</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10,666</w:t>
            </w:r>
          </w:p>
        </w:tc>
      </w:tr>
      <w:tr>
        <w:trPr>
          <w:trHeight w:val="217"/>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10,488</w:t>
            </w:r>
          </w:p>
        </w:tc>
      </w:tr>
      <w:tr>
        <w:trPr>
          <w:trHeight w:val="215"/>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18,434</w:t>
            </w:r>
          </w:p>
        </w:tc>
      </w:tr>
      <w:tr>
        <w:trPr>
          <w:trHeight w:val="210"/>
        </w:trPr>
        <w:tc>
          <w:tcPr>
            <w:tcW w:w="9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lease payments</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72,760</w:t>
            </w:r>
          </w:p>
        </w:tc>
      </w:tr>
      <w:tr>
        <w:trPr>
          <w:trHeight w:val="215"/>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(8,268)</w:t>
            </w:r>
          </w:p>
        </w:tc>
      </w:tr>
      <w:tr>
        <w:trPr>
          <w:trHeight w:val="235"/>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Present value of lease liabilities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64,492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COMMITMENTS AND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spacing w:after="0" w:line="1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It is not possible to determine the maximum potential amount of the Company's exposure under these indemnification agreements due to the limited history of prior indemnification claims and the unique facts and circumstances involved in each agreement. Historically, payments made by the Company under these agreements have not had a material impact on the Company's operating results, financial position, or cash flows. Under some of these agreements, however, the Company's potential indemnification liability may not have a contractual limit.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lease obligations consist of the Company's principal facility and various leased facilities under operating lease agreements. During the six months ended September 30, 2024, a material international operating lease commenced related to an international office building. See Note 6, Leases, in the Company's Annual Report on Form 10-K for more information on the Company's leases and the future minimum lease payments.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Obligations</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purchase obligations include contracts with third-party customer support vendors and third-party network service providers. These contracts include minimum monthly commitments and the requirements to maintain the service level for several months.</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months ended September 30, 2024, the Company entered into a $24.1 million noncancelable three-year hosting service contract. Under this agreement, $7.1 million remains due during fiscal year 2025, $8.5 million will be due during fiscal year 2026, $6.0 million will be due during fiscal year 2027 and $2.5 million will be due during fiscal year 2028.</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believes it has recorded adequate provisions for any such lawsuits and claims and proceedings as of September 30, 2024.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 and Local Taxes and Surcharges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or has accrued amounts for taxes that it believes are required to be remitted. The amounts that have been remitted have historically been within the accruals established by the Company. The Company adjusts its accrual when facts relating to specific exposures warrant such adjustment. The Company periodically reviews the taxability of its services and determined that certain services may be subject to sales, use, telecommunications or other similar indirect taxes in certain jurisdictions. A similar review was performed on the taxability of services provided by Fuze, Inc., and it was determined that certain services may be subject to sales, use, telecommunications or other similar indirect taxes in certain jurisdictions. Accordingly, the Company recorded contingent indirect tax liabilities. As of March 31, 2024, the Company had accrued contingent indirect tax liabilities of $19.2 million, which included $5.6 million related to the Fuze Universal Service Fund (“USF”) matter discussed below which had been subsequently paid. As of September 30, 2024, the Company has accrued contingent indirect tax liabilities of $11.1 million.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FCC Investigation of 8x8, Inc. and Fuze, Inc.</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On November 17, 2023, the Company received a letter of inquiry from the Enforcement Bureau of the Federal Communications Commission (the “FCC”) requesting certain information and supporting documents related to an investigation of potential violations by 8x8 and Fuze, Inc. in connection with certain prior period regulatory filings and payments. The Company has cooperated with the FCC in this matter and responded to the letter of inquiry. The Company subsequently received communications from the Universal Service Administrative Company (“USAC”), rejecting Fuze, Inc.'s previously filed 499-A returns for calendar years 2021 and 2022 and informing the Company that USAC would apply the safe harbor to Fuze revenues for those years for assessing Universal Service Fund ("USF") payments. The Company has since refiled the 499-A returns for calendar years 2021 and 2022 for Fuze, Inc., which have been subsequently accepted by USAC. On November 1, 2024, the Company entered into a Consent Decree with the FCC and considers this matter to be closed. See Note </w:t>
      </w:r>
      <w:r>
        <w:rPr>
          <w:rFonts w:ascii="Arial" w:cs="Arial" w:eastAsia="Arial" w:hAnsi="Arial"/>
          <w:sz w:val="16"/>
          <w:szCs w:val="16"/>
          <w:color w:val="0000FF"/>
        </w:rPr>
        <w:t>14</w:t>
      </w:r>
      <w:r>
        <w:rPr>
          <w:rFonts w:ascii="Arial" w:cs="Arial" w:eastAsia="Arial" w:hAnsi="Arial"/>
          <w:sz w:val="16"/>
          <w:szCs w:val="16"/>
          <w:color w:val="auto"/>
        </w:rPr>
        <w:t>, “Subsequent Events".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CONVERTIBLE SENIOR NOTES AND TERM LOAN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Components of convertible senior notes and term loans were as follows as of September 30, 2024 and March 31, 2024, respectively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September 30, 2024</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66"/>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2024 Term</w:t>
            </w: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2022 Term</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2022 Term</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5"/>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Loan</w:t>
            </w:r>
          </w:p>
        </w:tc>
        <w:tc>
          <w:tcPr>
            <w:tcW w:w="140" w:type="dxa"/>
            <w:vAlign w:val="bottom"/>
          </w:tcPr>
          <w:p>
            <w:pPr>
              <w:spacing w:after="0"/>
              <w:rPr>
                <w:sz w:val="17"/>
                <w:szCs w:val="17"/>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Loan</w:t>
            </w:r>
          </w:p>
        </w:tc>
        <w:tc>
          <w:tcPr>
            <w:tcW w:w="14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2028 Notes</w:t>
            </w:r>
          </w:p>
        </w:tc>
        <w:tc>
          <w:tcPr>
            <w:tcW w:w="26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Loan</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2028 Notes</w:t>
            </w:r>
          </w:p>
        </w:tc>
        <w:tc>
          <w:tcPr>
            <w:tcW w:w="240" w:type="dxa"/>
            <w:vAlign w:val="bottom"/>
          </w:tcPr>
          <w:p>
            <w:pPr>
              <w:spacing w:after="0"/>
              <w:rPr>
                <w:sz w:val="17"/>
                <w:szCs w:val="17"/>
                <w:color w:val="auto"/>
              </w:rPr>
            </w:pPr>
          </w:p>
        </w:tc>
        <w:tc>
          <w:tcPr>
            <w:tcW w:w="86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216"/>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200,000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201,914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401,914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225,000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201,914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426,914</w:t>
            </w:r>
          </w:p>
        </w:tc>
      </w:tr>
      <w:tr>
        <w:trPr>
          <w:trHeight w:val="188"/>
        </w:trPr>
        <w:tc>
          <w:tcPr>
            <w:tcW w:w="2960" w:type="dxa"/>
            <w:vAlign w:val="bottom"/>
          </w:tcPr>
          <w:p>
            <w:pPr>
              <w:ind w:left="20"/>
              <w:spacing w:after="0"/>
              <w:rPr>
                <w:sz w:val="20"/>
                <w:szCs w:val="20"/>
                <w:color w:val="auto"/>
              </w:rPr>
            </w:pPr>
            <w:r>
              <w:rPr>
                <w:rFonts w:ascii="Arial" w:cs="Arial" w:eastAsia="Arial" w:hAnsi="Arial"/>
                <w:sz w:val="16"/>
                <w:szCs w:val="16"/>
                <w:color w:val="auto"/>
              </w:rPr>
              <w:t>Unamortized debt discount and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6"/>
                <w:szCs w:val="16"/>
                <w:color w:val="auto"/>
              </w:rPr>
              <w:t>issuance costs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(17,224)</w:t>
            </w: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198,587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198,300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396,887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211,894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197,796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409,690</w:t>
            </w:r>
          </w:p>
        </w:tc>
      </w:tr>
      <w:tr>
        <w:trPr>
          <w:trHeight w:val="228"/>
        </w:trPr>
        <w:tc>
          <w:tcPr>
            <w:tcW w:w="296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39,393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39,393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36"/>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of long-term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159,194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198,300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357,494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211,894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197,796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409,690</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Components of interest expense were as follows as of the three months ended September 30, 2024 and 2023, respectively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September 30, 2024</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September 30, 2023</w:t>
            </w:r>
          </w:p>
        </w:tc>
        <w:tc>
          <w:tcPr>
            <w:tcW w:w="640" w:type="dxa"/>
            <w:vAlign w:val="bottom"/>
            <w:tcBorders>
              <w:bottom w:val="single" w:sz="8" w:color="auto"/>
            </w:tcBorders>
          </w:tcPr>
          <w:p>
            <w:pPr>
              <w:spacing w:after="0"/>
              <w:rPr>
                <w:sz w:val="17"/>
                <w:szCs w:val="17"/>
                <w:color w:val="auto"/>
              </w:rPr>
            </w:pPr>
          </w:p>
        </w:tc>
      </w:tr>
      <w:tr>
        <w:trPr>
          <w:trHeight w:val="166"/>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2024 Term</w:t>
            </w:r>
          </w:p>
        </w:tc>
        <w:tc>
          <w:tcPr>
            <w:tcW w:w="1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2022 Term</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2022 Term</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5"/>
        </w:trPr>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Loan</w:t>
            </w:r>
          </w:p>
        </w:tc>
        <w:tc>
          <w:tcPr>
            <w:tcW w:w="120" w:type="dxa"/>
            <w:vAlign w:val="bottom"/>
          </w:tcPr>
          <w:p>
            <w:pPr>
              <w:spacing w:after="0"/>
              <w:rPr>
                <w:sz w:val="17"/>
                <w:szCs w:val="17"/>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Loan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2028 Notes</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2024 Notes</w:t>
            </w:r>
          </w:p>
        </w:tc>
        <w:tc>
          <w:tcPr>
            <w:tcW w:w="22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Loan</w:t>
            </w: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rPr>
              <w:t>2028 Notes</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2024 Notes</w:t>
            </w:r>
          </w:p>
        </w:tc>
        <w:tc>
          <w:tcPr>
            <w:tcW w:w="320" w:type="dxa"/>
            <w:vAlign w:val="bottom"/>
          </w:tcPr>
          <w:p>
            <w:pPr>
              <w:spacing w:after="0"/>
              <w:rPr>
                <w:sz w:val="17"/>
                <w:szCs w:val="17"/>
                <w:color w:val="auto"/>
              </w:rPr>
            </w:pPr>
          </w:p>
        </w:tc>
        <w:tc>
          <w:tcPr>
            <w:tcW w:w="640" w:type="dxa"/>
            <w:vAlign w:val="bottom"/>
          </w:tcPr>
          <w:p>
            <w:pPr>
              <w:jc w:val="right"/>
              <w:ind w:right="241"/>
              <w:spacing w:after="0"/>
              <w:rPr>
                <w:sz w:val="20"/>
                <w:szCs w:val="20"/>
                <w:color w:val="auto"/>
              </w:rPr>
            </w:pPr>
            <w:r>
              <w:rPr>
                <w:rFonts w:ascii="Arial" w:cs="Arial" w:eastAsia="Arial" w:hAnsi="Arial"/>
                <w:sz w:val="14"/>
                <w:szCs w:val="14"/>
                <w:b w:val="1"/>
                <w:bCs w:val="1"/>
                <w:color w:val="auto"/>
                <w:w w:val="89"/>
              </w:rPr>
              <w:t>Total</w:t>
            </w:r>
          </w:p>
        </w:tc>
      </w:tr>
      <w:tr>
        <w:trPr>
          <w:trHeight w:val="175"/>
        </w:trPr>
        <w:tc>
          <w:tcPr>
            <w:tcW w:w="1880" w:type="dxa"/>
            <w:vAlign w:val="bottom"/>
            <w:tcBorders>
              <w:top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Contractual interest</w:t>
            </w: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6,592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8,708</w:t>
            </w:r>
          </w:p>
        </w:tc>
      </w:tr>
      <w:tr>
        <w:trPr>
          <w:trHeight w:val="188"/>
        </w:trPr>
        <w:tc>
          <w:tcPr>
            <w:tcW w:w="1880" w:type="dxa"/>
            <w:vAlign w:val="bottom"/>
          </w:tcPr>
          <w:p>
            <w:pPr>
              <w:ind w:left="20"/>
              <w:spacing w:after="0"/>
              <w:rPr>
                <w:sz w:val="20"/>
                <w:szCs w:val="20"/>
                <w:color w:val="auto"/>
              </w:rPr>
            </w:pPr>
            <w:r>
              <w:rPr>
                <w:rFonts w:ascii="Arial" w:cs="Arial" w:eastAsia="Arial" w:hAnsi="Arial"/>
                <w:sz w:val="16"/>
                <w:szCs w:val="16"/>
                <w:color w:val="auto"/>
              </w:rPr>
              <w:t>Amortization of debt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5"/>
        </w:trPr>
        <w:tc>
          <w:tcPr>
            <w:tcW w:w="1880" w:type="dxa"/>
            <w:vAlign w:val="bottom"/>
          </w:tcPr>
          <w:p>
            <w:pPr>
              <w:ind w:left="20"/>
              <w:spacing w:after="0" w:line="175" w:lineRule="exact"/>
              <w:rPr>
                <w:sz w:val="20"/>
                <w:szCs w:val="20"/>
                <w:color w:val="auto"/>
              </w:rPr>
            </w:pPr>
            <w:r>
              <w:rPr>
                <w:rFonts w:ascii="Arial" w:cs="Arial" w:eastAsia="Arial" w:hAnsi="Arial"/>
                <w:sz w:val="16"/>
                <w:szCs w:val="16"/>
                <w:color w:val="auto"/>
              </w:rPr>
              <w:t>discount and issuance</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6"/>
                <w:szCs w:val="16"/>
                <w:color w:val="auto"/>
              </w:rPr>
              <w:t>costs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768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1,132</w:t>
            </w:r>
          </w:p>
        </w:tc>
      </w:tr>
      <w:tr>
        <w:trPr>
          <w:trHeight w:val="236"/>
        </w:trPr>
        <w:tc>
          <w:tcPr>
            <w:tcW w:w="18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2,897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7,360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9,840</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Components of interest expense were as follows as of the six months ended September 30, 2024 and 2023, respectively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rPr>
              <w:t>Six Months Ended September 30, 2024</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Six Months Ended September 30, 2023</w:t>
            </w:r>
          </w:p>
        </w:tc>
        <w:tc>
          <w:tcPr>
            <w:tcW w:w="700" w:type="dxa"/>
            <w:vAlign w:val="bottom"/>
            <w:tcBorders>
              <w:bottom w:val="single" w:sz="8" w:color="auto"/>
            </w:tcBorders>
          </w:tcPr>
          <w:p>
            <w:pPr>
              <w:spacing w:after="0"/>
              <w:rPr>
                <w:sz w:val="17"/>
                <w:szCs w:val="17"/>
                <w:color w:val="auto"/>
              </w:rPr>
            </w:pPr>
          </w:p>
        </w:tc>
      </w:tr>
      <w:tr>
        <w:trPr>
          <w:trHeight w:val="166"/>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2024 Term</w:t>
            </w: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2022 Term</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2022 Term</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5"/>
        </w:trPr>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Loan</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Loan</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2028 Notes</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2024 Notes</w:t>
            </w:r>
          </w:p>
        </w:tc>
        <w:tc>
          <w:tcPr>
            <w:tcW w:w="22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Loan</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2028 Notes</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2024 Notes</w:t>
            </w:r>
          </w:p>
        </w:tc>
        <w:tc>
          <w:tcPr>
            <w:tcW w:w="280" w:type="dxa"/>
            <w:vAlign w:val="bottom"/>
          </w:tcPr>
          <w:p>
            <w:pPr>
              <w:spacing w:after="0"/>
              <w:rPr>
                <w:sz w:val="17"/>
                <w:szCs w:val="17"/>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Total</w:t>
            </w:r>
          </w:p>
        </w:tc>
      </w:tr>
      <w:tr>
        <w:trPr>
          <w:trHeight w:val="161"/>
        </w:trPr>
        <w:tc>
          <w:tcPr>
            <w:tcW w:w="188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6"/>
                <w:szCs w:val="16"/>
                <w:color w:val="auto"/>
              </w:rPr>
              <w:t>Contractual interest</w:t>
            </w: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r>
      <w:tr>
        <w:trPr>
          <w:trHeight w:val="244"/>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13,471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17,680</w:t>
            </w:r>
          </w:p>
        </w:tc>
      </w:tr>
      <w:tr>
        <w:trPr>
          <w:trHeight w:val="175"/>
        </w:trPr>
        <w:tc>
          <w:tcPr>
            <w:tcW w:w="1880" w:type="dxa"/>
            <w:vAlign w:val="bottom"/>
          </w:tcPr>
          <w:p>
            <w:pPr>
              <w:ind w:left="20"/>
              <w:spacing w:after="0" w:line="175" w:lineRule="exact"/>
              <w:rPr>
                <w:sz w:val="20"/>
                <w:szCs w:val="20"/>
                <w:color w:val="auto"/>
              </w:rPr>
            </w:pPr>
            <w:r>
              <w:rPr>
                <w:rFonts w:ascii="Arial" w:cs="Arial" w:eastAsia="Arial" w:hAnsi="Arial"/>
                <w:sz w:val="16"/>
                <w:szCs w:val="16"/>
                <w:color w:val="auto"/>
              </w:rPr>
              <w:t>Amortization of debt</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9"/>
        </w:trPr>
        <w:tc>
          <w:tcPr>
            <w:tcW w:w="1880" w:type="dxa"/>
            <w:vAlign w:val="bottom"/>
          </w:tcPr>
          <w:p>
            <w:pPr>
              <w:ind w:left="20"/>
              <w:spacing w:after="0"/>
              <w:rPr>
                <w:sz w:val="20"/>
                <w:szCs w:val="20"/>
                <w:color w:val="auto"/>
              </w:rPr>
            </w:pPr>
            <w:r>
              <w:rPr>
                <w:rFonts w:ascii="Arial" w:cs="Arial" w:eastAsia="Arial" w:hAnsi="Arial"/>
                <w:sz w:val="16"/>
                <w:szCs w:val="16"/>
                <w:color w:val="auto"/>
              </w:rPr>
              <w:t>discount and issuance</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6"/>
                <w:szCs w:val="16"/>
                <w:color w:val="auto"/>
              </w:rPr>
              <w:t>costs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2,240</w:t>
            </w:r>
          </w:p>
        </w:tc>
      </w:tr>
      <w:tr>
        <w:trPr>
          <w:trHeight w:val="235"/>
        </w:trPr>
        <w:tc>
          <w:tcPr>
            <w:tcW w:w="18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15,013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19,920</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2024 Term Loan (as defined below) is the Company’s senior secured obligation and ranks senior in right of payment to any of the Company’s indebtedness. The 2028 Notes are the Company’s senior unsecured obligation and rank junior in right of payment to any of the Company’s indebtedness in right of payment to the 2024 Term Loan.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2024 Delayed Draw Term Loan</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11, 2024, the Company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August 5, 2024, the Company drew upon the entire facility of $200.0 million under the delayed draw term loan facility (the "2024 Term Loan") and used the proceeds of the 2024 Term Loan and cash on hand of approximately $29.0 million to repay in full the $225.0 million of outstanding principal amount and accrued interest of the 2022 Term Loan (defined below) and the fees incurred in connection with the repayment (the "Repayment"). For additional information, refer to the "2022 Term Loan and Warrants"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2024 Term Loan bears interest at an annual rate equal to Term SOFR, plus a margin of either 2.50%, 2.75% or 3.00% based on the consolidated total net leverage ratio of the Company and its subsidiaries. The initial margin will be 3.00% for the fiscal quarter ending September 30, 2024. The Company has the option to pay interest monthly, quarterly, or semi-annually. During the three months ended September 30, 2024, the Company elected monthly interest payment terms resulting in contractual interest expense of $2.6 million. The scheduled principal repayments of $22.5 million in fiscal year 2025 ($7.5 million on October 31, 2024, December 31, 2024 and March 31, 2025, respectively), $37.5 million in fiscal year 2026 ($7.5 million on June 30, 2025 and $10.0 million on September 30, 2025, December 31, 2025 and March 31, 2026, respectively), and $47.5 million in fiscal year 2027 ($10.0 million on June 30, 2026 and $12.5 million on September 30, 2026 and each quarter thereafter through maturity) are required, and the remaining $92.5 million principal is due before or upon maturity in fiscal year 2028. These annualized repayments will be made in quarterly installments. As of September 30, 2024, the debt issuance costs are amortized to interest expense over the term of the 2024 Term Loan at an effective interest rate of 8.76%.</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obligations under the 2024 Credit Agreement are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Mandatory prepayments of the 2024 Term Loan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without premium or penalty, subject to certain customary break funding payments.</w:t>
      </w:r>
    </w:p>
    <w:p>
      <w:pPr>
        <w:spacing w:after="0" w:line="30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2024 Credit Agreement contains a consolidated interest coverage ratio financial covenant, a maximum consolidated total net leverage ratio financial covenant and a maximum consolidated secured leverage ratio financial covenant, and contains affirmative and negative covenants customary for transactions of this type, including limitations with respect to share repurchases, indebtedness, liens, investments, dividends, disposition of assets, change in business, and transactions with affiliates. As of September 30, 2024, the Company was in compliance with all covenants set forth in the 2024 Credit Agreement.</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2022 Term Loan and Warrants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March 31, 2024, the Company had $225.0 million of principal amount outstanding in a senior secured term loan facility (the “2022 Term Loan”) under a term loan credit agreement (the “2022 Credit Agreement”) entered into on August 3, 2022 with Wilmington Savings Fund Society, FSB, as administrative agent, and certain affiliates of Francisco Partners (“FP”). The 2022 Term Loan matured on August 3, 2027 and bore interest at an annual rate equal to the term Standard Overnight Financing Rate ("Term SOFR") (subject to a floor of 1.00% and a credit spread adjustment of 0.10%), plus a margin of 6.50%. Prior to the Repayment, the debt discount and debt issuance costs were amortized to interest expense over the term of the 2022 Term Loan at an effective interest rate of 11.9%.</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Mandatory prepayments of the 2022 Term Loan were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were permitted at any time, subject to certain prepayment premiums. On May 9, 2023, the Company voluntarily prepaid without penalty, $25.0 million of principal amount outstanding and $0.2 million of accrued interest on the 2022 Term Loan. The prepayment penalty of 2% on additional early prepayment of principal expired on August 3, 2024. This payment had no impact on the Company's compliance with the 2022 Term Loan covenants. Prior to the Repayment, the Company was in compliance with all covenants set forth in the 2022 Credit Agreement.</w:t>
      </w:r>
    </w:p>
    <w:p>
      <w:pPr>
        <w:spacing w:after="0" w:line="3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obligations under the 2022 Credit Agreement were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the 2022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measured at fair value during each reporting period as the Warrants contain certain terms that could result in cash settlement as a result of events outside of the Company’s control. As of September 30, 2024 and March 31, 2024, the fair value of the Warrants was $1.3 million and $3.3 million, respectively, and was recorded within other liabilities, non-current on the condensed consolidated balance sheets. The subsequent changes in fair value were recorded through Other income (expense), net on the Company’s consolidated statement of operations. See Note 3, Fair Value Measurements, for further details.</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August 5, 2024, the Company repaid in full the outstanding principal amount and accrued interest of the 2022 Term Loan using the proceeds of the 2024 Term Loan and cash on hand. The Repayment was accounted for as a debt extinguishment. The carrying value of the 2022 Term Loan, including the unamortized debt discount and issuance costs, was derecognized. The difference of $12.0 million between the cash consideration paid to extinguish the 2022 Term Loan and the carrying value of the 2022 Term Loan was recognized as a loss on debt extinguishment included in the loss on debt extinguishment line item recorded in other expense in the condensed consolidated statement of operations. The Warrants continue to be outstanding, with no changes in terms in connection with the Repayment or issuance of the 2024 Term Loan.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2028 Notes</w:t>
      </w:r>
    </w:p>
    <w:p>
      <w:pPr>
        <w:spacing w:after="0" w:line="1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September 30, 2024 and March 31, 2024, the Company had $201.9 million aggregate principal amount of 4.00% convertible senior notes due 2028 (the “2028 Notes”), with debt issuance costs of approximately $5.6 million, of which 50% was paid in the form of shares of the Company's common stock.</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2028 Notes are senior obligations of the Company that accrue interest, payable semi-annually in arrears on February 1 and August 1 of each year. The 2028 Notes will mature on February 1, 2028, unless earlier converted, redeemed or repurchased. As of September 30, 2024, the Company was in compliance with all covenants set forth in the indenture governing the 2028 Notes.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debt discount and debt issuance costs are amortized to interest expense over the term of the 2028 Notes at an effective interest rate of 4.70%.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STOCK-BASED COMPENSATION AND STOCKHOLDERS' EQUITY</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Company accounts for stock-based compensation through the measurement and recognition of compensation expense for share-based payment awards made to employees, directors or consultants over the related requisite service period, including stock appreciation rights, restricted stock, restricted stock units ("RSUs") and performance stock units ("PSUs"), qualified performance-based awards, and stock grants (all issuable under the Company's equity incentive plans).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maximum number of shares reserved for the grant of awards under the 2022 Plan will be equal to the sum of: (i) 22.0 million shares (which is the sum of the 14.0 million new shares approved by shareholders on August 15, 2024 plus the 8.0 million shares available for grant under the 2022 Plan when it was initially adopted by shareholders on July 12, 2022) plus (ii) the number of shares subject to stock options granted under the 8x8 Inc. Amended and Restated 2012 Equity Incentive Plan (the “Prior Plan”) that were outstanding as of 12:01 a.m. Pacific Time on June 22, 2022 (the “Prior Plan Expiration Time”), but only to the extent such stock options expire, terminate, are cancelled without having been exercised in full or are settled in cash after the Prior Plan Expiration Time without the delivery of shares, plus (iii) the number of shares subject to restricted stock, RSUs and performance units granted under the Prior Plan that were outstanding as of the Prior Plan Expiration Time, but only to the extent such awards are forfeited by the holder, are reacquired by the Company at less than their then market value as a means of effecting a forfeiture, or are settled in cash after the Prior Plan Expiration Time without the delivery of shares (with the number of shares that recycle based on the Applicable Ratio, which is defined in the 2022 Plan), in each case, subject to adjustment upon certain changes in the Company’s capitalization. The 2022 Plan provides for the granting of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cannot be less than the fair market value on the effective date of the grant. Options, restricted stock, and restricted stock units generally vest over three or four years and expire ten years after the grant. As of September 30, 2024, 9.8 million shares remained available for future grants under the 2022 Plan.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stock-based compensation expense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32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28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Six Months Ended September 30,</w:t>
            </w:r>
          </w:p>
        </w:tc>
      </w:tr>
      <w:tr>
        <w:trPr>
          <w:trHeight w:val="196"/>
        </w:trPr>
        <w:tc>
          <w:tcPr>
            <w:tcW w:w="484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2,823</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854</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13,048</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8,566</w:t>
            </w: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7,426</w:t>
            </w:r>
          </w:p>
        </w:tc>
      </w:tr>
      <w:tr>
        <w:trPr>
          <w:trHeight w:val="210"/>
        </w:trPr>
        <w:tc>
          <w:tcPr>
            <w:tcW w:w="4840" w:type="dxa"/>
            <w:vAlign w:val="bottom"/>
          </w:tcPr>
          <w:p>
            <w:pPr>
              <w:ind w:left="2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14,520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32,717</w:t>
            </w:r>
          </w:p>
        </w:tc>
      </w:tr>
      <w:tr>
        <w:trPr>
          <w:trHeight w:val="20"/>
        </w:trPr>
        <w:tc>
          <w:tcPr>
            <w:tcW w:w="4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RSU activity (shares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6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44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Grant Date Fair</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 Term</w:t>
            </w: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Value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2024</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5.36</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5"/>
        </w:trPr>
        <w:tc>
          <w:tcPr>
            <w:tcW w:w="67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6,573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1.96</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6.05</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5.07</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2024</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12,178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3.30</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As of September 30, 2024, there was $32.0 million of total unrecognized compensation cost related to RSUs, which is expected to be recognized over a weighted average of 1.99 years.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PSUs are issued to a group of executives and generally time vest over periods ranging from one to three years from the grant date; vesting is generally also contingent upon achievement of applicable performance metrics or strategic objectives. Vesting of performance-based stock units granted can be tied to our total shareholder return, as measured relative to specified market indices during the applicable performance periods and be contingent upon continued service. The related stock-based compensation expense is recognized over the requisite service period and accounts for the probability that we will satisfy the performance measures or strategic objectives.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PSU activity (shares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6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44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Grant Date Fair</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 Term</w:t>
            </w: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Value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2024</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2,531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4.38</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5"/>
        </w:trPr>
        <w:tc>
          <w:tcPr>
            <w:tcW w:w="67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10.32</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Pr>
          <w:p>
            <w:pPr>
              <w:ind w:left="20"/>
              <w:spacing w:after="0"/>
              <w:rPr>
                <w:sz w:val="20"/>
                <w:szCs w:val="20"/>
                <w:color w:val="auto"/>
              </w:rPr>
            </w:pPr>
            <w:r>
              <w:rPr>
                <w:rFonts w:ascii="Arial" w:cs="Arial" w:eastAsia="Arial" w:hAnsi="Arial"/>
                <w:sz w:val="16"/>
                <w:szCs w:val="16"/>
                <w:color w:val="auto"/>
              </w:rPr>
              <w:t>Balance as of September 30, 2024</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4,007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2.89</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Total unrecognized compensation cost related to PSUs was $5.0 million as of September 30, 2024, which is expected to be recognized over a weighted average of 1.24 years.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 ("ESPP")</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September 30, 2024, there was approximately $2.2 million of unrecognized compensation cost related to employee stock purchases. This cost is expected to be recognized over a weighted average period of 0.8 years. As of September 30, 2024, a total of 1.6 million shares were available for issuance under the ESPP.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effective tax rate was (8.2)% and 5.0% for the three months ended September 30, 2024 and 2023, respectively, and (7.7)% and (4.9)% for the six months ended September 30, 2024 and 2023, respectively. The difference in the effective tax rate and the U.S. federal statutory rate was primarily due to the full valuation allowance the Company maintains against its deferred tax assets after adjusting for the impact of certain provisions enacted under the Tax Cuts and Jobs Act, current tax liabilities of profitable foreign subsidiaries subject to different local income tax rates, and state taxes in the United States. The effective tax rate is calculated by dividing the provision for income taxes by the loss before provision for income taxes.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NET LOSS PER SHARE</w:t>
      </w:r>
    </w:p>
    <w:p>
      <w:pPr>
        <w:spacing w:after="0" w:line="15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is a reconciliation of the weighted average number of common shares outstanding used in calculating basic and diluted net loss per share (in thousands, except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2880" w:type="dxa"/>
            <w:vAlign w:val="bottom"/>
            <w:gridSpan w:val="4"/>
          </w:tcPr>
          <w:p>
            <w:pPr>
              <w:jc w:val="right"/>
              <w:ind w:right="361"/>
              <w:spacing w:after="0"/>
              <w:rPr>
                <w:sz w:val="20"/>
                <w:szCs w:val="20"/>
                <w:color w:val="auto"/>
              </w:rPr>
            </w:pPr>
            <w:r>
              <w:rPr>
                <w:rFonts w:ascii="Arial" w:cs="Arial" w:eastAsia="Arial" w:hAnsi="Arial"/>
                <w:sz w:val="14"/>
                <w:szCs w:val="14"/>
                <w:b w:val="1"/>
                <w:bCs w:val="1"/>
                <w:color w:val="auto"/>
              </w:rPr>
              <w:t>Six Months Ended September 30,</w:t>
            </w:r>
          </w:p>
        </w:tc>
      </w:tr>
      <w:tr>
        <w:trPr>
          <w:trHeight w:val="196"/>
        </w:trPr>
        <w:tc>
          <w:tcPr>
            <w:tcW w:w="48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(22,779)</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 and diluted</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129,250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120,757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127,633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118,778</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 basic and 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the Company was in a loss position for all periods presented, basic net loss per share is equivalent to diluted net loss per share for all periods, as the inclusion of all potential shares of common stock outstanding would have been anti-dilutive. The following potentially weighted-average common shares were excluded from the calculation of diluted earnings per share because their inclusion would have been anti-dilutive (shares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7"/>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29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Restricted stock units and Performance stock units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7,309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9,878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attributable to the ESPP</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3,589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10"/>
        </w:trPr>
        <w:tc>
          <w:tcPr>
            <w:tcW w:w="4840" w:type="dxa"/>
            <w:vAlign w:val="bottom"/>
          </w:tcPr>
          <w:p>
            <w:pPr>
              <w:ind w:left="220"/>
              <w:spacing w:after="0"/>
              <w:rPr>
                <w:sz w:val="20"/>
                <w:szCs w:val="20"/>
                <w:color w:val="auto"/>
              </w:rPr>
            </w:pPr>
            <w:r>
              <w:rPr>
                <w:rFonts w:ascii="Arial" w:cs="Arial" w:eastAsia="Arial" w:hAnsi="Arial"/>
                <w:sz w:val="16"/>
                <w:szCs w:val="16"/>
                <w:color w:val="auto"/>
              </w:rPr>
              <w:t>Total anti-dilutive shares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11,256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11,129</w:t>
            </w:r>
          </w:p>
        </w:tc>
        <w:tc>
          <w:tcPr>
            <w:tcW w:w="0" w:type="dxa"/>
            <w:vAlign w:val="bottom"/>
          </w:tcPr>
          <w:p>
            <w:pPr>
              <w:spacing w:after="0"/>
              <w:rPr>
                <w:sz w:val="1"/>
                <w:szCs w:val="1"/>
                <w:color w:val="auto"/>
              </w:rPr>
            </w:pPr>
          </w:p>
        </w:tc>
      </w:tr>
      <w:tr>
        <w:trPr>
          <w:trHeight w:val="21"/>
        </w:trPr>
        <w:tc>
          <w:tcPr>
            <w:tcW w:w="4840" w:type="dxa"/>
            <w:vAlign w:val="bottom"/>
            <w:vMerge w:val="restart"/>
          </w:tcPr>
          <w:p>
            <w:pPr>
              <w:spacing w:after="0"/>
              <w:rPr>
                <w:sz w:val="20"/>
                <w:szCs w:val="20"/>
                <w:color w:val="auto"/>
              </w:rPr>
            </w:pPr>
            <w:r>
              <w:rPr>
                <w:rFonts w:ascii="Arial" w:cs="Arial" w:eastAsia="Arial" w:hAnsi="Arial"/>
                <w:sz w:val="16"/>
                <w:szCs w:val="16"/>
                <w:b w:val="1"/>
                <w:bCs w:val="1"/>
                <w:color w:val="auto"/>
              </w:rPr>
              <w:t>12. GEOGRAPHICAL INFORMATION</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480" w:type="dxa"/>
            <w:vAlign w:val="bottom"/>
            <w:gridSpan w:val="7"/>
          </w:tcPr>
          <w:p>
            <w:pPr>
              <w:spacing w:after="0"/>
              <w:rPr>
                <w:sz w:val="20"/>
                <w:szCs w:val="20"/>
                <w:color w:val="auto"/>
              </w:rPr>
            </w:pPr>
            <w:r>
              <w:rPr>
                <w:rFonts w:ascii="Arial" w:cs="Arial" w:eastAsia="Arial" w:hAnsi="Arial"/>
                <w:sz w:val="16"/>
                <w:szCs w:val="16"/>
                <w:color w:val="auto"/>
              </w:rPr>
              <w:t>The following tables set forth the geographic information for each period (in thousands):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7"/>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24"/>
                <w:szCs w:val="24"/>
                <w:color w:val="auto"/>
              </w:rPr>
            </w:pPr>
          </w:p>
        </w:tc>
        <w:tc>
          <w:tcPr>
            <w:tcW w:w="29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244,317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261,506</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32,428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31,487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61,634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61,327</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53,194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45,453</w:t>
            </w:r>
          </w:p>
        </w:tc>
        <w:tc>
          <w:tcPr>
            <w:tcW w:w="0" w:type="dxa"/>
            <w:vAlign w:val="bottom"/>
          </w:tcPr>
          <w:p>
            <w:pPr>
              <w:spacing w:after="0"/>
              <w:rPr>
                <w:sz w:val="1"/>
                <w:szCs w:val="1"/>
                <w:color w:val="auto"/>
              </w:rPr>
            </w:pPr>
          </w:p>
        </w:tc>
      </w:tr>
      <w:tr>
        <w:trPr>
          <w:trHeight w:val="209"/>
        </w:trPr>
        <w:tc>
          <w:tcPr>
            <w:tcW w:w="484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184,999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359,145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368,286</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48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140" w:type="dxa"/>
            <w:vAlign w:val="bottom"/>
            <w:tcBorders>
              <w:bottom w:val="single" w:sz="8" w:color="auto"/>
            </w:tcBorders>
            <w:gridSpan w:val="4"/>
          </w:tcPr>
          <w:p>
            <w:pPr>
              <w:jc w:val="right"/>
              <w:ind w:right="304"/>
              <w:spacing w:after="0"/>
              <w:rPr>
                <w:sz w:val="20"/>
                <w:szCs w:val="20"/>
                <w:color w:val="auto"/>
              </w:rPr>
            </w:pPr>
            <w:r>
              <w:rPr>
                <w:rFonts w:ascii="Arial" w:cs="Arial" w:eastAsia="Arial" w:hAnsi="Arial"/>
                <w:sz w:val="14"/>
                <w:szCs w:val="14"/>
                <w:b w:val="1"/>
                <w:bCs w:val="1"/>
                <w:color w:val="auto"/>
              </w:rPr>
              <w:t>September 30, 2024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1"/>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49,992</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3,189</w:t>
            </w:r>
          </w:p>
        </w:tc>
        <w:tc>
          <w:tcPr>
            <w:tcW w:w="0" w:type="dxa"/>
            <w:vAlign w:val="bottom"/>
          </w:tcPr>
          <w:p>
            <w:pPr>
              <w:spacing w:after="0"/>
              <w:rPr>
                <w:sz w:val="1"/>
                <w:szCs w:val="1"/>
                <w:color w:val="auto"/>
              </w:rPr>
            </w:pPr>
          </w:p>
        </w:tc>
      </w:tr>
      <w:tr>
        <w:trPr>
          <w:trHeight w:val="235"/>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50,364</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53,181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RELATED PARTY TRANSACTIONS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has been doing business with an outside sales and marketing vendor since December 2017, which became a related party in July 2022 when a member of the Company's board of directors joined the vendor's board of directors. The Company has a two-year contract with this vendor valued at $1.4 million and paid $0.4 million during the six months ended September 30, 2024.</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SUBSEQUENT EVENTS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2024 Delayed Draw Term Loan</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the terms of the 2024 Credit Agreement, the Company has the right to prepay the 2024 Term Loan at any time without any premium or penalty. On October 7, 2024, the Company paid $15.0 million of quarterly principal payments due October 31, 2024 and December 31, 2024, under the 2024 Term Loan. On November 1, 2024, the Company prepaid $18.0 million of additional principal payments. These short-term principal debt payments are accounted for as partial debt extinguishment transactions. As a result, the recognition of any associated unamortized debt discount and issuance costs of the 2024 Term Loan will be recognized within other expense, net, in the consolidated statement of operations for the three and nine months ended December 31, 2024. The remaining principal amount of the 2024 Term Loan after the payments is $167.0 million.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FCC Investigation of 8x8, Inc. and Fuze, Inc.</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With respect to the FCC Investigation of the Company and Fuze, Inc. discussed in Note </w:t>
      </w:r>
      <w:r>
        <w:rPr>
          <w:rFonts w:ascii="Arial" w:cs="Arial" w:eastAsia="Arial" w:hAnsi="Arial"/>
          <w:sz w:val="16"/>
          <w:szCs w:val="16"/>
          <w:color w:val="0000FF"/>
        </w:rPr>
        <w:t>7</w:t>
      </w:r>
      <w:r>
        <w:rPr>
          <w:rFonts w:ascii="Arial" w:cs="Arial" w:eastAsia="Arial" w:hAnsi="Arial"/>
          <w:sz w:val="16"/>
          <w:szCs w:val="16"/>
          <w:color w:val="auto"/>
        </w:rPr>
        <w:t>, Commitments and Contingencies, a Consent Decree was entered into with the FCC on November 1, 2024 under which the Company has agreed to implement a compliance plan, submit compliance reports to the FCC in certain intervals over the next three years and pay a civil penalty of $0.3 million, to be remitted to the FCC within thirty days. Subject to such requirements and other conditions enumerated under the Consent Decree, this concludes the FCC’s Investigation of the Company and Fuze, Inc. and the Company considers the matter to be closed.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Quarterly Report, particularly those set forth under the section entitled "Risk Factors" in the Form 10-K.</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a leading provider of software-as-a-service solutions for contact center, voice communications, video meetings, employee collaboration, and embeddable communication application program interfaces. Our solutions empower workforces worldwide by connecting individuals and teams so they can collaborate faster, work smarter, and better serve customers, from any location. The communications capabilities and advanced artificial intelligence/machine learning technologies of our contact center, communication and collaboration solutions are integrated into a comprehensive cloud-based offering powered by our global communications platform, which together comprise our 8x8 XCaaS platform solution. The XCaaS platform delivers our unified communications as-a-service, contact center as-a-service, and communications platform as-a-service services. It includes artificial intelligence-driven self service and digital assistance, intuitive user interfaces, and real-time business analytics and intelligence, enabling organizations of all sizes to design, deploy and adapt tailored communications and workflows for differentiated employee and customer experiences.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8x8 XCaaS platform delivers the security, scalability, high availability, and ease-of-use of a modern cloud-based architecture while masking the complexity of a global communications infrastructure. A comprehensive data layer across the platform powers 8x8 artificial intelligence/machine learning algorithms, as well as vertical-specific and purpose-built applications from our ecosystem of technology partners. This enables data-driven business insights that can drive employee productivity, resource optimization, and more effective end-customer interactions through simplified and automated workflows. Built with core cloud technologies that we own and manage internally, as well as integrated third-party applications from our technology partners, our XCaaS platform enables agile workplaces and fosters seamless communications and collaboration between an organization’s customers, contact center agents, and employees, regardless of geographic location.</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customers range from small businesses to large enterprises across all vertical markets, with users in more than 150 countries. In recent years, we have increased our focus on mid-market, enterprise, and public sector customers because these organizations typically have more complex communication and contact center requirements compared to the needs of small business customers. Organizations in these sectors – typically with 500 to 10,000 employees – are more likely to adopt multiple services and realize greater value from our unified, global communications platform and our growing product portfolio, including artificial intelligence-enabled solutions.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generate service revenue from subscriptions to our communications services, as well as from usage of our platform. Our service subscription plans are sold on a per-user basis and are structured with increasing levels of functionality (designated as X1, X2, etc., through X8), based on the specific communication needs and customer engagement profile of each user. Platform usage, including telephony minutes, messaging, SMS, and digital and voice chat bot interactions, encompasses committed usage, which may be bundled with our service subscription plans, and uncommitted usage, which is sold on an as-used basis. Uncommitted usage of our platform increased as a percentage of revenue in fiscal year 2024 and is expected to continue to increase in the future with the introduction of new platform usage solutions.</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AND OTHER FACTORS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subject to risks and exposures, including those caused by adverse economic conditions. Macroeconomic conditions that could adversely affect our business include the global economic slowdown, continued inflation, increased interest rates, supply chain disruptions, decreased economic output and fluctuations in currency exchange rates. We continuously monitor the direct and indirect impacts of these factors, as well as the overall global economy and geopolitical landscape on our business and financial results.</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While the implications of macroeconomic events on our business, results of operations and overall financial position remain uncertain over the long term, we expect that adverse economic conditions will continue to adversely impact our business in future periods. For example, our installed base business, which includes more than 52,000 small businesses, continues to experience macroeconomic headwinds.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AND OUTLOOK</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part of our long-term strategy to grow our revenue, achieve profitability, and increase cash flow, we have focused on expanding our mid-market, enterprise and public sector customer base. We believe that continued innovation is a critical factor in attracting and retaining these customers and is an important variable in achieving sustainable growth. We are committed to maintaining a high level of investment in engineering to deliver product innovation across our XCaaS platform, expand our ecosystem of integrated third-party applications, and maintain the high availability our customers require.</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primary focus involves the following: (i) accelerating innovation, particularly in our platform and contact center as-a-service, and (ii) establishing communications platform as-a-service leadership in the Asia Pacific region and leveraging these capabilities globally. We continue to innovate new products like 8x8 Engage, voice and digital Intelligent Customer Assistant, and Agent Assist, while enhancing our platform with new capabilities, such as the Customer Interaction Data Platform and composable agent and supervisor user interfaces. These innovations enable tightly integrated solutions that prioritize ease-of-use, out-of-the-box functionality, and rapid deployment for our target customers.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investment in innovation has been complemented by initiatives to manage the costs of delivering our services and improve our sales efficiency. We continue to monitor factors that could have an impact on customer buying behavior and demand, including macroeconomic conditions, the competitive environment, contract duration, churn, upsell and down-sell, renewals, and payment terms, all of which have caused variability in our results and may continue to do in the future. We expect the total dollar amount of cost of service revenue and as a percentage of revenue to vary with the amount of service revenue and the mix of subscription and usage revenue within service revenue. To improve our sales efficiency, we continue to invest in marketing programs to drive awareness for our solutions, and we have increased training for our sales teams, and invested in tools to increase productivity. We have also expanded our partner programs to extend our reach within our target customer market, placing increased emphasis on developing a community of value-added resellers who provide implementation services and Tier 1 customer support in addition to sales. To support our customers and partners, we have expanded our customer success organization and continue to invest in improvements to our back-office processes to increase our operational efficiency over time.</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GAAP OPERATING RESULTS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assess the success of our strategies to achieve growth and increase our cash flow, management reviews our financial performance as presented in our consolidated financial statements, including trends in revenue, gross profit margin, losses from operations, and cash flow generated by operations in absolute dollars and as a percentage of revenue as presented in the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Fiscal Year 2025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rPr>
              <w:t>Fiscal Year 2024</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20" w:type="dxa"/>
            <w:vAlign w:val="bottom"/>
          </w:tcPr>
          <w:p>
            <w:pPr>
              <w:spacing w:after="0"/>
              <w:rPr>
                <w:sz w:val="12"/>
                <w:szCs w:val="12"/>
                <w:color w:val="auto"/>
              </w:rPr>
            </w:pPr>
          </w:p>
        </w:tc>
        <w:tc>
          <w:tcPr>
            <w:tcW w:w="130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2024</w:t>
            </w: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Pr>
          <w:p>
            <w:pPr>
              <w:spacing w:after="0"/>
              <w:rPr>
                <w:sz w:val="12"/>
                <w:szCs w:val="12"/>
                <w:color w:val="auto"/>
              </w:rPr>
            </w:pPr>
          </w:p>
        </w:tc>
        <w:tc>
          <w:tcPr>
            <w:tcW w:w="128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2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189"/>
        </w:trPr>
        <w:tc>
          <w:tcPr>
            <w:tcW w:w="2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175,075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172,801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172,490</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175,069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177,782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175,238</w:t>
            </w: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97.0 %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96.1 %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96.1 %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95.6 %</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123,175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120,960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122,444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124,846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127,897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128,613</w:t>
            </w: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68.2 %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69.1 %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70.2 %</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(14,219)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(23,591)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(7,452)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(15,327)</w:t>
            </w:r>
          </w:p>
        </w:tc>
        <w:tc>
          <w:tcPr>
            <w:tcW w:w="0" w:type="dxa"/>
            <w:vAlign w:val="bottom"/>
          </w:tcPr>
          <w:p>
            <w:pPr>
              <w:spacing w:after="0"/>
              <w:rPr>
                <w:sz w:val="1"/>
                <w:szCs w:val="1"/>
                <w:color w:val="auto"/>
              </w:rPr>
            </w:pPr>
          </w:p>
        </w:tc>
      </w:tr>
      <w:tr>
        <w:trPr>
          <w:trHeight w:val="198"/>
        </w:trPr>
        <w:tc>
          <w:tcPr>
            <w:tcW w:w="278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12,653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17,463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Service revenue consists of communication services subscriptions, platform usage revenue, and related fees from our unified communications as-a-service, contact center as-a-service, and communications platform as-a-service offerings. We plan to increase service revenue through a combination of new customer acquisition, cross-sell of additional products to existing customers, including new products resulting from our increased investment in innovation, geographic expansion of our customer base outside the United States, and sales initiatives with our Technology Partner Ecosystem partners, and potential strategic acquisitions of technologies and businesses.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Other revenue consists of revenue from professional services, primarily for deployment of our solutions and/or platform, and revenue from sales and rentals of IP telephones in conjunction with our cloud telephony service. Other revenue is dependent on the number of customers who choose to purchase or rent IP telephone hardware in conjunction with our service instead of using the solution on their cell phone, computer, or other compatible device, and/or choose to engage our professional services organization for implementation and deployment of our cloud services.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Cost of service revenue consists primarily of costs associated with network operations and related personnel, technology licenses, amortization of capitalized internal-use software, other communication origination and termination services provided by third-party carriers, and other costs such as customer service, and technical support costs. We allocate overhead costs, such as information technology and facilities, to cost of service revenue, as well as to each of the operating expense categories, generally based on relative headcount. Our information technology costs include costs for information technology infrastructure and personnel. Facilities costs primarily consist of office leases and related expenses.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Other Revenue</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Cost of other revenue consists primarily of direct and indirect costs associated with the purchase, shipping and handling, and recycling of IP telephones as well as the personnel costs, and other expenditures incurred in connection with the professional services associated with the deployment and implementation of our products, and allocated information technology and facilities costs.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Research and development expenses consist primarily of personnel and related costs, third-party development, software and equipment costs necessary for us to conduct our product, platform development and engineering efforts, as well as allocated information technology and facilities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Sales and marketing expenses consist primarily of personnel and related costs, sales commissions, including those to channel partners, trade shows, advertising and other marketing, demand generation, and promotional expenses, as well as allocated information technology and facilities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General and administrative expenses consist primarily of personnel and related costs, professional services fees, corporate administrative costs, tax and regulatory fees, and allocated information technology and facilities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consists primarily of interest expense related to our term loan and convertible notes, and amortization of debt discount and issuance costs.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expense, net, consists primarily of gains or losses on debt extinguishment, gain or loss on warrant remeasurement, interest income, gains or losses on foreign exchange transactions, as well as other income.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(Benefit from) Income Taxes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Provision for (benefit from) income taxes consist primarily of foreign income taxes and state minimum taxes in the United States.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non-operating loss carryforwards.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 revenue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 September</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Six Months Ended September 30,</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4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177,782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44"/>
              <w:spacing w:after="0"/>
              <w:rPr>
                <w:sz w:val="20"/>
                <w:szCs w:val="20"/>
                <w:color w:val="auto"/>
              </w:rPr>
            </w:pPr>
            <w:r>
              <w:rPr>
                <w:rFonts w:ascii="Arial" w:cs="Arial" w:eastAsia="Arial" w:hAnsi="Arial"/>
                <w:sz w:val="16"/>
                <w:szCs w:val="16"/>
                <w:color w:val="auto"/>
              </w:rPr>
              <w:t>(2,707)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347,876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353,020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44"/>
              <w:spacing w:after="0"/>
              <w:rPr>
                <w:sz w:val="20"/>
                <w:szCs w:val="20"/>
                <w:color w:val="auto"/>
              </w:rPr>
            </w:pPr>
            <w:r>
              <w:rPr>
                <w:rFonts w:ascii="Arial" w:cs="Arial" w:eastAsia="Arial" w:hAnsi="Arial"/>
                <w:sz w:val="16"/>
                <w:szCs w:val="16"/>
                <w:color w:val="auto"/>
              </w:rPr>
              <w:t>(5,144)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2"/>
        </w:trPr>
        <w:tc>
          <w:tcPr>
            <w:tcW w:w="164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12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96.7 %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96.1 %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96.9 %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95.9 %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640" w:type="dxa"/>
            <w:vAlign w:val="bottom"/>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Service revenue decreased by $2.7 million, or 1.5%, for the three months ended September 30, 2024 compared to the three months ended September 30, 2023. This change was driven by a decrease in revenue from subscriptions of $3.8 million primarily due to a decline in revenue from customers on the Fuze platform partially offset by an increase of $1.1 million in platform usage revenue.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Service revenue decreased by $5.1 million, or 1.5%, for the six months ended September 30, 2024 compared to the six months ended September 30, 2023. This change was driven by a decrease in revenue from subscriptions of $9.6 million primarily due to a decline in revenue from customers on the Fuze platform offset by an increase of $4.5 million in platform usage revenue.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revenue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4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rPr>
              <w:t>Three Months Ended September</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Six Months Ended September 30,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6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7,217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4"/>
              <w:spacing w:after="0"/>
              <w:rPr>
                <w:sz w:val="20"/>
                <w:szCs w:val="20"/>
                <w:color w:val="auto"/>
              </w:rPr>
            </w:pPr>
            <w:r>
              <w:rPr>
                <w:rFonts w:ascii="Arial" w:cs="Arial" w:eastAsia="Arial" w:hAnsi="Arial"/>
                <w:sz w:val="16"/>
                <w:szCs w:val="16"/>
                <w:color w:val="auto"/>
              </w:rPr>
              <w:t>(1,294)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11,269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15,266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24"/>
              <w:spacing w:after="0"/>
              <w:rPr>
                <w:sz w:val="20"/>
                <w:szCs w:val="20"/>
                <w:color w:val="auto"/>
              </w:rPr>
            </w:pPr>
            <w:r>
              <w:rPr>
                <w:rFonts w:ascii="Arial" w:cs="Arial" w:eastAsia="Arial" w:hAnsi="Arial"/>
                <w:sz w:val="16"/>
                <w:szCs w:val="16"/>
                <w:color w:val="auto"/>
              </w:rPr>
              <w:t>(3,997)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2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revenue decreased by $1.3 million, or 17.9%, for the three months ended September 30, 2024 compared to the three months ended September 30, 2023, due to lower professional service and product revenue of $0.9 million and $0.4 million,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revenue decreased by $4.0 million, or 26.2%, for the six months ended September 30, 2024 compared to the six months ended September 30, 2023, due to lower professional service and product revenue of $2.6 million and $1.4 million,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service revenue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Three Months Ended September</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Six Months Ended September 30,</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6"/>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700" w:type="dxa"/>
            <w:vAlign w:val="bottom"/>
          </w:tcPr>
          <w:p>
            <w:pPr>
              <w:ind w:left="20"/>
              <w:spacing w:after="0" w:line="129" w:lineRule="exact"/>
              <w:rPr>
                <w:sz w:val="20"/>
                <w:szCs w:val="20"/>
                <w:color w:val="auto"/>
              </w:rPr>
            </w:pPr>
            <w:r>
              <w:rPr>
                <w:rFonts w:ascii="Arial" w:cs="Arial" w:eastAsia="Arial" w:hAnsi="Arial"/>
                <w:sz w:val="14"/>
                <w:szCs w:val="14"/>
                <w:i w:val="1"/>
                <w:iCs w:val="1"/>
                <w:color w:val="auto"/>
              </w:rPr>
              <w:t>(In thousands, except</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Cost of service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50,251</w:t>
            </w:r>
          </w:p>
        </w:tc>
        <w:tc>
          <w:tcPr>
            <w:tcW w:w="4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49,144</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524"/>
              <w:spacing w:after="0"/>
              <w:rPr>
                <w:sz w:val="20"/>
                <w:szCs w:val="20"/>
                <w:color w:val="auto"/>
              </w:rPr>
            </w:pPr>
            <w:r>
              <w:rPr>
                <w:rFonts w:ascii="Arial" w:cs="Arial" w:eastAsia="Arial" w:hAnsi="Arial"/>
                <w:sz w:val="16"/>
                <w:szCs w:val="16"/>
                <w:color w:val="auto"/>
              </w:rPr>
              <w:t>1,107</w:t>
            </w:r>
          </w:p>
        </w:tc>
        <w:tc>
          <w:tcPr>
            <w:tcW w:w="980" w:type="dxa"/>
            <w:vAlign w:val="bottom"/>
            <w:gridSpan w:val="3"/>
            <w:vMerge w:val="restart"/>
            <w:shd w:val="clear" w:color="auto" w:fill="CCEEFF"/>
          </w:tcPr>
          <w:p>
            <w:pPr>
              <w:jc w:val="right"/>
              <w:ind w:right="88"/>
              <w:spacing w:after="0"/>
              <w:rPr>
                <w:sz w:val="20"/>
                <w:szCs w:val="20"/>
                <w:color w:val="auto"/>
              </w:rPr>
            </w:pPr>
            <w:r>
              <w:rPr>
                <w:rFonts w:ascii="Arial" w:cs="Arial" w:eastAsia="Arial" w:hAnsi="Arial"/>
                <w:sz w:val="16"/>
                <w:szCs w:val="16"/>
                <w:color w:val="auto"/>
              </w:rPr>
              <w:t>2.3 %  $</w:t>
            </w: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99,747</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95,420</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524"/>
              <w:spacing w:after="0"/>
              <w:rPr>
                <w:sz w:val="20"/>
                <w:szCs w:val="20"/>
                <w:color w:val="auto"/>
              </w:rPr>
            </w:pPr>
            <w:r>
              <w:rPr>
                <w:rFonts w:ascii="Arial" w:cs="Arial" w:eastAsia="Arial" w:hAnsi="Arial"/>
                <w:sz w:val="16"/>
                <w:szCs w:val="16"/>
                <w:color w:val="auto"/>
              </w:rPr>
              <w:t>4,327</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44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line="162" w:lineRule="exact"/>
              <w:rPr>
                <w:sz w:val="20"/>
                <w:szCs w:val="20"/>
                <w:color w:val="auto"/>
              </w:rPr>
            </w:pPr>
            <w:r>
              <w:rPr>
                <w:rFonts w:ascii="Arial" w:cs="Arial" w:eastAsia="Arial" w:hAnsi="Arial"/>
                <w:sz w:val="16"/>
                <w:szCs w:val="16"/>
                <w:color w:val="auto"/>
              </w:rPr>
              <w:t>Percentage of service</w:t>
            </w:r>
          </w:p>
        </w:tc>
        <w:tc>
          <w:tcPr>
            <w:tcW w:w="12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28.7 %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27.6 %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28.7 %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Cost of service revenue increased by $1.1 million, or 2.3%, for the three months ended September 30, 2024 compared to the three months ended September 30, 2023, primarily due to an increase of $3.1 million in costs to deliver our subscription and platform usage services. This increase was partially offset by decreases of $1.1 million related to the amortization of capitalized software, $0.6 million in salaries, benefits, and consulting costs, and $0.3 million in software costs.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Cost of service revenue increased by $4.3 million, or 4.5%, for the six months ended September 30, 2024 compared to the six months ended September 30, 2023, primarily due to an increase of $8.2 million in costs to deliver our subscription and platform usage services. This increase was partially offset by decreases of $2.3 million related to the amortization of capitalized software, $1.0 million in software costs, and $0.6 million in salaries, benefits, and consulting costs.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other revenue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5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rPr>
              <w:t>Three Months Ended September</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Six Months Ended September 30,</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30,</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6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other revenue</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7,958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84"/>
              <w:spacing w:after="0"/>
              <w:rPr>
                <w:sz w:val="20"/>
                <w:szCs w:val="20"/>
                <w:color w:val="auto"/>
              </w:rPr>
            </w:pPr>
            <w:r>
              <w:rPr>
                <w:rFonts w:ascii="Arial" w:cs="Arial" w:eastAsia="Arial" w:hAnsi="Arial"/>
                <w:sz w:val="16"/>
                <w:szCs w:val="16"/>
                <w:color w:val="auto"/>
              </w:rPr>
              <w:t>(386)</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15,263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16,356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84"/>
              <w:spacing w:after="0"/>
              <w:rPr>
                <w:sz w:val="20"/>
                <w:szCs w:val="20"/>
                <w:color w:val="auto"/>
              </w:rPr>
            </w:pPr>
            <w:r>
              <w:rPr>
                <w:rFonts w:ascii="Arial" w:cs="Arial" w:eastAsia="Arial" w:hAnsi="Arial"/>
                <w:sz w:val="16"/>
                <w:szCs w:val="16"/>
                <w:color w:val="auto"/>
              </w:rPr>
              <w:t>(1,093)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line="162" w:lineRule="exact"/>
              <w:rPr>
                <w:sz w:val="20"/>
                <w:szCs w:val="20"/>
                <w:color w:val="auto"/>
              </w:rPr>
            </w:pPr>
            <w:r>
              <w:rPr>
                <w:rFonts w:ascii="Arial" w:cs="Arial" w:eastAsia="Arial" w:hAnsi="Arial"/>
                <w:sz w:val="16"/>
                <w:szCs w:val="16"/>
                <w:color w:val="auto"/>
              </w:rPr>
              <w:t>Percentage of other</w:t>
            </w:r>
          </w:p>
        </w:tc>
        <w:tc>
          <w:tcPr>
            <w:tcW w:w="26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127.8 %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110.3 %</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ind w:left="300"/>
              <w:spacing w:after="0"/>
              <w:rPr>
                <w:sz w:val="20"/>
                <w:szCs w:val="20"/>
                <w:color w:val="auto"/>
              </w:rPr>
            </w:pPr>
            <w:r>
              <w:rPr>
                <w:rFonts w:ascii="Arial" w:cs="Arial" w:eastAsia="Arial" w:hAnsi="Arial"/>
                <w:sz w:val="16"/>
                <w:szCs w:val="16"/>
                <w:color w:val="auto"/>
                <w:w w:val="98"/>
              </w:rPr>
              <w:t>135.4 %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ind w:left="300"/>
              <w:spacing w:after="0"/>
              <w:rPr>
                <w:sz w:val="20"/>
                <w:szCs w:val="20"/>
                <w:color w:val="auto"/>
              </w:rPr>
            </w:pPr>
            <w:r>
              <w:rPr>
                <w:rFonts w:ascii="Arial" w:cs="Arial" w:eastAsia="Arial" w:hAnsi="Arial"/>
                <w:sz w:val="16"/>
                <w:szCs w:val="16"/>
                <w:color w:val="auto"/>
              </w:rPr>
              <w:t>107.1 %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Cost of other revenue decreased by $0.4 million, or 4.9%, for the three months ended September 30, 2024 compared to the three months ended September 30, 2023, primarily due to $0.1 million decreased salaries, benefits, and consulting costs to deliver our professional services coupled with $0.3 million lower product costs associated with IP telephone hardware.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Cost of other revenue decreased by $1.1 million, or 6.7%, for the six months ended September 30, 2024 compared to the six months ended September 30, 2023, primarily due to $0.4 million decreased salaries, benefits, and consulting costs to deliver our professional services coupled with $0.7 million lower product costs associated with IP telephone hardware.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Three Months Ended September</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Six Months Ended September 30,</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Research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31,291</w:t>
            </w: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34,207</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444"/>
              <w:spacing w:after="0"/>
              <w:rPr>
                <w:sz w:val="20"/>
                <w:szCs w:val="20"/>
                <w:color w:val="auto"/>
              </w:rPr>
            </w:pPr>
            <w:r>
              <w:rPr>
                <w:rFonts w:ascii="Arial" w:cs="Arial" w:eastAsia="Arial" w:hAnsi="Arial"/>
                <w:sz w:val="16"/>
                <w:szCs w:val="16"/>
                <w:color w:val="auto"/>
              </w:rPr>
              <w:t>(2,916)</w:t>
            </w:r>
          </w:p>
        </w:tc>
        <w:tc>
          <w:tcPr>
            <w:tcW w:w="1020" w:type="dxa"/>
            <w:vAlign w:val="bottom"/>
            <w:gridSpan w:val="3"/>
            <w:vMerge w:val="restart"/>
            <w:shd w:val="clear" w:color="auto" w:fill="CCEEFF"/>
          </w:tcPr>
          <w:p>
            <w:pPr>
              <w:jc w:val="right"/>
              <w:ind w:right="88"/>
              <w:spacing w:after="0"/>
              <w:rPr>
                <w:sz w:val="20"/>
                <w:szCs w:val="20"/>
                <w:color w:val="auto"/>
              </w:rPr>
            </w:pPr>
            <w:r>
              <w:rPr>
                <w:rFonts w:ascii="Arial" w:cs="Arial" w:eastAsia="Arial" w:hAnsi="Arial"/>
                <w:sz w:val="16"/>
                <w:szCs w:val="16"/>
                <w:color w:val="auto"/>
              </w:rPr>
              <w:t>(8.5)%  $</w:t>
            </w: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63,428</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69,499</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464"/>
              <w:spacing w:after="0"/>
              <w:rPr>
                <w:sz w:val="20"/>
                <w:szCs w:val="20"/>
                <w:color w:val="auto"/>
              </w:rPr>
            </w:pPr>
            <w:r>
              <w:rPr>
                <w:rFonts w:ascii="Arial" w:cs="Arial" w:eastAsia="Arial" w:hAnsi="Arial"/>
                <w:sz w:val="16"/>
                <w:szCs w:val="16"/>
                <w:color w:val="auto"/>
              </w:rPr>
              <w:t>(6,071)</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development</w:t>
            </w: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46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12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17.3 %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18.5 %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17.7 %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18.9 %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Research and development expenses decreased by $2.9 million, or 8.5%, for the three months ended September 30, 2024 compared to the three months ended September 30, 2023, primarily due to a decrease of $2.0 million in stock-based compensation and $0.9 million in combined salaries, benefits, consulting and other costs necessary for us to conduct our product, platform development and engineering efforts.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Research and development expenses decreased by $6.1 million, or 8.7%, for the six months ended September 30, 2024 compared to the six months ended September 30, 2023, primarily due to a decrease of $4.6 million in stock-based compensation and $1.5 million in combined salaries, benefits, consulting and other costs necessary for us to conduct our product, platform development and engineering efforts.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marketing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Three Months Ended September</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Six Months Ended September 30,</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line="135" w:lineRule="exact"/>
              <w:rPr>
                <w:sz w:val="20"/>
                <w:szCs w:val="20"/>
                <w:color w:val="auto"/>
              </w:rPr>
            </w:pPr>
            <w:r>
              <w:rPr>
                <w:rFonts w:ascii="Arial" w:cs="Arial" w:eastAsia="Arial" w:hAnsi="Arial"/>
                <w:sz w:val="14"/>
                <w:szCs w:val="14"/>
                <w:i w:val="1"/>
                <w:iCs w:val="1"/>
                <w:color w:val="auto"/>
              </w:rPr>
              <w:t>(In thousands, except</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800" w:type="dxa"/>
            <w:vAlign w:val="bottom"/>
            <w:gridSpan w:val="2"/>
          </w:tcPr>
          <w:p>
            <w:pPr>
              <w:ind w:left="20"/>
              <w:spacing w:after="0"/>
              <w:rPr>
                <w:sz w:val="20"/>
                <w:szCs w:val="20"/>
                <w:color w:val="auto"/>
              </w:rPr>
            </w:pPr>
            <w:r>
              <w:rPr>
                <w:rFonts w:ascii="Arial" w:cs="Arial" w:eastAsia="Arial" w:hAnsi="Arial"/>
                <w:sz w:val="14"/>
                <w:szCs w:val="14"/>
                <w:i w:val="1"/>
                <w:iCs w:val="1"/>
                <w:color w:val="auto"/>
              </w:rPr>
              <w:t>percentages)</w:t>
            </w: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64,867</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68,687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444"/>
              <w:spacing w:after="0"/>
              <w:rPr>
                <w:sz w:val="20"/>
                <w:szCs w:val="20"/>
                <w:color w:val="auto"/>
              </w:rPr>
            </w:pPr>
            <w:r>
              <w:rPr>
                <w:rFonts w:ascii="Arial" w:cs="Arial" w:eastAsia="Arial" w:hAnsi="Arial"/>
                <w:sz w:val="16"/>
                <w:szCs w:val="16"/>
                <w:color w:val="auto"/>
              </w:rPr>
              <w:t>(3,820)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131,973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137,191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6"/>
                <w:szCs w:val="16"/>
                <w:color w:val="auto"/>
              </w:rPr>
              <w:t>(5,218)</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62"/>
        </w:trPr>
        <w:tc>
          <w:tcPr>
            <w:tcW w:w="18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35.8 %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37.1 %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36.7 %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37.3 %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800" w:type="dxa"/>
            <w:vAlign w:val="bottom"/>
            <w:gridSpan w:val="2"/>
          </w:tcPr>
          <w:p>
            <w:pPr>
              <w:ind w:left="20"/>
              <w:spacing w:after="0"/>
              <w:rPr>
                <w:sz w:val="20"/>
                <w:szCs w:val="20"/>
                <w:color w:val="auto"/>
              </w:rPr>
            </w:pPr>
            <w:r>
              <w:rPr>
                <w:rFonts w:ascii="Arial" w:cs="Arial" w:eastAsia="Arial" w:hAnsi="Arial"/>
                <w:sz w:val="16"/>
                <w:szCs w:val="16"/>
                <w:color w:val="auto"/>
              </w:rPr>
              <w:t>revenue</w:t>
            </w: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Sales and marketing expenses decreased by $3.8 million, or 5.6%, for the three months ended September 30, 2024 compared to the three months ended September 30, 2023, primarily due to decreases of $2.3 million in channel commissions and amortization of deferred commissions, $1.9 million in stock-based compensation expense, and $0.5 million in paid media and other marketing services costs. These decreases were partially offset by an increase of $0.9 million in salaries, benefits, and consulting costs.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and marketing expenses decreased by $5.2 million, or 3.8%, for the six months ended September 30, 2024 compared to the six months ended September 30, 2023, primarily due to decreases of $3.7 million in stock-based compensation expense, $2.8 million in channel commissions and amortization of deferred commissions, and $1.1 million in paid media and other marketing services costs. These decreases were partially offset by an increase of $2.4 million in salaries, benefits, and consulting costs.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5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rPr>
              <w:t>Three Months Ended September</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Six Months Ended September 30,</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30,</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General and</w:t>
            </w: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19,848</w:t>
            </w: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27,586</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424"/>
              <w:spacing w:after="0"/>
              <w:rPr>
                <w:sz w:val="20"/>
                <w:szCs w:val="20"/>
                <w:color w:val="auto"/>
              </w:rPr>
            </w:pPr>
            <w:r>
              <w:rPr>
                <w:rFonts w:ascii="Arial" w:cs="Arial" w:eastAsia="Arial" w:hAnsi="Arial"/>
                <w:sz w:val="16"/>
                <w:szCs w:val="16"/>
                <w:color w:val="auto"/>
              </w:rPr>
              <w:t>(7,738)</w:t>
            </w:r>
          </w:p>
        </w:tc>
        <w:tc>
          <w:tcPr>
            <w:tcW w:w="1060" w:type="dxa"/>
            <w:vAlign w:val="bottom"/>
            <w:gridSpan w:val="3"/>
            <w:vMerge w:val="restart"/>
            <w:shd w:val="clear" w:color="auto" w:fill="CCEEFF"/>
          </w:tcPr>
          <w:p>
            <w:pPr>
              <w:jc w:val="right"/>
              <w:ind w:right="88"/>
              <w:spacing w:after="0"/>
              <w:rPr>
                <w:sz w:val="20"/>
                <w:szCs w:val="20"/>
                <w:color w:val="auto"/>
              </w:rPr>
            </w:pPr>
            <w:r>
              <w:rPr>
                <w:rFonts w:ascii="Arial" w:cs="Arial" w:eastAsia="Arial" w:hAnsi="Arial"/>
                <w:sz w:val="16"/>
                <w:szCs w:val="16"/>
                <w:color w:val="auto"/>
              </w:rPr>
              <w:t>(28.1)%  $</w:t>
            </w:r>
          </w:p>
        </w:tc>
        <w:tc>
          <w:tcPr>
            <w:tcW w:w="9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42,939</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53,812</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424"/>
              <w:spacing w:after="0"/>
              <w:rPr>
                <w:sz w:val="20"/>
                <w:szCs w:val="20"/>
                <w:color w:val="auto"/>
              </w:rPr>
            </w:pPr>
            <w:r>
              <w:rPr>
                <w:rFonts w:ascii="Arial" w:cs="Arial" w:eastAsia="Arial" w:hAnsi="Arial"/>
                <w:sz w:val="16"/>
                <w:szCs w:val="16"/>
                <w:color w:val="auto"/>
              </w:rPr>
              <w:t>(10,873)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2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6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26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14.9 %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General and administrative expenses decreased by $7.7 million, or 28.1%, for the three months ended September 30, 2024 compared to the three months ended September 30, 2023, primarily due to a $7.2 million decrease associated with Fuze, Inc. legal, regulatory and tax matters. During the three months ended September 30, 2024, we adjusted accruals related to USF and other Fuze, Inc. legal, regulatory and tax matters and recognized a benefit of $3.2 million, compared to $4.3 million of expenses recognized during the three months ended September 30, 2023. The decrease was also due to decreases of $1.0 million in stock-based compensation expense and $0.6 million in salaries, benefits, and consulting costs. These decreases were partially offset by an increase of $1.1 million in other general corporate costs.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General and administrative expenses decreased by $10.9 million, or 20.2%, for the six months ended September 30, 2024 compared to the six months ended September 30, 2023, primarily due to a $8.2 million decrease associated with Fuze, Inc regulatory and tax matters. During the six months ended September 30, 2024, we adjusted accruals related to USF and other Fuze, Inc. legal, regulatory and tax matters and recognized a benefit of $3.2 million, compared to $5.5 million of expenses recognized during the six months ended September 30, 2023. The decrease was also due to decreases of $2.4 million in salaries, benefits, and consulting costs and $1.4 million in stock-based compensation expense. These decreases were partially offset by an increase of $1.1 million in other general corporate costs.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Three Months Ended September</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Six Months Ended September 30,</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640" w:type="dxa"/>
            <w:vAlign w:val="bottom"/>
          </w:tcPr>
          <w:p>
            <w:pPr>
              <w:ind w:left="20"/>
              <w:spacing w:after="0" w:line="129" w:lineRule="exact"/>
              <w:rPr>
                <w:sz w:val="20"/>
                <w:szCs w:val="20"/>
                <w:color w:val="auto"/>
              </w:rPr>
            </w:pPr>
            <w:r>
              <w:rPr>
                <w:rFonts w:ascii="Arial" w:cs="Arial" w:eastAsia="Arial" w:hAnsi="Arial"/>
                <w:sz w:val="14"/>
                <w:szCs w:val="14"/>
                <w:i w:val="1"/>
                <w:iCs w:val="1"/>
                <w:color w:val="auto"/>
              </w:rPr>
              <w:t>(In thousands, except</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(10,061)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2,156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(17,861)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(20,139)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2,278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62"/>
        </w:trPr>
        <w:tc>
          <w:tcPr>
            <w:tcW w:w="164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12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640" w:type="dxa"/>
            <w:vAlign w:val="bottom"/>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Interest expense decreased by $2.2 million, or 21.4%, for the three months ended September 30, 2024 compared to the three months ended September 30, 2023, primarily due to the 2022 Term Loan debt extinguishment and decreased interest rate and principal on the 2024 Term Loan.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for further details.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Interest expense decreased by $2.3 million, or 11.3%, for the six months ended September 30, 2024 compared to the six months ended September 30, 2023, primarily due to the 2022 Term Loan debt extinguishment and decreased interest rate and principal on the 2024 Term Loan.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for further details.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 net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40" w:type="dxa"/>
            <w:vAlign w:val="bottom"/>
          </w:tcPr>
          <w:p>
            <w:pPr>
              <w:spacing w:after="0"/>
              <w:rPr>
                <w:sz w:val="17"/>
                <w:szCs w:val="17"/>
                <w:color w:val="auto"/>
              </w:rPr>
            </w:pPr>
          </w:p>
        </w:tc>
        <w:tc>
          <w:tcPr>
            <w:tcW w:w="25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5"/>
          </w:tcPr>
          <w:p>
            <w:pPr>
              <w:spacing w:after="0"/>
              <w:rPr>
                <w:sz w:val="20"/>
                <w:szCs w:val="20"/>
                <w:color w:val="auto"/>
              </w:rPr>
            </w:pPr>
            <w:r>
              <w:rPr>
                <w:rFonts w:ascii="Arial" w:cs="Arial" w:eastAsia="Arial" w:hAnsi="Arial"/>
                <w:sz w:val="14"/>
                <w:szCs w:val="14"/>
                <w:b w:val="1"/>
                <w:bCs w:val="1"/>
                <w:color w:val="auto"/>
              </w:rPr>
              <w:t>Six Months Ended September 30,</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740" w:type="dxa"/>
            <w:vAlign w:val="bottom"/>
          </w:tcPr>
          <w:p>
            <w:pPr>
              <w:ind w:left="20"/>
              <w:spacing w:after="0" w:line="131" w:lineRule="exact"/>
              <w:rPr>
                <w:sz w:val="20"/>
                <w:szCs w:val="20"/>
                <w:color w:val="auto"/>
              </w:rPr>
            </w:pPr>
            <w:r>
              <w:rPr>
                <w:rFonts w:ascii="Arial" w:cs="Arial" w:eastAsia="Arial" w:hAnsi="Arial"/>
                <w:sz w:val="14"/>
                <w:szCs w:val="14"/>
                <w:i w:val="1"/>
                <w:iCs w:val="1"/>
                <w:color w:val="auto"/>
              </w:rPr>
              <w:t>(In thousands, except</w:t>
            </w: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Other income</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(12,709)</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4,803</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464"/>
              <w:spacing w:after="0"/>
              <w:rPr>
                <w:sz w:val="20"/>
                <w:szCs w:val="20"/>
                <w:color w:val="auto"/>
              </w:rPr>
            </w:pPr>
            <w:r>
              <w:rPr>
                <w:rFonts w:ascii="Arial" w:cs="Arial" w:eastAsia="Arial" w:hAnsi="Arial"/>
                <w:sz w:val="16"/>
                <w:szCs w:val="16"/>
                <w:color w:val="auto"/>
              </w:rPr>
              <w:t>(17,512)</w:t>
            </w:r>
          </w:p>
        </w:tc>
        <w:tc>
          <w:tcPr>
            <w:tcW w:w="740" w:type="dxa"/>
            <w:vAlign w:val="bottom"/>
            <w:gridSpan w:val="3"/>
            <w:vMerge w:val="restart"/>
            <w:shd w:val="clear" w:color="auto" w:fill="CCEEFF"/>
          </w:tcPr>
          <w:p>
            <w:pPr>
              <w:ind w:left="260"/>
              <w:spacing w:after="0"/>
              <w:rPr>
                <w:sz w:val="20"/>
                <w:szCs w:val="20"/>
                <w:color w:val="auto"/>
              </w:rPr>
            </w:pPr>
            <w:r>
              <w:rPr>
                <w:rFonts w:ascii="Arial" w:cs="Arial" w:eastAsia="Arial" w:hAnsi="Arial"/>
                <w:sz w:val="16"/>
                <w:szCs w:val="16"/>
                <w:color w:val="auto"/>
              </w:rPr>
              <w:t>NM  $</w:t>
            </w:r>
          </w:p>
        </w:tc>
        <w:tc>
          <w:tcPr>
            <w:tcW w:w="110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(10,993)</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2,407</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ind w:right="484"/>
              <w:spacing w:after="0"/>
              <w:rPr>
                <w:sz w:val="20"/>
                <w:szCs w:val="20"/>
                <w:color w:val="auto"/>
              </w:rPr>
            </w:pPr>
            <w:r>
              <w:rPr>
                <w:rFonts w:ascii="Arial" w:cs="Arial" w:eastAsia="Arial" w:hAnsi="Arial"/>
                <w:sz w:val="16"/>
                <w:szCs w:val="16"/>
                <w:color w:val="auto"/>
              </w:rPr>
              <w:t>(13,400)</w:t>
            </w:r>
          </w:p>
        </w:tc>
        <w:tc>
          <w:tcPr>
            <w:tcW w:w="54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 net</w:t>
            </w:r>
          </w:p>
        </w:tc>
        <w:tc>
          <w:tcPr>
            <w:tcW w:w="2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2.6 %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0.7 %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recognized $12.7 million of other expense, net during the three months ended September 30, 2024 compared to $4.8 million of other expense, net during the three months ended September 30, 2023, primarily due to a $12.0 million loss of debt extinguishment due to the payoff of the 2022 Term Loan, a $3.3 million increase in loss on foreign exchange and other expenses, and a $2.5 million gain on the remeasurement of warrants issued in connection with the term loan. These expense increases were offset by a $0.3 million increase in interest income earned on highly liquid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recognized $11.0 million of other expense, net during the six months ended September 30, 2024 compared to $2.4 million of other expense, net during the six months ended September 30, 2023 primarily due to a $10.2 million increase on loss of debt extinguishment due to the payoff of the 2022 Term Loan, a $3.4 million increase in loss on foreign exchange and other expenses, and a $0.5 million gain on the remeasurement of warrants issued in connection with the term loan. These expense increases were offset by a $0.7 million increase in interest income earned on highly liquid investments.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 September</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Six Months Ended September 30,</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6"/>
            <w:vMerge w:val="continue"/>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780" w:type="dxa"/>
            <w:vAlign w:val="bottom"/>
          </w:tcPr>
          <w:p>
            <w:pPr>
              <w:ind w:left="20"/>
              <w:spacing w:after="0" w:line="129" w:lineRule="exact"/>
              <w:rPr>
                <w:sz w:val="20"/>
                <w:szCs w:val="20"/>
                <w:color w:val="auto"/>
              </w:rPr>
            </w:pPr>
            <w:r>
              <w:rPr>
                <w:rFonts w:ascii="Arial" w:cs="Arial" w:eastAsia="Arial" w:hAnsi="Arial"/>
                <w:sz w:val="14"/>
                <w:szCs w:val="14"/>
                <w:i w:val="1"/>
                <w:iCs w:val="1"/>
                <w:color w:val="auto"/>
              </w:rPr>
              <w:t>(In thousands, except</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Provision (benefit) for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4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(389)</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544"/>
              <w:spacing w:after="0"/>
              <w:rPr>
                <w:sz w:val="20"/>
                <w:szCs w:val="20"/>
                <w:color w:val="auto"/>
              </w:rPr>
            </w:pPr>
            <w:r>
              <w:rPr>
                <w:rFonts w:ascii="Arial" w:cs="Arial" w:eastAsia="Arial" w:hAnsi="Arial"/>
                <w:sz w:val="16"/>
                <w:szCs w:val="16"/>
                <w:color w:val="auto"/>
              </w:rPr>
              <w:t>1,487</w:t>
            </w:r>
          </w:p>
        </w:tc>
        <w:tc>
          <w:tcPr>
            <w:tcW w:w="900" w:type="dxa"/>
            <w:vAlign w:val="bottom"/>
            <w:gridSpan w:val="3"/>
            <w:vMerge w:val="restart"/>
            <w:shd w:val="clear" w:color="auto" w:fill="CCEEFF"/>
          </w:tcPr>
          <w:p>
            <w:pPr>
              <w:ind w:left="280"/>
              <w:spacing w:after="0"/>
              <w:rPr>
                <w:sz w:val="20"/>
                <w:szCs w:val="20"/>
                <w:color w:val="auto"/>
              </w:rPr>
            </w:pPr>
            <w:r>
              <w:rPr>
                <w:rFonts w:ascii="Arial" w:cs="Arial" w:eastAsia="Arial" w:hAnsi="Arial"/>
                <w:sz w:val="16"/>
                <w:szCs w:val="16"/>
                <w:color w:val="auto"/>
              </w:rPr>
              <w:t>NM  $</w:t>
            </w: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1,774</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544"/>
              <w:spacing w:after="0"/>
              <w:rPr>
                <w:sz w:val="20"/>
                <w:szCs w:val="20"/>
                <w:color w:val="auto"/>
              </w:rPr>
            </w:pPr>
            <w:r>
              <w:rPr>
                <w:rFonts w:ascii="Arial" w:cs="Arial" w:eastAsia="Arial" w:hAnsi="Arial"/>
                <w:sz w:val="16"/>
                <w:szCs w:val="16"/>
                <w:color w:val="auto"/>
              </w:rPr>
              <w:t>719</w:t>
            </w:r>
          </w:p>
        </w:tc>
        <w:tc>
          <w:tcPr>
            <w:tcW w:w="54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44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12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80" w:type="dxa"/>
            <w:vAlign w:val="bottom"/>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provision for income taxes increased by $1.5 million for the three months ended September 30, 2024 compared to the three months ended September 30, 2023, driven by an increase in forecasted foreign tax expense of $0.6 million and an increase in forecasted state tax expense of $0.6 million, a decrease</w:t>
      </w:r>
    </w:p>
    <w:p>
      <w:pPr>
        <w:spacing w:after="0"/>
        <w:rPr>
          <w:sz w:val="20"/>
          <w:szCs w:val="20"/>
          <w:color w:val="auto"/>
        </w:rPr>
      </w:pPr>
      <w:r>
        <w:rPr>
          <w:rFonts w:ascii="Arial" w:cs="Arial" w:eastAsia="Arial" w:hAnsi="Arial"/>
          <w:sz w:val="16"/>
          <w:szCs w:val="16"/>
          <w:color w:val="auto"/>
        </w:rPr>
        <w:t>in our ASC 740-10 contingent liability of $0.5 million offset by a decrease in forecasted federal tax expense of $0.2 million.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65"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The provision for income taxes increased by $0.7 million for the six months ended September 30, 2024 compared to the six months ended September 30, 2023, driven by an increase in forecasted state tax expense of $0.7 million, a decrease in our ASC 740-10 contingent liability of $0.2 million offset by a decrease in forecasted federal tax expense of $0.2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that our existing cash, cash equivalents and our anticipated cash flows from operations will be sufficient to meet our working capital, expenditure, and contractual obligation requirements for a minimum of the next twelve months and the foreseeable future. Although we believe we have adequate sources of liquidity for at least the next twelve months and for the foreseeable future, the success of our operations, the global economic outlook, and the pace of growth in our markets could impact our business and liquidity.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Pr>
          <w:p>
            <w:pPr>
              <w:spacing w:after="0"/>
              <w:rPr>
                <w:sz w:val="20"/>
                <w:szCs w:val="20"/>
                <w:color w:val="auto"/>
              </w:rPr>
            </w:pPr>
            <w:r>
              <w:rPr>
                <w:rFonts w:ascii="Arial" w:cs="Arial" w:eastAsia="Arial" w:hAnsi="Arial"/>
                <w:sz w:val="16"/>
                <w:szCs w:val="16"/>
                <w:i w:val="1"/>
                <w:iCs w:val="1"/>
                <w:color w:val="auto"/>
              </w:rPr>
              <w:t>Cash, Cash Equivalents, and Investments</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38"/>
        </w:trPr>
        <w:tc>
          <w:tcPr>
            <w:tcW w:w="6780" w:type="dxa"/>
            <w:vAlign w:val="bottom"/>
          </w:tcPr>
          <w:p>
            <w:pPr>
              <w:spacing w:after="0"/>
              <w:rPr>
                <w:sz w:val="20"/>
                <w:szCs w:val="20"/>
                <w:color w:val="auto"/>
              </w:rPr>
            </w:pPr>
            <w:r>
              <w:rPr>
                <w:rFonts w:ascii="Arial" w:cs="Arial" w:eastAsia="Arial" w:hAnsi="Arial"/>
                <w:sz w:val="16"/>
                <w:szCs w:val="16"/>
                <w:color w:val="auto"/>
              </w:rPr>
              <w:t>The following is a summary of our cash and cash equivalents and investments:</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80"/>
        </w:trPr>
        <w:tc>
          <w:tcPr>
            <w:tcW w:w="67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24"/>
                <w:szCs w:val="24"/>
                <w:color w:val="auto"/>
              </w:rPr>
            </w:pPr>
          </w:p>
        </w:tc>
        <w:tc>
          <w:tcPr>
            <w:tcW w:w="20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2024</w:t>
            </w:r>
          </w:p>
        </w:tc>
        <w:tc>
          <w:tcPr>
            <w:tcW w:w="300" w:type="dxa"/>
            <w:vAlign w:val="bottom"/>
          </w:tcPr>
          <w:p>
            <w:pPr>
              <w:spacing w:after="0"/>
              <w:rPr>
                <w:sz w:val="24"/>
                <w:szCs w:val="24"/>
                <w:color w:val="auto"/>
              </w:rPr>
            </w:pPr>
          </w:p>
        </w:tc>
        <w:tc>
          <w:tcPr>
            <w:tcW w:w="188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31, 2024</w:t>
            </w: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117,405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116,262</w:t>
            </w:r>
          </w:p>
        </w:tc>
      </w:tr>
      <w:tr>
        <w:trPr>
          <w:trHeight w:val="216"/>
        </w:trPr>
        <w:tc>
          <w:tcPr>
            <w:tcW w:w="6780" w:type="dxa"/>
            <w:vAlign w:val="bottom"/>
          </w:tcPr>
          <w:p>
            <w:pPr>
              <w:ind w:left="20"/>
              <w:spacing w:after="0" w:line="216" w:lineRule="exact"/>
              <w:rPr>
                <w:sz w:val="20"/>
                <w:szCs w:val="20"/>
                <w:color w:val="auto"/>
              </w:rPr>
            </w:pPr>
            <w:r>
              <w:rPr>
                <w:rFonts w:ascii="Arial" w:cs="Arial" w:eastAsia="Arial" w:hAnsi="Arial"/>
                <w:sz w:val="16"/>
                <w:szCs w:val="16"/>
                <w:color w:val="auto"/>
              </w:rPr>
              <w:t>Restricted cash, current</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r>
      <w:tr>
        <w:trPr>
          <w:trHeight w:val="216"/>
        </w:trPr>
        <w:tc>
          <w:tcPr>
            <w:tcW w:w="6780" w:type="dxa"/>
            <w:vAlign w:val="bottom"/>
          </w:tcPr>
          <w:p>
            <w:pPr>
              <w:ind w:left="20"/>
              <w:spacing w:after="0" w:line="216" w:lineRule="exact"/>
              <w:rPr>
                <w:sz w:val="20"/>
                <w:szCs w:val="20"/>
                <w:color w:val="auto"/>
              </w:rPr>
            </w:pPr>
            <w:r>
              <w:rPr>
                <w:rFonts w:ascii="Arial" w:cs="Arial" w:eastAsia="Arial" w:hAnsi="Arial"/>
                <w:sz w:val="16"/>
                <w:szCs w:val="16"/>
                <w:color w:val="auto"/>
              </w:rPr>
              <w:t>Restricted cash, non-current</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2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35"/>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117,771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(1) Restricted cash supports letters of credit securing leases for office facilities and certain equipment for the same periods.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primary requirements for liquidity and capital are working capital needs due to delivery of our various products to customers, research and development, sales and marketing activities, principal and interest payments on our outstanding debt and other general corporate needs. Historically, these cash requirements have been met from cash provided by operating activities and our cash and cash equivalents balances. Our current capital deployment strategy for fiscal year 2025 is to use excess cash on hand to support our continued growth initiatives into select markets and planned software development activities and pay down our debt. As of September 30, 2024, we are not party to any off-balance sheet arrangements that have had or are reasonably likely to have a current or future material effect on our financial condition, results of operations, liquidity, capital expenditures, or capital resources. Significant cash requirements for the fiscal year include our operating lease obligations, interest payments related to our debt obligations, and operating and capital purchase commitments. For information regarding our expected cash requirements and timing of payments related to leases and non-cancelable purchase commitments, see Note 6, Leases, and Note 7, Commitments and Contingencies, respectively, to the consolidated financial statements in our Form 10-K. Additionally, see Note 8, Convertible Senior Notes and Term Loan, to the consolidated financial statements in our Form 10-K for more information related to our debt obligations and applicable covenants.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aware that our 2028 Notes are currently trading at a substantial discount to their respective principal amount. Furthermore, our outstanding 2024 Term Loan allows for voluntary prepayments. In order to reduce future cash interest payments, as well as future amounts due at maturity or upon redemption, we may, from time to time, make prepayments on our 2024 Term Loan, and seek to retire or purchase our outstanding debt through open-market purchases, privately negotiated transactions or otherwise. Any such transactions will be dependent upon several factors, including our liquidity requirements, contractual restrictions, prevailing market conditions, and other factors. Whether or not we engage in any such transactions will be determined at our discretion. The amounts involved may be material.</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our cash flows provided by (used in) operating, investing and financing activities: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Six Months Ended September 30,</w:t>
            </w:r>
          </w:p>
        </w:tc>
      </w:tr>
      <w:tr>
        <w:trPr>
          <w:trHeight w:val="20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2023</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43,936</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(7,204)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12,735</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(22,635)</w:t>
            </w: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w:t>
            </w:r>
          </w:p>
        </w:tc>
      </w:tr>
      <w:tr>
        <w:trPr>
          <w:trHeight w:val="23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32,284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Cash provided by operating activities decreased by $13.5 million to $30.5 million for the six months ended September 30, 2024, mainly due to a decrease in cash received from customers and an increase in cash paid to suppliers and employees along with an increase in cash paid for sales commission costs. Cash used in investing activities decreased $19.9 million to $7.2 million for the six months ended September 30, 2024, mainly due to decreases in the purchases, sales, and maturities of investments. Cash used in financing activities increased by $2.5 million to $25.1 million for the six months ended September 30, 2024, due to payments for debt issuance costs and other financing activities.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Obligations</w:t>
      </w:r>
    </w:p>
    <w:p>
      <w:pPr>
        <w:spacing w:after="0" w:line="1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in the unaudited condensed consolidated financial statements included elsewhere in this Quarterly Report for information regarding our debt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2024 Delayed Draw Term Loan</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July 11, 2024, we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5, 2024, we drew upon the entire facility of $200.0 million under the delayed draw term loan facility (the "2024 Term Loan") and used the proceeds of the 2024 Term Loan and cash on hand of approximately $29.0 million to repay in full the $225.0 million of outstanding principal amount and accrued interest of the 2022 Term Loan and the fees incurred in connection with the repayment (the "Repayment").</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2024 Term Loan bears interest at an annual rate equal to Term SOFR, plus a margin of either 2.50%, 2.75% or 3.00% based on the consolidated total net leverage ratio of the Company and its subsidiaries. The initial margin will be 3.00% for the fiscal quarter ending September 30, 2024. We have the option to pay interest monthly, quarterly, or semi-annually. During the three months ended September 30, 2024, we elected monthly interest payment terms which resulted in cash payments of $2.9 million from August 5, 2024. During the three months ended December 31, 2024, we have elected quarterly interest payment terms, which will result in cash payments of $3.4 million. The scheduled principal repayments of $22.5 million in fiscal year 2025 ($7.5 million on October 31, 2024, December 31, 2024 and March 31, 2025, respectively), $37.5 million in fiscal year 2026 ($7.5 million on June 30, 2025 and $10.0 million on September 30, 2025, December 31, 2025 and March 31, 2026, respectively), and $47.5 million in fiscal year 2027 ($10.0 million on June 30, 2026, $12.5 million on September 30, 2026 and each quarter thereafter through maturity) are required, and the remaining $92.5 million principal is due before or upon maturity in fiscal year 2028. These annualized repayments will be made in quarterly installments. As of September 30, 2024, the debt issuance costs are amortized to interest expense over the term of the 2024 Term Loan at an effective interest rate of 8.76%.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2022 Term Loan Extinguishment</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August 5, 2024, we repaid in full the outstanding principal amount and accrued interest of the 2022 Term Loan using the proceeds of the 2024 Term Loan and cash on hand. The Repayment was accounted for as a debt extinguishment. The carrying value of the 2022 Term Loan, including the unamortized debt discount and issuance costs, was derecognized. The difference of $12.0 million between the cash consideration paid to extinguish the 2022 Term Loan and the carrying value of the 2022 Term Loan was recognized as a loss on debt extinguishment included in the loss on debt extinguishment line item recorded in other expense in the condensed consolidated statement of operations. The Warrants continued to be outstanding with no change in terms in connection with the Repayment or issuance of the 2024 Term Loan.</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We previously used the proceeds from the 2022 Credit Agreement to fund the cash portion of an exchange of the Company's approximately $403.8 million principal amount of 0.50% convertible senior notes due 2024 for cash plus approximately $201.9 million of 4.00% convertible senior notes due 2028, and the concurrent repurchase of approximately $60.0 million of our common stock with the counterparties to such exchange. Loans made under the 2022 Credit Agreement bore interest at an annual rate equal to the Term SOFR, subject to a floor of 1.00% and a credit spread adjustment of 0.10%, plus a margin of 6.50%. During the three months ended September 30, 2024, we paid $2.7 million of interest under the 2022 Term Loan.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to our condensed consolidated financial statements for details.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Material Cash Requirements and Other Obligations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March 31, 2024, our material cash requirements and other obligations were $690.1 million. During the three months ended September 30, 2024, we entered into a $24.1 million noncancelable three-year hosting service contract. Under this agreement, $7.1 million remains due during fiscal year 2025, $8.5 million will be due during fiscal year 2026, $6.0 million will be due during fiscal year 2027 and $2.5 million will be due during fiscal year 2028. For information regarding our material cash requirements and other obligations, see Item 7, "Management's Discussion and Analysis", in our fiscal year 2024 Form 10-K.</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Our consolidated financial statements are prepared in accordance with U.S. generally accepted accounting principles ("U.S. GAAP"). See Note </w:t>
      </w:r>
      <w:r>
        <w:rPr>
          <w:rFonts w:ascii="Arial" w:cs="Arial" w:eastAsia="Arial" w:hAnsi="Arial"/>
          <w:sz w:val="16"/>
          <w:szCs w:val="16"/>
          <w:color w:val="0000FF"/>
        </w:rPr>
        <w:t>1</w:t>
      </w:r>
      <w:r>
        <w:rPr>
          <w:rFonts w:ascii="Arial" w:cs="Arial" w:eastAsia="Arial" w:hAnsi="Arial"/>
          <w:sz w:val="16"/>
          <w:szCs w:val="16"/>
          <w:color w:val="auto"/>
        </w:rPr>
        <w:t>, The Company and Significant Accounting Policies, in the notes to the unaudited condensed consolidated financial statements included in this Quarterly Report, which describes the significant accounting policies and methods used in the preparation of our consolidated financial statements. There have been no significant changes during the six months ended September 30, 2024 to our critical accounting policies and estimates previously disclosed in our Form 10-K.</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have been no material changes in our exposures to market risk since March 31, 2024. For details on the Company’s interest rate and foreign currency exchange risks, see Part I, Item 7A. “Quantitative and Qualitative Information About Market Risks” in our Form 10-K.</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Exchange Act, as of September 30, 2024. Based on such evaluation, our Chief Executive Officer and Chief Financial Officer have concluded that, as of September 30, 2024, our disclosure controls and procedures were effective at a reasonable assurance level.</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the three months ended September 30, 2024, there was no change in our internal control over financial reporting that has materially affected, or is reasonably likely to materially affect, our internal control over financial reporting.</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including the Chief Executive Officer and Chief Financial Officer, does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Information with respect to this item may be found in Note </w:t>
      </w:r>
      <w:r>
        <w:rPr>
          <w:rFonts w:ascii="Arial" w:cs="Arial" w:eastAsia="Arial" w:hAnsi="Arial"/>
          <w:sz w:val="16"/>
          <w:szCs w:val="16"/>
          <w:color w:val="0000FF"/>
        </w:rPr>
        <w:t>7</w:t>
      </w:r>
      <w:r>
        <w:rPr>
          <w:rFonts w:ascii="Arial" w:cs="Arial" w:eastAsia="Arial" w:hAnsi="Arial"/>
          <w:sz w:val="16"/>
          <w:szCs w:val="16"/>
          <w:color w:val="auto"/>
        </w:rPr>
        <w:t>, Commitments and Contingencies</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heading “Legal Proceedings” in the Notes to Unaudited Condensed Consolidated Financial Statements included in this Quarterly Report is incorporated by reference in response to this item.</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Investing in our securities involves risk. Prior to making a decision about investing in our securities, you should carefully consider the specific factors discussed below and under the heading “Risk Factors” in any prospectus supplement, together with all of the other information contained or incorporated by reference in this Quarterly Report. You should also consider the risk factors related to our business and operations described in Part I, Item 1A of the Form 10-K under the heading “Risk Factors,” and in Part II, Item 1A of the Form 10-Q for the period ended June 30, 2024 under the heading "Risk Factors," which are incorporated by reference in this Quarterly Report. Additional risks and uncertainties not presently known to us or that we currently deem immaterial may also affect our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54"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None.</w:t>
      </w:r>
    </w:p>
    <w:p>
      <w:pPr>
        <w:spacing w:after="0" w:line="126"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None.</w:t>
      </w:r>
    </w:p>
    <w:p>
      <w:pPr>
        <w:spacing w:after="0" w:line="113" w:lineRule="exact"/>
        <w:rPr>
          <w:rFonts w:ascii="Arial" w:cs="Arial" w:eastAsia="Arial" w:hAnsi="Arial"/>
          <w:sz w:val="16"/>
          <w:szCs w:val="16"/>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None of our directors or officers (as defined in Rule 16a-1(f) under the Exchange Act) adopted or terminated a Rule 10b5-1 trading arrangement or a non-Rule 10b5-1 trading arrangement (as defined in Item 408(c) of Regulation S-K) during the three months ended September 30, 2024, except as described below:</w:t>
      </w:r>
    </w:p>
    <w:p>
      <w:pPr>
        <w:spacing w:after="0" w:line="3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Andrew Burton, a member of the Board of Directors, adopted a Rule 10b5-1 Trading Plan on September 12, 2024 that is intended to satisfy the affirmative defense of Rule 10b5-1(c) under the Exchange Act. Mr. Burton's Rule 10b5-1 Trading Plan provides for the potential sale of up to 8,624 shares of the Company's common stock between December 12, 2024 and June 27, 2025.</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Kevin Kraus, Chief Financial Officer, adopted a Rule 10b5-1 Trading Plan on August 12, 2024 that is intended to satisfy the affirmative defense of Rule 10b5-1(c) under the Exchange Act. Mr. Kraus's Rule 10b5-1 Trading Plan provides for the potential sale of up to 12,000 shares of the Company's common stock between December 16, 2024 and November 28, 2025.</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Laurence Denny, Chief Legal Officer, adopted a Rule 10b5-1 Trading Plan on August 19, 2024 that is intended to satisfy the affirmative defense of Rule 10b5-1(c) under the Exchange Act. Mr. Denny's Rule 10b5-1 Trading Plan provides for the potential sale of up to 35,000 shares of the Company's common stock, plus an additional number of shares (which may vary) that Mr. Denny may receive due to his participation in the Company's Employee Stock Purchase Plan, between November 18, 2024 and May 30, 2025.</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officers (as defined in Rule 16a-1(f) under the Exchange Act) have also entered into sell-to-cover arrangements, which constitute non-Rule 10b5-1 trading arrangements (as defined in Item 408(c) of Regulation S-K), authorizing the pre-arranged sale of shares to satisfy tax withholding obligations of the Company arising exclusively from the vesting of restricted stock units (“RSUs”) and performance stock units (“PSUs”), as applicable, and the related issuance of shares. Any sale of shares under these arrangements will occur only if (i) the aggregate value of all of the shares withheld by the Company to satisfy such tax withholding obligations in the given fiscal year has reached a certain threshold, and (ii) the sale does not result in any short-swing liability under Section 16(b) of the Exchange Act. The amount of shares to be sold under these arrangements may vary and will be dependent on the trading price of the Company’s common stock at the time of the vesting of the RSUs and PSUs, as applicable. Each of these arrangements lasts until the final vesting date of the applicable RSUs or PSUs, or each officer’s earlier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3280" w:type="dxa"/>
            <w:vAlign w:val="bottom"/>
            <w:tcBorders>
              <w:top w:val="single" w:sz="8" w:color="auto"/>
              <w:bottom w:val="single" w:sz="8" w:color="auto"/>
              <w:right w:val="single" w:sz="8" w:color="auto"/>
            </w:tcBorders>
            <w:gridSpan w:val="3"/>
          </w:tcPr>
          <w:p>
            <w:pPr>
              <w:ind w:left="800"/>
              <w:spacing w:after="0"/>
              <w:rPr>
                <w:sz w:val="20"/>
                <w:szCs w:val="20"/>
                <w:color w:val="auto"/>
              </w:rPr>
            </w:pPr>
            <w:r>
              <w:rPr>
                <w:rFonts w:ascii="Arial" w:cs="Arial" w:eastAsia="Arial" w:hAnsi="Arial"/>
                <w:sz w:val="13"/>
                <w:szCs w:val="13"/>
                <w:b w:val="1"/>
                <w:bCs w:val="1"/>
                <w:color w:val="auto"/>
              </w:rPr>
              <w:t>Incorporated by Reference</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Exhibit Number</w:t>
            </w:r>
          </w:p>
        </w:tc>
        <w:tc>
          <w:tcPr>
            <w:tcW w:w="280" w:type="dxa"/>
            <w:vAlign w:val="bottom"/>
            <w:tcBorders>
              <w:bottom w:val="single" w:sz="8" w:color="auto"/>
            </w:tcBorders>
          </w:tcPr>
          <w:p>
            <w:pPr>
              <w:spacing w:after="0"/>
              <w:rPr>
                <w:sz w:val="14"/>
                <w:szCs w:val="14"/>
                <w:color w:val="auto"/>
              </w:rPr>
            </w:pPr>
          </w:p>
        </w:tc>
        <w:tc>
          <w:tcPr>
            <w:tcW w:w="5520" w:type="dxa"/>
            <w:vAlign w:val="bottom"/>
            <w:tcBorders>
              <w:bottom w:val="single" w:sz="8" w:color="auto"/>
              <w:right w:val="single" w:sz="8" w:color="auto"/>
            </w:tcBorders>
            <w:gridSpan w:val="9"/>
          </w:tcPr>
          <w:p>
            <w:pPr>
              <w:ind w:left="2020"/>
              <w:spacing w:after="0"/>
              <w:rPr>
                <w:sz w:val="20"/>
                <w:szCs w:val="20"/>
                <w:color w:val="auto"/>
              </w:rPr>
            </w:pPr>
            <w:r>
              <w:rPr>
                <w:rFonts w:ascii="Arial" w:cs="Arial" w:eastAsia="Arial" w:hAnsi="Arial"/>
                <w:sz w:val="13"/>
                <w:szCs w:val="13"/>
                <w:b w:val="1"/>
                <w:bCs w:val="1"/>
                <w:color w:val="auto"/>
              </w:rPr>
              <w:t>Exhibit Description</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Company Form</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Filing Date</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Exhibit Number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Filed Herewith</w:t>
            </w:r>
          </w:p>
        </w:tc>
        <w:tc>
          <w:tcPr>
            <w:tcW w:w="0" w:type="dxa"/>
            <w:vAlign w:val="bottom"/>
          </w:tcPr>
          <w:p>
            <w:pPr>
              <w:spacing w:after="0"/>
              <w:rPr>
                <w:sz w:val="1"/>
                <w:szCs w:val="1"/>
                <w:color w:val="auto"/>
              </w:rPr>
            </w:pPr>
          </w:p>
        </w:tc>
      </w:tr>
      <w:tr>
        <w:trPr>
          <w:trHeight w:val="130"/>
        </w:trPr>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88"/>
              </w:rPr>
              <w:t>3.1</w:t>
            </w:r>
          </w:p>
        </w:tc>
        <w:tc>
          <w:tcPr>
            <w:tcW w:w="5800" w:type="dxa"/>
            <w:vAlign w:val="bottom"/>
            <w:gridSpan w:val="10"/>
          </w:tcPr>
          <w:p>
            <w:pPr>
              <w:spacing w:after="0" w:line="131" w:lineRule="exact"/>
              <w:rPr>
                <w:rFonts w:ascii="Arial" w:cs="Arial" w:eastAsia="Arial" w:hAnsi="Arial"/>
                <w:sz w:val="13"/>
                <w:szCs w:val="13"/>
                <w:color w:val="0000FF"/>
              </w:rPr>
            </w:pPr>
            <w:hyperlink r:id="rId45">
              <w:r>
                <w:rPr>
                  <w:rFonts w:ascii="Arial" w:cs="Arial" w:eastAsia="Arial" w:hAnsi="Arial"/>
                  <w:sz w:val="13"/>
                  <w:szCs w:val="13"/>
                  <w:color w:val="0000FF"/>
                </w:rPr>
                <w:t>Certificate of Amendment to the Restated Certificate of Incorporation of Registrant, dated July 12,</w:t>
              </w:r>
            </w:hyperlink>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8"/>
              </w:rPr>
              <w:t>8-K</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6"/>
              </w:rPr>
              <w:t>7/13/2022</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9"/>
              </w:rPr>
              <w:t>3.1</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28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89"/>
              </w:rPr>
            </w:pPr>
            <w:hyperlink r:id="rId45">
              <w:r>
                <w:rPr>
                  <w:rFonts w:ascii="Arial" w:cs="Arial" w:eastAsia="Arial" w:hAnsi="Arial"/>
                  <w:sz w:val="13"/>
                  <w:szCs w:val="13"/>
                  <w:color w:val="0000FF"/>
                  <w:w w:val="89"/>
                </w:rPr>
                <w:t>2022</w:t>
              </w:r>
            </w:hyperlink>
          </w:p>
        </w:tc>
        <w:tc>
          <w:tcPr>
            <w:tcW w:w="220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140" w:type="dxa"/>
            <w:vAlign w:val="bottom"/>
          </w:tcPr>
          <w:p>
            <w:pPr>
              <w:jc w:val="center"/>
              <w:spacing w:after="0"/>
              <w:rPr>
                <w:sz w:val="20"/>
                <w:szCs w:val="20"/>
                <w:color w:val="auto"/>
              </w:rPr>
            </w:pPr>
            <w:r>
              <w:rPr>
                <w:rFonts w:ascii="Arial" w:cs="Arial" w:eastAsia="Arial" w:hAnsi="Arial"/>
                <w:sz w:val="13"/>
                <w:szCs w:val="13"/>
                <w:color w:val="auto"/>
                <w:w w:val="88"/>
              </w:rPr>
              <w:t>3.2</w:t>
            </w:r>
          </w:p>
        </w:tc>
        <w:tc>
          <w:tcPr>
            <w:tcW w:w="5800" w:type="dxa"/>
            <w:vAlign w:val="bottom"/>
            <w:gridSpan w:val="10"/>
          </w:tcPr>
          <w:p>
            <w:pPr>
              <w:spacing w:after="0"/>
              <w:rPr>
                <w:rFonts w:ascii="Arial" w:cs="Arial" w:eastAsia="Arial" w:hAnsi="Arial"/>
                <w:sz w:val="13"/>
                <w:szCs w:val="13"/>
                <w:color w:val="0000FF"/>
              </w:rPr>
            </w:pPr>
            <w:hyperlink r:id="rId46">
              <w:r>
                <w:rPr>
                  <w:rFonts w:ascii="Arial" w:cs="Arial" w:eastAsia="Arial" w:hAnsi="Arial"/>
                  <w:sz w:val="13"/>
                  <w:szCs w:val="13"/>
                  <w:color w:val="0000FF"/>
                </w:rPr>
                <w:t>Amended and Restated By-Laws of 8x8, Inc.</w:t>
              </w:r>
            </w:hyperlink>
          </w:p>
        </w:tc>
        <w:tc>
          <w:tcPr>
            <w:tcW w:w="102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7/28/2015</w:t>
            </w:r>
          </w:p>
        </w:tc>
        <w:tc>
          <w:tcPr>
            <w:tcW w:w="1140" w:type="dxa"/>
            <w:vAlign w:val="bottom"/>
          </w:tcPr>
          <w:p>
            <w:pPr>
              <w:jc w:val="center"/>
              <w:spacing w:after="0"/>
              <w:rPr>
                <w:sz w:val="20"/>
                <w:szCs w:val="20"/>
                <w:color w:val="auto"/>
              </w:rPr>
            </w:pPr>
            <w:r>
              <w:rPr>
                <w:rFonts w:ascii="Arial" w:cs="Arial" w:eastAsia="Arial" w:hAnsi="Arial"/>
                <w:sz w:val="13"/>
                <w:szCs w:val="13"/>
                <w:color w:val="auto"/>
                <w:w w:val="99"/>
              </w:rPr>
              <w:t>3.2</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4"/>
              </w:rPr>
              <w:t>10.1</w:t>
            </w:r>
          </w:p>
        </w:tc>
        <w:tc>
          <w:tcPr>
            <w:tcW w:w="5800" w:type="dxa"/>
            <w:vAlign w:val="bottom"/>
            <w:gridSpan w:val="10"/>
          </w:tcPr>
          <w:p>
            <w:pPr>
              <w:spacing w:after="0"/>
              <w:rPr>
                <w:rFonts w:ascii="Arial" w:cs="Arial" w:eastAsia="Arial" w:hAnsi="Arial"/>
                <w:sz w:val="13"/>
                <w:szCs w:val="13"/>
                <w:color w:val="0000FF"/>
                <w:w w:val="99"/>
              </w:rPr>
            </w:pPr>
            <w:hyperlink r:id="rId47">
              <w:r>
                <w:rPr>
                  <w:rFonts w:ascii="Arial" w:cs="Arial" w:eastAsia="Arial" w:hAnsi="Arial"/>
                  <w:sz w:val="13"/>
                  <w:szCs w:val="13"/>
                  <w:color w:val="0000FF"/>
                  <w:w w:val="99"/>
                </w:rPr>
                <w:t>Term Loan Credit Agreement, dated as of July 11, 2024, by and among 8x8, Inc., Wells Fargo Bank,</w:t>
              </w:r>
            </w:hyperlink>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8"/>
              </w:rPr>
              <w:t>8-K</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6"/>
              </w:rPr>
              <w:t>7/15/2024</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4"/>
              </w:rPr>
              <w:t>10.1</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5740" w:type="dxa"/>
            <w:vAlign w:val="bottom"/>
            <w:tcBorders>
              <w:top w:val="single" w:sz="8" w:color="0000FF"/>
            </w:tcBorders>
            <w:gridSpan w:val="8"/>
          </w:tcPr>
          <w:p>
            <w:pPr>
              <w:spacing w:after="0" w:line="115" w:lineRule="exact"/>
              <w:rPr>
                <w:rFonts w:ascii="Arial" w:cs="Arial" w:eastAsia="Arial" w:hAnsi="Arial"/>
                <w:sz w:val="13"/>
                <w:szCs w:val="13"/>
                <w:color w:val="0000FF"/>
              </w:rPr>
            </w:pPr>
            <w:hyperlink r:id="rId47">
              <w:r>
                <w:rPr>
                  <w:rFonts w:ascii="Arial" w:cs="Arial" w:eastAsia="Arial" w:hAnsi="Arial"/>
                  <w:sz w:val="13"/>
                  <w:szCs w:val="13"/>
                  <w:color w:val="0000FF"/>
                </w:rPr>
                <w:t>National Association, as administrative agent, and the lenders party thereto</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jc w:val="center"/>
              <w:spacing w:after="0"/>
              <w:rPr>
                <w:sz w:val="20"/>
                <w:szCs w:val="20"/>
                <w:color w:val="auto"/>
              </w:rPr>
            </w:pPr>
            <w:r>
              <w:rPr>
                <w:rFonts w:ascii="Arial" w:cs="Arial" w:eastAsia="Arial" w:hAnsi="Arial"/>
                <w:sz w:val="13"/>
                <w:szCs w:val="13"/>
                <w:color w:val="auto"/>
                <w:w w:val="94"/>
              </w:rPr>
              <w:t>31.1</w:t>
            </w:r>
          </w:p>
        </w:tc>
        <w:tc>
          <w:tcPr>
            <w:tcW w:w="446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6"/>
              </w:rPr>
              <w:t>Certification of Chief Executive Officer of the Registrant pursuant to Rule 13a-14</w:t>
            </w:r>
          </w:p>
        </w:tc>
        <w:tc>
          <w:tcPr>
            <w:tcW w:w="134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56"/>
        </w:trPr>
        <w:tc>
          <w:tcPr>
            <w:tcW w:w="1140" w:type="dxa"/>
            <w:vAlign w:val="bottom"/>
          </w:tcPr>
          <w:p>
            <w:pPr>
              <w:jc w:val="center"/>
              <w:spacing w:after="0"/>
              <w:rPr>
                <w:sz w:val="20"/>
                <w:szCs w:val="20"/>
                <w:color w:val="auto"/>
              </w:rPr>
            </w:pPr>
            <w:r>
              <w:rPr>
                <w:rFonts w:ascii="Arial" w:cs="Arial" w:eastAsia="Arial" w:hAnsi="Arial"/>
                <w:sz w:val="13"/>
                <w:szCs w:val="13"/>
                <w:color w:val="auto"/>
                <w:w w:val="94"/>
              </w:rPr>
              <w:t>31.2</w:t>
            </w:r>
          </w:p>
        </w:tc>
        <w:tc>
          <w:tcPr>
            <w:tcW w:w="442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6"/>
              </w:rPr>
              <w:t>Certification of Chief Financial Officer of the Registrant pursuant to Rule 13a-14</w:t>
            </w:r>
          </w:p>
        </w:tc>
        <w:tc>
          <w:tcPr>
            <w:tcW w:w="1380" w:type="dxa"/>
            <w:vAlign w:val="bottom"/>
            <w:gridSpan w:val="5"/>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56"/>
        </w:trPr>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4"/>
              </w:rPr>
              <w:t>32.1</w:t>
            </w:r>
          </w:p>
        </w:tc>
        <w:tc>
          <w:tcPr>
            <w:tcW w:w="5800" w:type="dxa"/>
            <w:vAlign w:val="bottom"/>
            <w:gridSpan w:val="10"/>
          </w:tcPr>
          <w:p>
            <w:pPr>
              <w:spacing w:after="0"/>
              <w:rPr>
                <w:sz w:val="20"/>
                <w:szCs w:val="20"/>
                <w:color w:val="auto"/>
              </w:rPr>
            </w:pPr>
            <w:r>
              <w:rPr>
                <w:rFonts w:ascii="Arial" w:cs="Arial" w:eastAsia="Arial" w:hAnsi="Arial"/>
                <w:sz w:val="13"/>
                <w:szCs w:val="13"/>
                <w:color w:val="0000FF"/>
              </w:rPr>
              <w:t>Certification of Chief Executive Officer of the Registrant pursuant to 18 U.S.C. 1350, as adopted</w:t>
            </w: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5760" w:type="dxa"/>
            <w:vAlign w:val="bottom"/>
            <w:tcBorders>
              <w:top w:val="single" w:sz="8" w:color="0000FF"/>
            </w:tcBorders>
            <w:gridSpan w:val="9"/>
          </w:tcPr>
          <w:p>
            <w:pPr>
              <w:spacing w:after="0" w:line="115" w:lineRule="exact"/>
              <w:rPr>
                <w:sz w:val="20"/>
                <w:szCs w:val="20"/>
                <w:color w:val="auto"/>
              </w:rPr>
            </w:pPr>
            <w:r>
              <w:rPr>
                <w:rFonts w:ascii="Arial" w:cs="Arial" w:eastAsia="Arial" w:hAnsi="Arial"/>
                <w:sz w:val="13"/>
                <w:szCs w:val="13"/>
                <w:color w:val="0000FF"/>
              </w:rPr>
              <w:t>pursuant to Section 906 of the Sarbanes-Oxley Act of 2002</w:t>
            </w: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4"/>
              </w:rPr>
              <w:t>32.2</w:t>
            </w:r>
          </w:p>
        </w:tc>
        <w:tc>
          <w:tcPr>
            <w:tcW w:w="5800" w:type="dxa"/>
            <w:vAlign w:val="bottom"/>
            <w:gridSpan w:val="10"/>
          </w:tcPr>
          <w:p>
            <w:pPr>
              <w:spacing w:after="0"/>
              <w:rPr>
                <w:sz w:val="20"/>
                <w:szCs w:val="20"/>
                <w:color w:val="auto"/>
              </w:rPr>
            </w:pPr>
            <w:r>
              <w:rPr>
                <w:rFonts w:ascii="Arial" w:cs="Arial" w:eastAsia="Arial" w:hAnsi="Arial"/>
                <w:sz w:val="13"/>
                <w:szCs w:val="13"/>
                <w:color w:val="0000FF"/>
              </w:rPr>
              <w:t>Certification of Chief Financial Officer of the Registrant pursuant to 18 U.S.C. 1350, as adopted</w:t>
            </w: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5720" w:type="dxa"/>
            <w:vAlign w:val="bottom"/>
            <w:tcBorders>
              <w:top w:val="single" w:sz="8" w:color="0000FF"/>
            </w:tcBorders>
            <w:gridSpan w:val="7"/>
          </w:tcPr>
          <w:p>
            <w:pPr>
              <w:spacing w:after="0" w:line="115" w:lineRule="exact"/>
              <w:rPr>
                <w:sz w:val="20"/>
                <w:szCs w:val="20"/>
                <w:color w:val="auto"/>
              </w:rPr>
            </w:pPr>
            <w:r>
              <w:rPr>
                <w:rFonts w:ascii="Arial" w:cs="Arial" w:eastAsia="Arial" w:hAnsi="Arial"/>
                <w:sz w:val="13"/>
                <w:szCs w:val="13"/>
                <w:color w:val="0000FF"/>
              </w:rPr>
              <w:t>pursuant to Section 906 of the Sarbanes-Oxley Act of 2002</w:t>
            </w:r>
          </w:p>
        </w:tc>
        <w:tc>
          <w:tcPr>
            <w:tcW w:w="80" w:type="dxa"/>
            <w:vAlign w:val="bottom"/>
            <w:gridSpan w:val="3"/>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tcPr>
          <w:p>
            <w:pPr>
              <w:spacing w:after="0"/>
              <w:rPr>
                <w:sz w:val="13"/>
                <w:szCs w:val="13"/>
                <w:color w:val="auto"/>
              </w:rPr>
            </w:pPr>
          </w:p>
        </w:tc>
        <w:tc>
          <w:tcPr>
            <w:tcW w:w="5800" w:type="dxa"/>
            <w:vAlign w:val="bottom"/>
            <w:gridSpan w:val="10"/>
          </w:tcPr>
          <w:p>
            <w:pPr>
              <w:spacing w:after="0"/>
              <w:rPr>
                <w:sz w:val="20"/>
                <w:szCs w:val="20"/>
                <w:color w:val="auto"/>
              </w:rPr>
            </w:pPr>
            <w:r>
              <w:rPr>
                <w:rFonts w:ascii="Arial" w:cs="Arial" w:eastAsia="Arial" w:hAnsi="Arial"/>
                <w:sz w:val="13"/>
                <w:szCs w:val="13"/>
                <w:color w:val="auto"/>
              </w:rPr>
              <w:t>The following materials from 8x8, Inc.'s Quarterly Report on Form 10-Q for the three months ended</w:t>
            </w: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00" w:type="dxa"/>
            <w:vAlign w:val="bottom"/>
            <w:gridSpan w:val="10"/>
          </w:tcPr>
          <w:p>
            <w:pPr>
              <w:spacing w:after="0" w:line="126" w:lineRule="exact"/>
              <w:rPr>
                <w:sz w:val="20"/>
                <w:szCs w:val="20"/>
                <w:color w:val="auto"/>
              </w:rPr>
            </w:pPr>
            <w:r>
              <w:rPr>
                <w:rFonts w:ascii="Arial" w:cs="Arial" w:eastAsia="Arial" w:hAnsi="Arial"/>
                <w:sz w:val="13"/>
                <w:szCs w:val="13"/>
                <w:color w:val="auto"/>
              </w:rPr>
              <w:t>September 30, 2024, formatted in Inline XBRL: (i) Condensed Consolidated Balance Sheets as of</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5800" w:type="dxa"/>
            <w:vAlign w:val="bottom"/>
            <w:gridSpan w:val="10"/>
          </w:tcPr>
          <w:p>
            <w:pPr>
              <w:spacing w:after="0" w:line="122" w:lineRule="exact"/>
              <w:rPr>
                <w:sz w:val="20"/>
                <w:szCs w:val="20"/>
                <w:color w:val="auto"/>
              </w:rPr>
            </w:pPr>
            <w:r>
              <w:rPr>
                <w:rFonts w:ascii="Arial" w:cs="Arial" w:eastAsia="Arial" w:hAnsi="Arial"/>
                <w:sz w:val="13"/>
                <w:szCs w:val="13"/>
                <w:color w:val="auto"/>
                <w:w w:val="99"/>
              </w:rPr>
              <w:t>September 30, 2024 and March 31, 2024, (ii) Condensed Consolidated Statements of Operations for</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5800" w:type="dxa"/>
            <w:vAlign w:val="bottom"/>
            <w:gridSpan w:val="10"/>
          </w:tcPr>
          <w:p>
            <w:pPr>
              <w:spacing w:after="0" w:line="131" w:lineRule="exact"/>
              <w:rPr>
                <w:sz w:val="20"/>
                <w:szCs w:val="20"/>
                <w:color w:val="auto"/>
              </w:rPr>
            </w:pPr>
            <w:r>
              <w:rPr>
                <w:rFonts w:ascii="Arial" w:cs="Arial" w:eastAsia="Arial" w:hAnsi="Arial"/>
                <w:sz w:val="13"/>
                <w:szCs w:val="13"/>
                <w:color w:val="auto"/>
              </w:rPr>
              <w:t>the three months ended September 30, 2024 and 2023, (iii) Condensed Consolidated Statements of</w:t>
            </w: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00" w:type="dxa"/>
            <w:vAlign w:val="bottom"/>
            <w:gridSpan w:val="10"/>
          </w:tcPr>
          <w:p>
            <w:pPr>
              <w:spacing w:after="0" w:line="126" w:lineRule="exact"/>
              <w:rPr>
                <w:sz w:val="20"/>
                <w:szCs w:val="20"/>
                <w:color w:val="auto"/>
              </w:rPr>
            </w:pPr>
            <w:r>
              <w:rPr>
                <w:rFonts w:ascii="Arial" w:cs="Arial" w:eastAsia="Arial" w:hAnsi="Arial"/>
                <w:sz w:val="13"/>
                <w:szCs w:val="13"/>
                <w:color w:val="auto"/>
              </w:rPr>
              <w:t>Comprehensive Loss for the three months ended September 30, 2024 and 2023, (iv) Condensed</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5800" w:type="dxa"/>
            <w:vAlign w:val="bottom"/>
            <w:gridSpan w:val="10"/>
          </w:tcPr>
          <w:p>
            <w:pPr>
              <w:spacing w:after="0" w:line="122" w:lineRule="exact"/>
              <w:rPr>
                <w:sz w:val="20"/>
                <w:szCs w:val="20"/>
                <w:color w:val="auto"/>
              </w:rPr>
            </w:pPr>
            <w:r>
              <w:rPr>
                <w:rFonts w:ascii="Arial" w:cs="Arial" w:eastAsia="Arial" w:hAnsi="Arial"/>
                <w:sz w:val="13"/>
                <w:szCs w:val="13"/>
                <w:color w:val="auto"/>
                <w:w w:val="98"/>
              </w:rPr>
              <w:t>Consolidated Statements of Stockholders’ Equity as of September 30, 2024 and 2023, (v) Condensed</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5800" w:type="dxa"/>
            <w:vAlign w:val="bottom"/>
            <w:gridSpan w:val="10"/>
          </w:tcPr>
          <w:p>
            <w:pPr>
              <w:spacing w:after="0" w:line="131" w:lineRule="exact"/>
              <w:rPr>
                <w:sz w:val="20"/>
                <w:szCs w:val="20"/>
                <w:color w:val="auto"/>
              </w:rPr>
            </w:pPr>
            <w:r>
              <w:rPr>
                <w:rFonts w:ascii="Arial" w:cs="Arial" w:eastAsia="Arial" w:hAnsi="Arial"/>
                <w:sz w:val="13"/>
                <w:szCs w:val="13"/>
                <w:color w:val="auto"/>
              </w:rPr>
              <w:t>Consolidated Statements of Cash Flows for the three months ended September 30, 2024 and 2023,</w:t>
            </w: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2"/>
              </w:rPr>
              <w:t>101</w:t>
            </w:r>
          </w:p>
        </w:tc>
        <w:tc>
          <w:tcPr>
            <w:tcW w:w="5800" w:type="dxa"/>
            <w:vAlign w:val="bottom"/>
            <w:gridSpan w:val="10"/>
          </w:tcPr>
          <w:p>
            <w:pPr>
              <w:spacing w:after="0" w:line="126" w:lineRule="exact"/>
              <w:rPr>
                <w:sz w:val="20"/>
                <w:szCs w:val="20"/>
                <w:color w:val="auto"/>
              </w:rPr>
            </w:pPr>
            <w:r>
              <w:rPr>
                <w:rFonts w:ascii="Arial" w:cs="Arial" w:eastAsia="Arial" w:hAnsi="Arial"/>
                <w:sz w:val="13"/>
                <w:szCs w:val="13"/>
                <w:color w:val="auto"/>
              </w:rPr>
              <w:t>and (vi) Notes to Consolidated Financial Statements, tagged as blocks of text and including detailed</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5800" w:type="dxa"/>
            <w:vAlign w:val="bottom"/>
            <w:gridSpan w:val="10"/>
          </w:tcPr>
          <w:p>
            <w:pPr>
              <w:spacing w:after="0"/>
              <w:rPr>
                <w:sz w:val="20"/>
                <w:szCs w:val="20"/>
                <w:color w:val="auto"/>
              </w:rPr>
            </w:pPr>
            <w:r>
              <w:rPr>
                <w:rFonts w:ascii="Arial" w:cs="Arial" w:eastAsia="Arial" w:hAnsi="Arial"/>
                <w:sz w:val="13"/>
                <w:szCs w:val="13"/>
                <w:color w:val="auto"/>
              </w:rPr>
              <w:t>tags XBRL Instance Document</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8x8, Inc., a Delaware corporation, has duly caused this Quarterly Report on Form 10-Q to be signed on its behalf by the undersigned, thereunto duly authorized, in the City of Campbell, State of California, on November 6, 2024.</w:t>
      </w:r>
    </w:p>
    <w:p>
      <w:pPr>
        <w:spacing w:after="0" w:line="312"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8x8, Inc.</w:t>
      </w:r>
    </w:p>
    <w:p>
      <w:pPr>
        <w:spacing w:after="0" w:line="290" w:lineRule="exact"/>
        <w:rPr>
          <w:sz w:val="20"/>
          <w:szCs w:val="20"/>
          <w:color w:val="auto"/>
        </w:rPr>
      </w:pPr>
    </w:p>
    <w:p>
      <w:pPr>
        <w:ind w:left="4300"/>
        <w:spacing w:after="0"/>
        <w:rPr>
          <w:sz w:val="20"/>
          <w:szCs w:val="20"/>
          <w:color w:val="auto"/>
        </w:rPr>
      </w:pPr>
      <w:r>
        <w:rPr>
          <w:rFonts w:ascii="Arial" w:cs="Arial" w:eastAsia="Arial" w:hAnsi="Arial"/>
          <w:sz w:val="16"/>
          <w:szCs w:val="16"/>
          <w:i w:val="1"/>
          <w:iCs w:val="1"/>
          <w:color w:val="auto"/>
        </w:rPr>
        <w:t>/s/ Suzy Seandel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19685</wp:posOffset>
            </wp:positionV>
            <wp:extent cx="44145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4414520" cy="8890"/>
                    </a:xfrm>
                    <a:prstGeom prst="rect">
                      <a:avLst/>
                    </a:prstGeom>
                    <a:noFill/>
                  </pic:spPr>
                </pic:pic>
              </a:graphicData>
            </a:graphic>
          </wp:anchor>
        </w:drawing>
      </w:r>
    </w:p>
    <w:p>
      <w:pPr>
        <w:spacing w:after="0" w:line="24"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Suzy Seandel</w:t>
      </w:r>
    </w:p>
    <w:p>
      <w:pPr>
        <w:spacing w:after="0" w:line="39"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Chief Accounting Officer</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(Principal Accounting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31.1</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 Samuel Wilson, certify that:</w:t>
      </w:r>
    </w:p>
    <w:p>
      <w:pPr>
        <w:spacing w:after="0" w:line="15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6"/>
          <w:szCs w:val="16"/>
          <w:color w:val="auto"/>
        </w:rPr>
      </w:pPr>
    </w:p>
    <w:p>
      <w:pPr>
        <w:jc w:val="both"/>
        <w:ind w:left="1300" w:hanging="320"/>
        <w:spacing w:after="0" w:line="266"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300" w:hanging="320"/>
        <w:spacing w:after="0" w:line="304" w:lineRule="auto"/>
        <w:tabs>
          <w:tab w:leader="none" w:pos="1291"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300" w:hanging="320"/>
        <w:spacing w:after="0" w:line="304"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November 6, 2024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1043"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31.2</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 Kevin Kraus, certify that:</w:t>
      </w:r>
    </w:p>
    <w:p>
      <w:pPr>
        <w:spacing w:after="0" w:line="15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6"/>
          <w:szCs w:val="16"/>
          <w:color w:val="auto"/>
        </w:rPr>
      </w:pPr>
    </w:p>
    <w:p>
      <w:pPr>
        <w:jc w:val="both"/>
        <w:ind w:left="1300" w:hanging="320"/>
        <w:spacing w:after="0" w:line="266"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300" w:hanging="320"/>
        <w:spacing w:after="0" w:line="304" w:lineRule="auto"/>
        <w:tabs>
          <w:tab w:leader="none" w:pos="1291"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300" w:hanging="320"/>
        <w:spacing w:after="0" w:line="304"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November 6, 2024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Kevin Kraus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Kevin Kraus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04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32.1</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8x8, Inc. (the "Company") for the period ended September 30, 2024, as filed with the Securities and Exchange Commission on the date hereof (the "Report"), I, Samuel Wilson, Chief Executive Officer of the Company, hereby certify, pursuant to 18 U.S.C. Section 1350, as adopted pursuant to Section 906 of the Sarbanes-Oxley Act of 2002, that:</w:t>
      </w:r>
    </w:p>
    <w:p>
      <w:pPr>
        <w:spacing w:after="0" w:line="10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November 6, 2024</w:t>
      </w:r>
    </w:p>
    <w:p>
      <w:pPr>
        <w:spacing w:after="0" w:line="15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40"/>
          </w:cols>
          <w:pgMar w:left="320" w:top="104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32.2</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8x8, Inc. (the "Company") for the period ended September 30, 2024, as filed with the Securities and Exchange Commission on the date hereof (the "Report"), I, Kevin Kraus, Chief Financial Officer of the Company, hereby certify, pursuant to 18 U.S.C. Section 1350, as adopted pursuant to Section 906 of the Sarbanes-Oxley Act of 2002, that:</w:t>
      </w:r>
    </w:p>
    <w:p>
      <w:pPr>
        <w:spacing w:after="0" w:line="10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Kevin Kraus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Kevin Kraus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November 6, 2024</w:t>
      </w:r>
    </w:p>
    <w:p>
      <w:pPr>
        <w:spacing w:after="0" w:line="154"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sectPr>
      <w:pgSz w:w="11900" w:h="16838" w:orient="portrait"/>
      <w:cols w:equalWidth="0" w:num="1">
        <w:col w:w="11240"/>
      </w:cols>
      <w:pgMar w:left="320" w:top="10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45" Type="http://schemas.openxmlformats.org/officeDocument/2006/relationships/hyperlink" Target="https://www.sec.gov/Archives/edgar/data/1023731/000102373122000124/exhibit31certificateofamen.htm" TargetMode="External"/><Relationship Id="rId46" Type="http://schemas.openxmlformats.org/officeDocument/2006/relationships/hyperlink" Target="https://www.sec.gov/Archives/edgar/data/1023731/000113626115000219/exh3-2.htm" TargetMode="External"/><Relationship Id="rId47" Type="http://schemas.openxmlformats.org/officeDocument/2006/relationships/hyperlink" Target="https://www.sec.gov/Archives/edgar/data/1023731/000102373124000062/a8x8_ex101xcredi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2024-11-06T15:26:40Z</dcterms:created>
  <dcterms:modified xsi:type="dcterms:W3CDTF">2024-11-06T15:26:40Z</dcterms:modified>
</cp:coreProperties>
</file>