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3239.xml.htm"/>
      <w:bookmarkStart w:id="1" w:name="kswkform4_17895932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Middleton Hunter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8X8 INC. 675 CREEKSIDE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8X8 INC /DE/</w:t>
              </w:r>
            </w:hyperlink>
            <w:r>
              <w:rPr/>
              <w:t xml:space="preserve"> [ </w:t>
            </w:r>
            <w:r>
              <w:rPr>
                <w:rFonts w:ascii="Times;serif" w:hAnsi="Times;serif"/>
                <w:color w:val="0000FF"/>
                <w:sz w:val="24"/>
                <w:shd w:fill="FFFFFF" w:val="clear"/>
              </w:rPr>
              <w:t>EGHT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7,632</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875,832</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the Restricted Stock Units ("RSUs") and does not represent a sale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Cheriese M. Dickman as Attorney-in-Fact for Hunter Middleton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5510" TargetMode="External"/><Relationship Id="rId5" Type="http://schemas.openxmlformats.org/officeDocument/2006/relationships/hyperlink" Target="http://www.sec.gov/cgi-bin/browse-edgar?action=getcompany&amp;CIK=00010237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3342</Characters>
  <CharactersWithSpaces>3891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