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186055</wp:posOffset>
            </wp:positionV>
            <wp:extent cx="36963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64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132080</wp:posOffset>
            </wp:positionV>
            <wp:extent cx="36963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July 30, 2019</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32385</wp:posOffset>
            </wp:positionV>
            <wp:extent cx="102933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2720" w:type="dxa"/>
            <w:vAlign w:val="bottom"/>
            <w:gridSpan w:val="2"/>
          </w:tcPr>
          <w:p>
            <w:pPr>
              <w:jc w:val="center"/>
              <w:ind w:right="1780"/>
              <w:spacing w:after="0"/>
              <w:rPr>
                <w:sz w:val="20"/>
                <w:szCs w:val="20"/>
                <w:color w:val="auto"/>
              </w:rPr>
            </w:pPr>
            <w:r>
              <w:rPr>
                <w:rFonts w:ascii="Arial" w:cs="Arial" w:eastAsia="Arial" w:hAnsi="Arial"/>
                <w:sz w:val="22"/>
                <w:szCs w:val="22"/>
                <w:b w:val="1"/>
                <w:bCs w:val="1"/>
                <w:color w:val="auto"/>
                <w:w w:val="97"/>
              </w:rPr>
              <w:t>Delaware</w:t>
            </w:r>
          </w:p>
        </w:tc>
        <w:tc>
          <w:tcPr>
            <w:tcW w:w="2100" w:type="dxa"/>
            <w:vAlign w:val="bottom"/>
            <w:gridSpan w:val="2"/>
          </w:tcPr>
          <w:p>
            <w:pPr>
              <w:jc w:val="right"/>
              <w:spacing w:after="0"/>
              <w:rPr>
                <w:sz w:val="20"/>
                <w:szCs w:val="20"/>
                <w:color w:val="auto"/>
              </w:rPr>
            </w:pPr>
            <w:r>
              <w:rPr>
                <w:rFonts w:ascii="Arial" w:cs="Arial" w:eastAsia="Arial" w:hAnsi="Arial"/>
                <w:sz w:val="22"/>
                <w:szCs w:val="22"/>
                <w:b w:val="1"/>
                <w:bCs w:val="1"/>
                <w:color w:val="auto"/>
              </w:rPr>
              <w:t>001-38312</w:t>
            </w:r>
          </w:p>
        </w:tc>
        <w:tc>
          <w:tcPr>
            <w:tcW w:w="1160" w:type="dxa"/>
            <w:vAlign w:val="bottom"/>
          </w:tcPr>
          <w:p>
            <w:pPr>
              <w:spacing w:after="0"/>
              <w:rPr>
                <w:sz w:val="21"/>
                <w:szCs w:val="21"/>
                <w:color w:val="auto"/>
              </w:rPr>
            </w:pPr>
          </w:p>
        </w:tc>
        <w:tc>
          <w:tcPr>
            <w:tcW w:w="2720" w:type="dxa"/>
            <w:vAlign w:val="bottom"/>
            <w:gridSpan w:val="2"/>
          </w:tcPr>
          <w:p>
            <w:pPr>
              <w:jc w:val="right"/>
              <w:spacing w:after="0"/>
              <w:rPr>
                <w:sz w:val="20"/>
                <w:szCs w:val="20"/>
                <w:color w:val="auto"/>
              </w:rPr>
            </w:pPr>
            <w:r>
              <w:rPr>
                <w:rFonts w:ascii="Arial" w:cs="Arial" w:eastAsia="Arial" w:hAnsi="Arial"/>
                <w:sz w:val="22"/>
                <w:szCs w:val="22"/>
                <w:b w:val="1"/>
                <w:bCs w:val="1"/>
                <w:color w:val="auto"/>
              </w:rPr>
              <w:t>77-0142404</w:t>
            </w:r>
          </w:p>
        </w:tc>
        <w:tc>
          <w:tcPr>
            <w:tcW w:w="980" w:type="dxa"/>
            <w:vAlign w:val="bottom"/>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1"/>
        </w:trPr>
        <w:tc>
          <w:tcPr>
            <w:tcW w:w="39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9"/>
              </w:rPr>
              <w:t>(State or other jurisdiction of incorporation)</w:t>
            </w:r>
          </w:p>
        </w:tc>
        <w:tc>
          <w:tcPr>
            <w:tcW w:w="326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auto"/>
                <w:w w:val="99"/>
              </w:rPr>
              <w:t>(Commission File Number)</w:t>
            </w:r>
          </w:p>
        </w:tc>
        <w:tc>
          <w:tcPr>
            <w:tcW w:w="3700" w:type="dxa"/>
            <w:vAlign w:val="bottom"/>
            <w:gridSpan w:val="3"/>
          </w:tcPr>
          <w:p>
            <w:pPr>
              <w:jc w:val="center"/>
              <w:ind w:left="481"/>
              <w:spacing w:after="0"/>
              <w:rPr>
                <w:sz w:val="20"/>
                <w:szCs w:val="20"/>
                <w:color w:val="auto"/>
              </w:rPr>
            </w:pPr>
            <w:r>
              <w:rPr>
                <w:rFonts w:ascii="Arial" w:cs="Arial" w:eastAsia="Arial" w:hAnsi="Arial"/>
                <w:sz w:val="18"/>
                <w:szCs w:val="18"/>
                <w:i w:val="1"/>
                <w:iCs w:val="1"/>
                <w:color w:val="auto"/>
                <w:w w:val="99"/>
              </w:rPr>
              <w:t>(I.R.S. Employer Identification Number)</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2125 O'Nel Drive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San Jose, CA 95131</w:t>
      </w: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(408) 727-1885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6"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4"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98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8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0" w:type="dxa"/>
            <w:vAlign w:val="bottom"/>
          </w:tcPr>
          <w:p>
            <w:pPr>
              <w:spacing w:after="0"/>
              <w:rPr>
                <w:sz w:val="18"/>
                <w:szCs w:val="18"/>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371"/>
        </w:trPr>
        <w:tc>
          <w:tcPr>
            <w:tcW w:w="4340" w:type="dxa"/>
            <w:vAlign w:val="bottom"/>
            <w:gridSpan w:val="3"/>
          </w:tcPr>
          <w:p>
            <w:pPr>
              <w:jc w:val="center"/>
              <w:ind w:right="820"/>
              <w:spacing w:after="0"/>
              <w:rPr>
                <w:sz w:val="20"/>
                <w:szCs w:val="20"/>
                <w:color w:val="auto"/>
              </w:rPr>
            </w:pPr>
            <w:r>
              <w:rPr>
                <w:rFonts w:ascii="Arial" w:cs="Arial" w:eastAsia="Arial" w:hAnsi="Arial"/>
                <w:sz w:val="18"/>
                <w:szCs w:val="18"/>
                <w:color w:val="auto"/>
                <w:w w:val="99"/>
              </w:rPr>
              <w:t>COMMON STOCK, PAR VALUE $.001 PER</w:t>
            </w:r>
          </w:p>
        </w:tc>
        <w:tc>
          <w:tcPr>
            <w:tcW w:w="2360" w:type="dxa"/>
            <w:vAlign w:val="bottom"/>
            <w:gridSpan w:val="2"/>
          </w:tcPr>
          <w:p>
            <w:pPr>
              <w:jc w:val="center"/>
              <w:ind w:right="1020"/>
              <w:spacing w:after="0"/>
              <w:rPr>
                <w:sz w:val="20"/>
                <w:szCs w:val="20"/>
                <w:color w:val="auto"/>
              </w:rPr>
            </w:pPr>
            <w:r>
              <w:rPr>
                <w:rFonts w:ascii="Arial" w:cs="Arial" w:eastAsia="Arial" w:hAnsi="Arial"/>
                <w:sz w:val="18"/>
                <w:szCs w:val="18"/>
                <w:color w:val="auto"/>
                <w:w w:val="99"/>
              </w:rPr>
              <w:t>EGHT</w:t>
            </w:r>
          </w:p>
        </w:tc>
        <w:tc>
          <w:tcPr>
            <w:tcW w:w="380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17"/>
        </w:trPr>
        <w:tc>
          <w:tcPr>
            <w:tcW w:w="980" w:type="dxa"/>
            <w:vAlign w:val="bottom"/>
          </w:tcPr>
          <w:p>
            <w:pPr>
              <w:spacing w:after="0"/>
              <w:rPr>
                <w:sz w:val="18"/>
                <w:szCs w:val="18"/>
                <w:color w:val="auto"/>
              </w:rPr>
            </w:pPr>
          </w:p>
        </w:tc>
        <w:tc>
          <w:tcPr>
            <w:tcW w:w="3360" w:type="dxa"/>
            <w:vAlign w:val="bottom"/>
            <w:gridSpan w:val="2"/>
          </w:tcPr>
          <w:p>
            <w:pPr>
              <w:jc w:val="center"/>
              <w:ind w:right="1780"/>
              <w:spacing w:after="0"/>
              <w:rPr>
                <w:sz w:val="20"/>
                <w:szCs w:val="20"/>
                <w:color w:val="auto"/>
              </w:rPr>
            </w:pPr>
            <w:r>
              <w:rPr>
                <w:rFonts w:ascii="Arial" w:cs="Arial" w:eastAsia="Arial" w:hAnsi="Arial"/>
                <w:sz w:val="18"/>
                <w:szCs w:val="18"/>
                <w:color w:val="auto"/>
                <w:w w:val="99"/>
              </w:rPr>
              <w:t>SHARE</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0" w:type="dxa"/>
            <w:vAlign w:val="bottom"/>
          </w:tcPr>
          <w:p>
            <w:pPr>
              <w:spacing w:after="0"/>
              <w:rPr>
                <w:sz w:val="18"/>
                <w:szCs w:val="18"/>
                <w:color w:val="auto"/>
              </w:rPr>
            </w:pPr>
          </w:p>
        </w:tc>
      </w:tr>
    </w:tbl>
    <w:p>
      <w:pPr>
        <w:spacing w:after="0" w:line="256"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79"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6" w:lineRule="exact"/>
        <w:rPr>
          <w:sz w:val="24"/>
          <w:szCs w:val="24"/>
          <w:color w:val="auto"/>
        </w:rPr>
      </w:pPr>
    </w:p>
    <w:p>
      <w:pPr>
        <w:ind w:left="8580"/>
        <w:spacing w:after="0" w:line="207" w:lineRule="exact"/>
        <w:tabs>
          <w:tab w:leader="none" w:pos="109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07"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ectPr>
          <w:pgSz w:w="11900" w:h="16838" w:orient="portrait"/>
          <w:cols w:equalWidth="0" w:num="1">
            <w:col w:w="11420"/>
          </w:cols>
          <w:pgMar w:left="240" w:top="823" w:right="239"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2.02.</w:t>
        <w:tab/>
        <w:t>Results of Operations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On July 30, 2019, 8x8, Inc., or the Company, issued a press release announcing its financial results for the three months ended June 30,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copy of this press release is furnished as Exhibit 99.1 to this report.</w:t>
      </w:r>
    </w:p>
    <w:p>
      <w:pPr>
        <w:spacing w:after="0" w:line="27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press release is furnished and shall not be deemed "filed" for purposes of Section 18 of the Securities Exchange Act of 1934 (the "Exchange Act"), or subject to the liabilities of that Section or Sections 11 and 12(a)(2) of the Securities Act of 1933, as amended. The press release should be read in conjunction with the statements regarding forward-looking statements, which are included in the text of the release.</w:t>
      </w:r>
    </w:p>
    <w:p>
      <w:pPr>
        <w:spacing w:after="0" w:line="23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8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72" w:lineRule="exact"/>
        <w:rPr>
          <w:sz w:val="20"/>
          <w:szCs w:val="20"/>
          <w:color w:val="auto"/>
        </w:rPr>
      </w:pPr>
    </w:p>
    <w:p>
      <w:pPr>
        <w:ind w:left="740"/>
        <w:spacing w:after="0"/>
        <w:tabs>
          <w:tab w:leader="none" w:pos="1820" w:val="left"/>
        </w:tabs>
        <w:rPr>
          <w:rFonts w:ascii="Arial" w:cs="Arial" w:eastAsia="Arial" w:hAnsi="Arial"/>
          <w:sz w:val="17"/>
          <w:szCs w:val="17"/>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7"/>
            <w:szCs w:val="17"/>
            <w:u w:val="single" w:color="auto"/>
            <w:color w:val="0000FF"/>
          </w:rPr>
          <w:t>Press release dated July 30, 2019</w:t>
        </w:r>
      </w:hyperlink>
    </w:p>
    <w:p>
      <w:pPr>
        <w:sectPr>
          <w:pgSz w:w="11900" w:h="16838" w:orient="portrait"/>
          <w:cols w:equalWidth="0" w:num="1">
            <w:col w:w="11380"/>
          </w:cols>
          <w:pgMar w:left="240" w:top="1197" w:right="2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July 30, 2019</w:t>
      </w:r>
    </w:p>
    <w:p>
      <w:pPr>
        <w:spacing w:after="0" w:line="200" w:lineRule="exact"/>
        <w:rPr>
          <w:sz w:val="20"/>
          <w:szCs w:val="20"/>
          <w:color w:val="auto"/>
        </w:rPr>
      </w:pPr>
    </w:p>
    <w:p>
      <w:pPr>
        <w:spacing w:after="0" w:line="32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8X8, INC.</w:t>
      </w:r>
    </w:p>
    <w:p>
      <w:pPr>
        <w:spacing w:after="0" w:line="387" w:lineRule="exact"/>
        <w:rPr>
          <w:sz w:val="20"/>
          <w:szCs w:val="20"/>
          <w:color w:val="auto"/>
        </w:rPr>
      </w:pPr>
    </w:p>
    <w:p>
      <w:pPr>
        <w:ind w:left="50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23495</wp:posOffset>
            </wp:positionV>
            <wp:extent cx="2975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Steven Gatoff</w:t>
      </w:r>
    </w:p>
    <w:p>
      <w:pPr>
        <w:spacing w:after="0" w:line="32"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00"/>
          </w:cols>
          <w:pgMar w:left="240" w:top="711" w:right="459" w:bottom="1440" w:gutter="0" w:footer="0" w:header="0"/>
        </w:sectPr>
      </w:pPr>
    </w:p>
    <w:bookmarkStart w:id="3" w:name="page4"/>
    <w:bookmarkEnd w:id="3"/>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243330"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43330" cy="5918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8x8, Inc. Reports First Quarter Fiscal 2020 Financial Results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Service revenue increased 18% year-over-year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Mid-market and enterprise ARR grew 39% year-over-year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Channel bookings grew 86% year-over-year</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SAN JOSE, CA. - July 30, 2019 - 8x8, Inc. (NYSE: EGHT), a leading cloud provider of voice, video, chat, contact center and enterprise-class API solutions powered by one global communications platform, today reported financial results for the first quarter of fiscal 2020 ended June 30,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First Quarter Fiscal 2020 Financial Results:</w:t>
      </w:r>
    </w:p>
    <w:p>
      <w:pPr>
        <w:spacing w:after="0" w:line="247"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16% year-over-year to $96.7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Service revenue increased 18% year-over-year to $92.4 million.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loss was $34.3 million or $(0.36) per diluted share.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loss was $14.0 million or $(0.14) per diluted share.</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had a strong first quarter with combined mid-market and enterprise ARR growth of 39% year-over-year, channel bookings growth of 86%, and we exceeded the high-end of our guidance on all key financial metrics," said Vik Verma, Chief Executive Officer at 8x8, Inc. "Additionally, with the recent acquisition of Wavecell, the leader in communication platform-as-a-service (CPaaS) in Southeast Asia, our combined vision now includes API services for messaging, data and analytics, video, voice and contact center capabilities. This will give our customers a full platform of communications capabilities and insights to build highly personalized interactions with their end customers, all tightly integrated into their apps, mobile apps and websites. No other cloud-based communications provider has one integrated technology platform with voice, chat, video, team messaging, and contact center capabilities. No other CPaaS provider has the ability to deliver this breadth of APIs. Our fully-owned technology platform uniquely positions 8x8 to disrupt the $60 billion total addressable market that’s rapidly moving to the cloud."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F2020 Business Metrics and Company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Business Metrics</w:t>
      </w:r>
    </w:p>
    <w:p>
      <w:pPr>
        <w:spacing w:after="0" w:line="247" w:lineRule="exact"/>
        <w:rPr>
          <w:sz w:val="20"/>
          <w:szCs w:val="20"/>
          <w:color w:val="auto"/>
        </w:rPr>
      </w:pPr>
    </w:p>
    <w:p>
      <w:pPr>
        <w:ind w:left="340" w:right="5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Bookings greater than $100K ARR: The Company closed 28 new customer deals in the first quarter of fiscal 2020 with ARR (annual recurring revenue) greater than $100,000. These deals represented 31% of new bookings for the quarter, compared with 26% of new bookings in the same period last year.</w:t>
      </w:r>
    </w:p>
    <w:p>
      <w:pPr>
        <w:spacing w:after="0" w:line="1" w:lineRule="exact"/>
        <w:rPr>
          <w:rFonts w:ascii="Arial" w:cs="Arial" w:eastAsia="Arial" w:hAnsi="Arial"/>
          <w:sz w:val="18"/>
          <w:szCs w:val="18"/>
          <w:color w:val="auto"/>
        </w:rPr>
      </w:pPr>
    </w:p>
    <w:p>
      <w:pPr>
        <w:ind w:left="340" w:right="80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ARR greater than $100K: The Company had 449 customers that generated ARR greater than $100,000, compared with 299 customers in the same period last year, a 50% growth year-over-year.</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ARR growth by customer size:</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Small Business customers (defined as companies whose revenue is less than $50 million) comprised 62% of total ARR which grew 12% year-over-year.</w:t>
      </w:r>
    </w:p>
    <w:p>
      <w:pPr>
        <w:ind w:left="980" w:right="220" w:hanging="324"/>
        <w:spacing w:after="0" w:line="250"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Mid-market customers (defined as companies whose revenue is between $50 million and $1 billion) comprised 25% of total ARR which grew 32% year-over-year.</w:t>
      </w:r>
    </w:p>
    <w:p>
      <w:pPr>
        <w:ind w:left="980" w:right="80" w:hanging="324"/>
        <w:spacing w:after="0" w:line="250"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Enterprise customers (defined as companies whose revenue is more than $1 billion) comprised 14% of total ARR which grew 52% year-over-year.</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Channel bookings grew 86% year-over-year and represented 57% of new bookings</w:t>
      </w:r>
      <w:r>
        <w:rPr>
          <w:rFonts w:ascii="Arial" w:cs="Arial" w:eastAsia="Arial" w:hAnsi="Arial"/>
          <w:sz w:val="18"/>
          <w:szCs w:val="18"/>
          <w:b w:val="1"/>
          <w:bCs w:val="1"/>
          <w:color w:val="auto"/>
        </w:rPr>
        <w:t>.</w:t>
      </w:r>
    </w:p>
    <w:p>
      <w:pPr>
        <w:spacing w:after="0" w:line="9" w:lineRule="exact"/>
        <w:rPr>
          <w:rFonts w:ascii="Arial" w:cs="Arial" w:eastAsia="Arial" w:hAnsi="Arial"/>
          <w:sz w:val="18"/>
          <w:szCs w:val="18"/>
          <w:color w:val="auto"/>
        </w:rPr>
      </w:pPr>
    </w:p>
    <w:p>
      <w:pPr>
        <w:ind w:left="340" w:right="60" w:hanging="332"/>
        <w:spacing w:after="0" w:line="250"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GAAP gross margin was 61%, compared with 63% in the same period last year. Non-GAAP gross margin was 64%, compared with 66% in the same period last year.</w:t>
      </w:r>
    </w:p>
    <w:p>
      <w:pPr>
        <w:ind w:left="340" w:hanging="332"/>
        <w:spacing w:after="0" w:line="26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service margin was 65%, compared with 69% in the same period last year. Non-GAAP service margin was 69%, compared with 71% in the same period last year.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440" w:right="239" w:bottom="1440" w:gutter="0" w:footer="0" w:header="0"/>
        </w:sectPr>
      </w:pPr>
    </w:p>
    <w:bookmarkStart w:id="4" w:name="page5"/>
    <w:bookmarkEnd w:id="4"/>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used in operating activities was $20.5 million. Cash, restricted cash and investments were $326.3 million at June 30, 2019.</w:t>
      </w:r>
    </w:p>
    <w:p>
      <w:pPr>
        <w:spacing w:after="0" w:line="225"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The Company is introducing additional financial and operating metrics in order to provide investors with incremental insights into the Company’s performance. Beginning with the reporting of the first quarter of fiscal 2020, the Company is providing information on two new metrics, total annual recurring revenue (ARR) and average annual service revenue per customer, as follows:</w:t>
      </w:r>
    </w:p>
    <w:p>
      <w:pPr>
        <w:spacing w:after="0" w:line="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ARR: The Company's total annual recurring revenue is $332.4 million, an increase of 21% from the same period last year.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annual service revenue per customer: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Small business was $4,726, compared with $4,552 in the same period last year, a 4% increase year-over-year.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Mid-market was $37,527, compared with $31,924 in the same period last year, an 18% increase year-over-year.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Enterprise was $154,901, compared with $129,010 in the same period last year, a 20% increase year-over-year.</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Please note that going forward the Company will be reporting annual revenue metrics in place of monthly metrics. These new metrics are included in a financial and operating metrics worksheet that is posted on the Company’s investor relations website.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Innovation Highlights</w:t>
      </w:r>
    </w:p>
    <w:p>
      <w:pPr>
        <w:spacing w:after="0" w:line="225" w:lineRule="exact"/>
        <w:rPr>
          <w:sz w:val="20"/>
          <w:szCs w:val="20"/>
          <w:color w:val="auto"/>
        </w:rPr>
      </w:pPr>
    </w:p>
    <w:p>
      <w:pPr>
        <w:jc w:val="both"/>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acquisition of Wavecell on July 17, 2019, Asia Pacific’s leading communications platform for communications platform-as-a-service (CPaaS). Further extends 8x8’s technology advantage as the only fully-owned, cloud technology platform with unified communications (UCaaS), contact center (CCaaS), video (VCaaS) and CPaaS solutions able to natively offer both pre-packaged communications, contact center and video solutions and open APIs to embed communications into an organization’s core business processes.</w:t>
      </w:r>
    </w:p>
    <w:p>
      <w:pPr>
        <w:spacing w:after="0" w:line="2"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Launched 8x8 Managed Technical Services, a fully managed service for network optimization that combines SD-WAN along with premium customer support.</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availability of 8x8 Express, a complete self-service business phone system for purchase on 8x8's e-commerce store.</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integrated 8x8 Meetings, a cloud-based video collaboration solution based on Jitsi technology, with high-definition video conferencing accessible on mobile and desktop devices.</w:t>
      </w: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Added new capabilities to 8x8 Contact Center including AI-enabled self-service, automatic speech recognition, and Expert Finder interoperability with more than 24 third-party messaging platforms such as Slack and Google Hangouts.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Added eight new patents in the quarter for a total of 191 patents awarded.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Q2 and F2020 Financial Outlook: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fiscal 2020, the Company is providing the following guidance inclusive of the Wavecell acquisition which closed on July 17,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Fiscal 2020 Financial Outlook:</w:t>
      </w:r>
    </w:p>
    <w:p>
      <w:pPr>
        <w:spacing w:after="0" w:line="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guidance in the range of $106.0 million to $107.0 million, representing approximately 24% to 25% year-over-year growth.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 Revenue guidance in the range of $102.5 million to $103.5 million, representing approximately 26% to 27% year-over-year growth.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Pre-Tax Loss guidance of approximately $16.5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Full-Year Fiscal 2020 Financial Outlook:</w:t>
      </w:r>
    </w:p>
    <w:p>
      <w:pPr>
        <w:spacing w:after="0" w:line="9" w:lineRule="exact"/>
        <w:rPr>
          <w:sz w:val="20"/>
          <w:szCs w:val="20"/>
          <w:color w:val="auto"/>
        </w:rPr>
      </w:pPr>
    </w:p>
    <w:p>
      <w:pPr>
        <w:ind w:left="340" w:right="2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raises total revenue guidance from approximately $418.0 million to approximately $438.0 million, representing approximately 24% year-over-year growth.</w:t>
      </w:r>
    </w:p>
    <w:p>
      <w:pPr>
        <w:ind w:left="340" w:right="96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raises service revenue guidance from approximately $400.0 million to approximately $420.0 million, representing approximately 26% year-over-year growth.</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updates non-GAAP pre-tax loss guidance to be approximately $53 million.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reconcile our forward-looking estimates of non-GAAP net income (loss) to the corresponding GAAP measures of GAAP net income (loss) due to the significant variability of, and difficulty in making accurate forecasts and projections with regards to, the various expenses we exclude. For example, although future hiring and retention needs may be reasonably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598" w:right="239" w:bottom="144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18"/>
          <w:szCs w:val="18"/>
          <w:color w:val="auto"/>
        </w:rPr>
        <w:t>predictable, stock-based compensation expense depends on variables that are largely not within the control of nor predictable by management, such as the market price of 8x8 common stock, and may also be significantly impacted by events like acquisitions, the timing and nature of which are difficult to predict with accuracy. Similarly, impairments and other non-recurring items are difficult to predict as they may depend on future events and external factors outside the Company's control. The actual amounts of these excluded items could have a significant impact on the Company's GAAP net income (loss). Accordingly, management believes that reconciliations of this forward-looking non-GAAP financial measure to the corresponding GAAP measure are not available without unreasonable effort.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Management will host a conference call to discuss earnings results on July 30, 2019 at 2 p.m. Pacific Time (5 p.m. Eastern Time). The call is accessible via the following numbers and webcast link:</w:t>
      </w:r>
    </w:p>
    <w:p>
      <w:pPr>
        <w:spacing w:after="0" w:line="156" w:lineRule="exact"/>
        <w:rPr>
          <w:sz w:val="20"/>
          <w:szCs w:val="20"/>
          <w:color w:val="auto"/>
        </w:rPr>
      </w:pPr>
    </w:p>
    <w:tbl>
      <w:tblPr>
        <w:tblLayout w:type="fixed"/>
        <w:tblInd w:w="1160" w:type="dxa"/>
        <w:tblCellMar>
          <w:top w:w="0" w:type="dxa"/>
          <w:left w:w="0" w:type="dxa"/>
          <w:bottom w:w="0" w:type="dxa"/>
          <w:right w:w="0" w:type="dxa"/>
        </w:tblCellMar>
      </w:tblPr>
      <w:tr>
        <w:trPr>
          <w:trHeight w:val="217"/>
        </w:trPr>
        <w:tc>
          <w:tcPr>
            <w:tcW w:w="1000" w:type="dxa"/>
            <w:vAlign w:val="bottom"/>
          </w:tcPr>
          <w:p>
            <w:pPr>
              <w:spacing w:after="0"/>
              <w:rPr>
                <w:sz w:val="20"/>
                <w:szCs w:val="20"/>
                <w:color w:val="auto"/>
              </w:rPr>
            </w:pPr>
            <w:r>
              <w:rPr>
                <w:rFonts w:ascii="Arial" w:cs="Arial" w:eastAsia="Arial" w:hAnsi="Arial"/>
                <w:sz w:val="18"/>
                <w:szCs w:val="18"/>
                <w:color w:val="auto"/>
              </w:rPr>
              <w:t>Dial In:</w:t>
            </w:r>
          </w:p>
        </w:tc>
        <w:tc>
          <w:tcPr>
            <w:tcW w:w="6680" w:type="dxa"/>
            <w:vAlign w:val="bottom"/>
            <w:gridSpan w:val="2"/>
          </w:tcPr>
          <w:p>
            <w:pPr>
              <w:spacing w:after="0"/>
              <w:rPr>
                <w:sz w:val="20"/>
                <w:szCs w:val="20"/>
                <w:color w:val="auto"/>
              </w:rPr>
            </w:pPr>
            <w:r>
              <w:rPr>
                <w:rFonts w:ascii="Arial" w:cs="Arial" w:eastAsia="Arial" w:hAnsi="Arial"/>
                <w:sz w:val="18"/>
                <w:szCs w:val="18"/>
                <w:color w:val="auto"/>
                <w:w w:val="99"/>
              </w:rPr>
              <w:t>(844) 343-9040 Domestic or (647) 689-5131 International; Conference ID #8189139</w:t>
            </w: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Replay:</w:t>
            </w:r>
          </w:p>
        </w:tc>
        <w:tc>
          <w:tcPr>
            <w:tcW w:w="6680" w:type="dxa"/>
            <w:vAlign w:val="bottom"/>
            <w:gridSpan w:val="2"/>
          </w:tcPr>
          <w:p>
            <w:pPr>
              <w:spacing w:after="0"/>
              <w:rPr>
                <w:sz w:val="20"/>
                <w:szCs w:val="20"/>
                <w:color w:val="auto"/>
              </w:rPr>
            </w:pPr>
            <w:r>
              <w:rPr>
                <w:rFonts w:ascii="Arial" w:cs="Arial" w:eastAsia="Arial" w:hAnsi="Arial"/>
                <w:sz w:val="18"/>
                <w:szCs w:val="18"/>
                <w:color w:val="auto"/>
                <w:w w:val="99"/>
              </w:rPr>
              <w:t>(800) 585-8367 Domestic or (416) 621-4642 International; Conference ID #8189139</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Webcast:</w:t>
            </w:r>
          </w:p>
        </w:tc>
        <w:tc>
          <w:tcPr>
            <w:tcW w:w="6680" w:type="dxa"/>
            <w:vAlign w:val="bottom"/>
            <w:gridSpan w:val="2"/>
          </w:tcPr>
          <w:p>
            <w:pPr>
              <w:spacing w:after="0"/>
              <w:rPr>
                <w:sz w:val="20"/>
                <w:szCs w:val="20"/>
                <w:color w:val="auto"/>
              </w:rPr>
            </w:pPr>
            <w:r>
              <w:rPr>
                <w:rFonts w:ascii="Arial" w:cs="Arial" w:eastAsia="Arial" w:hAnsi="Arial"/>
                <w:sz w:val="18"/>
                <w:szCs w:val="18"/>
                <w:color w:val="auto"/>
              </w:rPr>
              <w:t>http://investors.8x8.com</w:t>
            </w:r>
          </w:p>
        </w:tc>
      </w:tr>
      <w:tr>
        <w:trPr>
          <w:trHeight w:val="20"/>
        </w:trPr>
        <w:tc>
          <w:tcPr>
            <w:tcW w:w="10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Participants should plan to dial in or log on ten minutes prior to the start time. A telephonic replay of the call will be available until August 20, 2019. The webcast will be archived on 8x8's website for a period of 30 days. For additional information, visit http://investors.8x8.com.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8x8, Inc.</w:t>
      </w:r>
    </w:p>
    <w:p>
      <w:pPr>
        <w:spacing w:after="0" w:line="24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8x8, Inc. (NYSE: EGHT) is transforming the future of business communications as a leading cloud provider of voice, video, chat, contact center and enterprise-class API solutions powered by one global communications platform. 8x8 empowers workforces worldwide to connect individuals and teams so they can collaborate faster and work smarter. Real-time business analytics and intelligence provide businesses unique insights across all interactions and channels so they can delight end-customers and accelerate their business. For additional information, visit www.8x8.com, or follow 8x8 on LinkedIn, Twitter, and Facebook.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provided in this release financial information that has not been prepared in accordance with Generally Accepted Accounting Principles (GAAP). Management uses these non-GAAP financial measures internally in analyzing the Company's financial results and believes they are useful to investors, as a supplement to GAAP measures, in evaluating the Company's ongoing operational performance. Management believes that the use of these non-GAAP financial measures provides an additional tool for investors to use in evaluating 8x8's ongoing operating results and trends and in comparing financial results with other companies in the industry, many of which present similar non-GAAP financial measures to investors.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defined non-GAAP net income (loss) as net income (loss) under GAAP, plus amortization of acquired intangible assets, stock-based compensation, certain other income and expenses, and the provision for income taxes. Amortization of acquired intangible assets is excluded because it is a non-cash expense that management does not consider part of ongoing operations when assessing the Company's financial performance. Stock-based compensation expense has been excluded because it is a non-cash expense and relies on valuations based on future conditions and events, such as the market price of 8x8 common stock, that are difficult to predict and/or largely not within the control of management. Certain other income and expense items, such as acquisition-related expenses, certain severance expenses and expenses for tax or litigation risks, have been excluded because management considers them one-time events or otherwise not indicative of trends in the Company's ongoing operations. The Company has also excluded costs associated with its Coleman lease assignment.</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GAAP tax provision for income taxes has been excluded as management does not consider taxes in its analysis of the performance of ongoing operations. Due to the Company's history of tax losses and full valuation allowance against deferred tax assets, future GAAP and Non-GAAP effective tax rates are limited to current taxes in certain US states and foreign jurisdictions. The Company reports these current taxes as reduction from Non-GAAP pretax net income (loss) to derive Non-GAAP net income (loss) after taxes.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598" w:right="239" w:bottom="1440" w:gutter="0" w:footer="0" w:header="0"/>
        </w:sectPr>
      </w:pPr>
    </w:p>
    <w:bookmarkStart w:id="6" w:name="page7"/>
    <w:bookmarkEnd w:id="6"/>
    <w:p>
      <w:pPr>
        <w:jc w:val="both"/>
        <w:spacing w:after="0" w:line="262" w:lineRule="auto"/>
        <w:rPr>
          <w:sz w:val="20"/>
          <w:szCs w:val="20"/>
          <w:color w:val="auto"/>
        </w:rPr>
      </w:pPr>
      <w:r>
        <w:rPr>
          <w:rFonts w:ascii="Arial" w:cs="Arial" w:eastAsia="Arial" w:hAnsi="Arial"/>
          <w:sz w:val="18"/>
          <w:szCs w:val="18"/>
          <w:color w:val="auto"/>
        </w:rPr>
        <w:t>The Company defines non-GAAP net income (loss) per share as non-GAAP net income (loss) divided by the weighted-average basic or diluted shares outstanding which includes the effect of potentially dilutive stock options and awards.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believes that such exclusions facilitate comparisons to the Company's historical operating results and to the results of other companies in the same industry, and provides investors with information that management uses in evaluating the Company's performance on a quarterly and annual basis.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these non-GAAP financial measures adjust expenses, they should not be viewed as a pro forma presentation reflecting the elimination of the underlying share-based compensation programs, which are an important element of the Company's compensation structure. GAAP requires that all forms of share-based payments should be valued and included in the results of operations.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disclose these non-GAAP financial measures to the public as an additional means by which investors can assess our performance. These non-GAAP financial measures may be calculated differently from, and therefore may not be comparable to, similarly titled measures used by other companies. Non-GAAP financial measures should not be considered in isolation from, or as a substitute for, financial information prepared in accordance with GAAP. Investors are encouraged to review the reconciliation of these non-GAAP financial measures to their most directly comparable GAAP financial measures. This reconciliation has been provided in the financial statement tables included below in this press release.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r>
        <w:rPr>
          <w:rFonts w:ascii="Arial" w:cs="Arial" w:eastAsia="Arial" w:hAnsi="Arial"/>
          <w:sz w:val="18"/>
          <w:szCs w:val="18"/>
          <w:b w:val="1"/>
          <w:bCs w:val="1"/>
          <w:color w:val="auto"/>
        </w:rPr>
        <w: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news release contains "forward-looking statements" within the meaning of the Private Securities Litigation Reform Act of 1995 and Section 21E of the Securities Exchange Act of 1934. These statements include, without limitation, information about future events based on current expectations, potential product development efforts, near and long-term objectives, potential new business, strategies, organization changes, changing markets, future business performance and outlook. Such statements are predictions only, and actual events or results could differ materially from those made in any forward-looking statements due to a number of risks and uncertainties. Actual results and trends may differ materially from historical results or those projected in any such forward-looking statements depending on a variety of factors.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but are not limited to:</w:t>
      </w:r>
    </w:p>
    <w:p>
      <w:pPr>
        <w:spacing w:after="0" w:line="225" w:lineRule="exact"/>
        <w:rPr>
          <w:sz w:val="20"/>
          <w:szCs w:val="20"/>
          <w:color w:val="auto"/>
        </w:rPr>
      </w:pPr>
    </w:p>
    <w:p>
      <w:pPr>
        <w:ind w:left="340" w:right="80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acceptance and demand for our cloud communication and collaboration services, including voice, contact center, video, messaging, and communication APIs,</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and any changes in the competitive dynamics of the markets in which we compete,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quality and reliability of our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cancellations and rate of churn,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scale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acquisition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infrastructure of third-party network services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of failure in our physical infrastructure,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of defects or bugs in our software,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the compatibility of our software with third-party applications and mobile platforms,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compliance with industry standards and regulatory requirements in the United States and foreign countries in which we make our software solutions available, and the costs of such compliance,</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extent and results of sales and use tax audits,</w:t>
      </w:r>
    </w:p>
    <w:p>
      <w:pPr>
        <w:spacing w:after="0" w:line="9" w:lineRule="exact"/>
        <w:rPr>
          <w:rFonts w:ascii="Arial" w:cs="Arial" w:eastAsia="Arial" w:hAnsi="Arial"/>
          <w:sz w:val="18"/>
          <w:szCs w:val="18"/>
          <w:color w:val="auto"/>
        </w:rPr>
      </w:pPr>
    </w:p>
    <w:p>
      <w:pPr>
        <w:ind w:left="340" w:right="32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the acquisition and integration of businesses we have acquired (most recently, Wavecell Pte. Ltd.) or may acquire in the future, particularly if the acquired business operates in a different market space from us or is based in a region where we do not have significant operations,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and extent of improvements in operating results from increased spending in marketing, sales, and research and development,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and adoption of our cloud software solutions in markets outside of the United States,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of cybersecurity breaches and other unauthorized disclosures of customer data,</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that could adversely affect our business and operating results,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implementation and effects of new accounting standards and policies in our reported financial results,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future intellectual property infringement claims and other litigation that could adversely affect our business and operating results.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98" w:right="23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18"/>
          <w:szCs w:val="18"/>
          <w:color w:val="auto"/>
        </w:rPr>
        <w:t>For a discussion of such risks and uncertainties, which could cause actual results to differ from those contained in the forward-looking statements, see "Risk Factors" in the Company's reports on Forms 10-K and 10-Q, as well as other reports that 8x8, Inc. files from time to time with the Securities and Exchange Commission. All forward-looking statements are qualified in their entirety by this cautionary statement, and 8x8, Inc. undertakes no obligation to update publicly any forward-looking statement for any reason, except as required by law, even as new information becomes available or other events occur in the future.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8x8,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Victoria Hyde-Dunn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1-669-333-5200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victoria.hyde-dunn@8x8.com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Sun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1-408-692-7054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john.sun@8x8.com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814"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Three Months Ended</w:t>
            </w:r>
          </w:p>
        </w:tc>
      </w:tr>
      <w:tr>
        <w:trPr>
          <w:trHeight w:val="256"/>
        </w:trPr>
        <w:tc>
          <w:tcPr>
            <w:tcW w:w="434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22"/>
                <w:szCs w:val="22"/>
                <w:color w:val="auto"/>
              </w:rPr>
            </w:pPr>
          </w:p>
        </w:tc>
      </w:tr>
      <w:tr>
        <w:trPr>
          <w:trHeight w:val="237"/>
        </w:trPr>
        <w:tc>
          <w:tcPr>
            <w:tcW w:w="4340" w:type="dxa"/>
            <w:vAlign w:val="bottom"/>
            <w:tcBorders>
              <w:bottom w:val="single" w:sz="8" w:color="CCEEFF"/>
            </w:tcBorders>
          </w:tcPr>
          <w:p>
            <w:pPr>
              <w:spacing w:after="0"/>
              <w:rPr>
                <w:sz w:val="20"/>
                <w:szCs w:val="20"/>
                <w:color w:val="auto"/>
              </w:rPr>
            </w:pPr>
          </w:p>
        </w:tc>
        <w:tc>
          <w:tcPr>
            <w:tcW w:w="4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243"/>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revenue</w:t>
            </w:r>
          </w:p>
        </w:tc>
        <w:tc>
          <w:tcPr>
            <w:tcW w:w="4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92,372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78,121</w:t>
            </w:r>
          </w:p>
        </w:tc>
      </w:tr>
      <w:tr>
        <w:trPr>
          <w:trHeight w:val="237"/>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Product revenue</w:t>
            </w:r>
          </w:p>
        </w:tc>
        <w:tc>
          <w:tcPr>
            <w:tcW w:w="4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4,303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5,104</w:t>
            </w:r>
          </w:p>
        </w:tc>
      </w:tr>
      <w:tr>
        <w:trPr>
          <w:trHeight w:val="237"/>
        </w:trPr>
        <w:tc>
          <w:tcPr>
            <w:tcW w:w="4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w:t>
            </w:r>
          </w:p>
        </w:tc>
        <w:tc>
          <w:tcPr>
            <w:tcW w:w="44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96,675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83,225</w:t>
            </w:r>
          </w:p>
        </w:tc>
      </w:tr>
      <w:tr>
        <w:trPr>
          <w:trHeight w:val="243"/>
        </w:trPr>
        <w:tc>
          <w:tcPr>
            <w:tcW w:w="434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 and operating expenses:</w:t>
            </w:r>
          </w:p>
        </w:tc>
        <w:tc>
          <w:tcPr>
            <w:tcW w:w="4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3"/>
        </w:trPr>
        <w:tc>
          <w:tcPr>
            <w:tcW w:w="4340" w:type="dxa"/>
            <w:vAlign w:val="bottom"/>
          </w:tcPr>
          <w:p>
            <w:pPr>
              <w:ind w:left="260"/>
              <w:spacing w:after="0"/>
              <w:rPr>
                <w:sz w:val="20"/>
                <w:szCs w:val="20"/>
                <w:color w:val="auto"/>
              </w:rPr>
            </w:pPr>
            <w:r>
              <w:rPr>
                <w:rFonts w:ascii="Arial" w:cs="Arial" w:eastAsia="Arial" w:hAnsi="Arial"/>
                <w:sz w:val="16"/>
                <w:szCs w:val="16"/>
                <w:color w:val="auto"/>
              </w:rPr>
              <w:t>Cost of service revenue</w:t>
            </w:r>
          </w:p>
        </w:tc>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31,967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24,549</w:t>
            </w:r>
          </w:p>
        </w:tc>
      </w:tr>
      <w:tr>
        <w:trPr>
          <w:trHeight w:val="253"/>
        </w:trPr>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product revenue</w:t>
            </w:r>
          </w:p>
        </w:tc>
        <w:tc>
          <w:tcPr>
            <w:tcW w:w="4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6,281</w:t>
            </w:r>
          </w:p>
        </w:tc>
      </w:tr>
      <w:tr>
        <w:trPr>
          <w:trHeight w:val="233"/>
        </w:trPr>
        <w:tc>
          <w:tcPr>
            <w:tcW w:w="434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18,331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13,050</w:t>
            </w:r>
          </w:p>
        </w:tc>
      </w:tr>
      <w:tr>
        <w:trPr>
          <w:trHeight w:val="253"/>
        </w:trPr>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Sales and marketing</w:t>
            </w:r>
          </w:p>
        </w:tc>
        <w:tc>
          <w:tcPr>
            <w:tcW w:w="4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53,599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40,495</w:t>
            </w:r>
          </w:p>
        </w:tc>
      </w:tr>
      <w:tr>
        <w:trPr>
          <w:trHeight w:val="237"/>
        </w:trPr>
        <w:tc>
          <w:tcPr>
            <w:tcW w:w="4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General and administrative</w:t>
            </w:r>
          </w:p>
        </w:tc>
        <w:tc>
          <w:tcPr>
            <w:tcW w:w="44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19,607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14,833</w:t>
            </w:r>
          </w:p>
        </w:tc>
      </w:tr>
      <w:tr>
        <w:trPr>
          <w:trHeight w:val="237"/>
        </w:trPr>
        <w:tc>
          <w:tcPr>
            <w:tcW w:w="4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446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129,228</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99,208</w:t>
            </w:r>
          </w:p>
        </w:tc>
      </w:tr>
      <w:tr>
        <w:trPr>
          <w:trHeight w:val="233"/>
        </w:trPr>
        <w:tc>
          <w:tcPr>
            <w:tcW w:w="434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(15,983)</w:t>
            </w:r>
          </w:p>
        </w:tc>
      </w:tr>
      <w:tr>
        <w:trPr>
          <w:trHeight w:val="246"/>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44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719</w:t>
            </w:r>
          </w:p>
        </w:tc>
      </w:tr>
      <w:tr>
        <w:trPr>
          <w:trHeight w:val="233"/>
        </w:trPr>
        <w:tc>
          <w:tcPr>
            <w:tcW w:w="4340" w:type="dxa"/>
            <w:vAlign w:val="bottom"/>
          </w:tcPr>
          <w:p>
            <w:pPr>
              <w:ind w:left="40"/>
              <w:spacing w:after="0"/>
              <w:rPr>
                <w:sz w:val="20"/>
                <w:szCs w:val="20"/>
                <w:color w:val="auto"/>
              </w:rPr>
            </w:pPr>
            <w:r>
              <w:rPr>
                <w:rFonts w:ascii="Arial" w:cs="Arial" w:eastAsia="Arial" w:hAnsi="Arial"/>
                <w:sz w:val="16"/>
                <w:szCs w:val="16"/>
                <w:color w:val="auto"/>
              </w:rPr>
              <w:t>Loss before provision for income taxes</w:t>
            </w:r>
          </w:p>
        </w:tc>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(34,117)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(15,264)</w:t>
            </w:r>
          </w:p>
        </w:tc>
      </w:tr>
      <w:tr>
        <w:trPr>
          <w:trHeight w:val="246"/>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4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w:t>
            </w:r>
          </w:p>
        </w:tc>
      </w:tr>
      <w:tr>
        <w:trPr>
          <w:trHeight w:val="280"/>
        </w:trPr>
        <w:tc>
          <w:tcPr>
            <w:tcW w:w="4340" w:type="dxa"/>
            <w:vAlign w:val="bottom"/>
          </w:tcPr>
          <w:p>
            <w:pPr>
              <w:ind w:left="40"/>
              <w:spacing w:after="0"/>
              <w:rPr>
                <w:sz w:val="20"/>
                <w:szCs w:val="20"/>
                <w:color w:val="auto"/>
              </w:rPr>
            </w:pPr>
            <w:r>
              <w:rPr>
                <w:rFonts w:ascii="Arial" w:cs="Arial" w:eastAsia="Arial" w:hAnsi="Arial"/>
                <w:sz w:val="16"/>
                <w:szCs w:val="16"/>
                <w:color w:val="auto"/>
              </w:rPr>
              <w:t>Net loss</w:t>
            </w:r>
          </w:p>
        </w:tc>
        <w:tc>
          <w:tcPr>
            <w:tcW w:w="4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(34,265)</w:t>
            </w:r>
          </w:p>
        </w:tc>
        <w:tc>
          <w:tcPr>
            <w:tcW w:w="100" w:type="dxa"/>
            <w:vAlign w:val="bottom"/>
          </w:tcPr>
          <w:p>
            <w:pPr>
              <w:spacing w:after="0"/>
              <w:rPr>
                <w:sz w:val="24"/>
                <w:szCs w:val="24"/>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(15,355)</w:t>
            </w:r>
          </w:p>
        </w:tc>
      </w:tr>
      <w:tr>
        <w:trPr>
          <w:trHeight w:val="227"/>
        </w:trPr>
        <w:tc>
          <w:tcPr>
            <w:tcW w:w="4340" w:type="dxa"/>
            <w:vAlign w:val="bottom"/>
            <w:tcBorders>
              <w:top w:val="single" w:sz="8" w:color="CCEEFF"/>
            </w:tcBorders>
            <w:shd w:val="clear" w:color="auto" w:fill="CCEEFF"/>
          </w:tcPr>
          <w:p>
            <w:pPr>
              <w:spacing w:after="0"/>
              <w:rPr>
                <w:sz w:val="19"/>
                <w:szCs w:val="19"/>
                <w:color w:val="auto"/>
              </w:rPr>
            </w:pPr>
          </w:p>
        </w:tc>
        <w:tc>
          <w:tcPr>
            <w:tcW w:w="44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33"/>
        </w:trPr>
        <w:tc>
          <w:tcPr>
            <w:tcW w:w="434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0"/>
        </w:trPr>
        <w:tc>
          <w:tcPr>
            <w:tcW w:w="4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Basic and diluted</w:t>
            </w:r>
          </w:p>
        </w:tc>
        <w:tc>
          <w:tcPr>
            <w:tcW w:w="4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43"/>
        </w:trPr>
        <w:tc>
          <w:tcPr>
            <w:tcW w:w="434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number of shares:</w:t>
            </w:r>
          </w:p>
        </w:tc>
        <w:tc>
          <w:tcPr>
            <w:tcW w:w="44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4"/>
        </w:trPr>
        <w:tc>
          <w:tcPr>
            <w:tcW w:w="4340" w:type="dxa"/>
            <w:vAlign w:val="bottom"/>
          </w:tcPr>
          <w:p>
            <w:pPr>
              <w:ind w:left="260"/>
              <w:spacing w:after="0"/>
              <w:rPr>
                <w:sz w:val="20"/>
                <w:szCs w:val="20"/>
                <w:color w:val="auto"/>
              </w:rPr>
            </w:pPr>
            <w:r>
              <w:rPr>
                <w:rFonts w:ascii="Arial" w:cs="Arial" w:eastAsia="Arial" w:hAnsi="Arial"/>
                <w:sz w:val="16"/>
                <w:szCs w:val="16"/>
                <w:color w:val="auto"/>
              </w:rPr>
              <w:t>Basic and diluted</w:t>
            </w:r>
          </w:p>
        </w:tc>
        <w:tc>
          <w:tcPr>
            <w:tcW w:w="4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96,429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93,064</w:t>
            </w:r>
          </w:p>
        </w:tc>
      </w:tr>
      <w:tr>
        <w:trPr>
          <w:trHeight w:val="872"/>
        </w:trPr>
        <w:tc>
          <w:tcPr>
            <w:tcW w:w="4340" w:type="dxa"/>
            <w:vAlign w:val="bottom"/>
          </w:tcPr>
          <w:p>
            <w:pPr>
              <w:spacing w:after="0"/>
              <w:rPr>
                <w:sz w:val="24"/>
                <w:szCs w:val="24"/>
                <w:color w:val="auto"/>
              </w:rPr>
            </w:pPr>
          </w:p>
        </w:tc>
        <w:tc>
          <w:tcPr>
            <w:tcW w:w="4460" w:type="dxa"/>
            <w:vAlign w:val="bottom"/>
          </w:tcPr>
          <w:p>
            <w:pPr>
              <w:jc w:val="right"/>
              <w:ind w:right="2961"/>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0"/>
                <w:szCs w:val="20"/>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31, 2019</w:t>
            </w: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269,025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276,583</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Short-term investments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69,899</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23,361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20,181</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sales commission costs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15,601</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20,441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15,127</w:t>
            </w:r>
          </w:p>
        </w:tc>
      </w:tr>
      <w:tr>
        <w:trPr>
          <w:trHeight w:val="257"/>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357,128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397,391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57,717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52,835</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18,058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10,125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11,680</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39,694</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21,667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8,100</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Deferred sales commission costs, non-current</w:t>
            </w:r>
          </w:p>
        </w:tc>
        <w:tc>
          <w:tcPr>
            <w:tcW w:w="2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36,843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33,693</w:t>
            </w:r>
          </w:p>
        </w:tc>
      </w:tr>
      <w:tr>
        <w:trPr>
          <w:trHeight w:val="273"/>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2,965</w:t>
            </w:r>
          </w:p>
        </w:tc>
      </w:tr>
      <w:tr>
        <w:trPr>
          <w:trHeight w:val="280"/>
        </w:trPr>
        <w:tc>
          <w:tcPr>
            <w:tcW w:w="790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558,493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546,358</w:t>
            </w:r>
          </w:p>
        </w:tc>
      </w:tr>
      <w:tr>
        <w:trPr>
          <w:trHeight w:val="254"/>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32,280</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22,088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18,437</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taxes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13,862</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Operating lease liabilities, current</w:t>
            </w:r>
          </w:p>
        </w:tc>
        <w:tc>
          <w:tcPr>
            <w:tcW w:w="2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7,063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3,336</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11,270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6,790</w:t>
            </w:r>
          </w:p>
        </w:tc>
      </w:tr>
      <w:tr>
        <w:trPr>
          <w:trHeight w:val="257"/>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88,834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74,705</w:t>
            </w:r>
          </w:p>
        </w:tc>
      </w:tr>
      <w:tr>
        <w:trPr>
          <w:trHeight w:val="284"/>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liabilities, non-current</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Convertible senior notes, net</w:t>
            </w:r>
          </w:p>
        </w:tc>
        <w:tc>
          <w:tcPr>
            <w:tcW w:w="22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219,208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216,035</w:t>
            </w:r>
          </w:p>
        </w:tc>
      </w:tr>
      <w:tr>
        <w:trPr>
          <w:trHeight w:val="273"/>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 non-current</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6,228</w:t>
            </w:r>
          </w:p>
        </w:tc>
      </w:tr>
      <w:tr>
        <w:trPr>
          <w:trHeight w:val="25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328,346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296,968</w:t>
            </w:r>
          </w:p>
        </w:tc>
      </w:tr>
      <w:tr>
        <w:trPr>
          <w:trHeight w:val="284"/>
        </w:trPr>
        <w:tc>
          <w:tcPr>
            <w:tcW w:w="7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bl>
    <w:p>
      <w:pPr>
        <w:spacing w:after="0" w:line="56"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spacing w:after="0"/>
        <w:rPr>
          <w:sz w:val="20"/>
          <w:szCs w:val="20"/>
          <w:color w:val="auto"/>
        </w:rPr>
      </w:pPr>
      <w:r>
        <w:rPr>
          <w:rFonts w:ascii="Arial" w:cs="Arial" w:eastAsia="Arial" w:hAnsi="Arial"/>
          <w:sz w:val="16"/>
          <w:szCs w:val="16"/>
          <w:color w:val="auto"/>
        </w:rPr>
        <w:t>Stockholders' equity: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Common stock</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Accumulated other comprehensive loss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jc w:val="right"/>
        <w:ind w:right="3680"/>
        <w:spacing w:after="0"/>
        <w:rPr>
          <w:sz w:val="20"/>
          <w:szCs w:val="20"/>
          <w:color w:val="auto"/>
        </w:rPr>
      </w:pPr>
      <w:r>
        <w:rPr>
          <w:rFonts w:ascii="Arial" w:cs="Arial" w:eastAsia="Arial" w:hAnsi="Arial"/>
          <w:sz w:val="16"/>
          <w:szCs w:val="16"/>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270"/>
        </w:trPr>
        <w:tc>
          <w:tcPr>
            <w:tcW w:w="54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522,501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506,949</w:t>
            </w:r>
          </w:p>
        </w:tc>
      </w:tr>
      <w:tr>
        <w:trPr>
          <w:trHeight w:val="270"/>
        </w:trPr>
        <w:tc>
          <w:tcPr>
            <w:tcW w:w="5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(7,884)</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(7,353)</w:t>
            </w:r>
          </w:p>
        </w:tc>
      </w:tr>
      <w:tr>
        <w:trPr>
          <w:trHeight w:val="243"/>
        </w:trPr>
        <w:tc>
          <w:tcPr>
            <w:tcW w:w="5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(284,567)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(250,302)</w:t>
            </w:r>
          </w:p>
        </w:tc>
      </w:tr>
      <w:tr>
        <w:trPr>
          <w:trHeight w:val="40"/>
        </w:trPr>
        <w:tc>
          <w:tcPr>
            <w:tcW w:w="5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0"/>
        </w:trPr>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230,147</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249,390</w:t>
            </w:r>
          </w:p>
        </w:tc>
      </w:tr>
      <w:tr>
        <w:trPr>
          <w:trHeight w:val="237"/>
        </w:trPr>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558,493</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546,358</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-5010785</wp:posOffset>
            </wp:positionH>
            <wp:positionV relativeFrom="paragraph">
              <wp:posOffset>-1045845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-702310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-5010785</wp:posOffset>
            </wp:positionH>
            <wp:positionV relativeFrom="paragraph">
              <wp:posOffset>-359410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2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576" w:right="23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 June 30,</w:t>
            </w:r>
          </w:p>
        </w:tc>
      </w:tr>
      <w:tr>
        <w:trPr>
          <w:trHeight w:val="237"/>
        </w:trPr>
        <w:tc>
          <w:tcPr>
            <w:tcW w:w="79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33"/>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8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(15,355)</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Depreciation</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2,061</w:t>
            </w:r>
          </w:p>
        </w:tc>
      </w:tr>
      <w:tr>
        <w:trPr>
          <w:trHeight w:val="260"/>
        </w:trPr>
        <w:tc>
          <w:tcPr>
            <w:tcW w:w="7900" w:type="dxa"/>
            <w:vAlign w:val="bottom"/>
          </w:tcPr>
          <w:p>
            <w:pPr>
              <w:ind w:left="26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1,524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1,432</w:t>
            </w:r>
          </w:p>
        </w:tc>
      </w:tr>
      <w:tr>
        <w:trPr>
          <w:trHeight w:val="280"/>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capitalized software</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3,805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1,685</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Amortization of debt discount and issuance costs</w:t>
            </w:r>
          </w:p>
        </w:tc>
        <w:tc>
          <w:tcPr>
            <w:tcW w:w="36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3,173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deferred sales commission costs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4,189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3,253</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Amortization of right-of-use asset</w:t>
            </w:r>
          </w:p>
        </w:tc>
        <w:tc>
          <w:tcPr>
            <w:tcW w:w="36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2,085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Non-cash lease expenses</w:t>
            </w:r>
          </w:p>
        </w:tc>
        <w:tc>
          <w:tcPr>
            <w:tcW w:w="3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1,200</w:t>
            </w:r>
          </w:p>
        </w:tc>
      </w:tr>
      <w:tr>
        <w:trPr>
          <w:trHeight w:val="260"/>
        </w:trPr>
        <w:tc>
          <w:tcPr>
            <w:tcW w:w="790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13,597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8,911</w:t>
            </w:r>
          </w:p>
        </w:tc>
      </w:tr>
      <w:tr>
        <w:trPr>
          <w:trHeight w:val="280"/>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color w:val="auto"/>
              </w:rPr>
              <w:t>Changes in assets and liabilities:</w:t>
            </w: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80"/>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 net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(1,497)</w:t>
            </w:r>
          </w:p>
        </w:tc>
      </w:tr>
      <w:tr>
        <w:trPr>
          <w:trHeight w:val="260"/>
        </w:trPr>
        <w:tc>
          <w:tcPr>
            <w:tcW w:w="7900" w:type="dxa"/>
            <w:vAlign w:val="bottom"/>
          </w:tcPr>
          <w:p>
            <w:pPr>
              <w:ind w:left="260"/>
              <w:spacing w:after="0"/>
              <w:rPr>
                <w:sz w:val="20"/>
                <w:szCs w:val="20"/>
                <w:color w:val="auto"/>
              </w:rPr>
            </w:pPr>
            <w:r>
              <w:rPr>
                <w:rFonts w:ascii="Arial" w:cs="Arial" w:eastAsia="Arial" w:hAnsi="Arial"/>
                <w:sz w:val="16"/>
                <w:szCs w:val="16"/>
                <w:color w:val="auto"/>
              </w:rPr>
              <w:t>Deferred sales commission costs</w:t>
            </w: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(5,052)</w:t>
            </w:r>
          </w:p>
        </w:tc>
      </w:tr>
      <w:tr>
        <w:trPr>
          <w:trHeight w:val="280"/>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current and non-current assets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r>
      <w:tr>
        <w:trPr>
          <w:trHeight w:val="260"/>
        </w:trPr>
        <w:tc>
          <w:tcPr>
            <w:tcW w:w="7900" w:type="dxa"/>
            <w:vAlign w:val="bottom"/>
          </w:tcPr>
          <w:p>
            <w:pPr>
              <w:ind w:left="260"/>
              <w:spacing w:after="0"/>
              <w:rPr>
                <w:sz w:val="20"/>
                <w:szCs w:val="20"/>
                <w:color w:val="auto"/>
              </w:rPr>
            </w:pPr>
            <w:r>
              <w:rPr>
                <w:rFonts w:ascii="Arial" w:cs="Arial" w:eastAsia="Arial" w:hAnsi="Arial"/>
                <w:sz w:val="16"/>
                <w:szCs w:val="16"/>
                <w:color w:val="auto"/>
              </w:rPr>
              <w:t>Accounts payable and accruals</w:t>
            </w: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3,905</w:t>
            </w:r>
          </w:p>
        </w:tc>
      </w:tr>
      <w:tr>
        <w:trPr>
          <w:trHeight w:val="273"/>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r>
      <w:tr>
        <w:trPr>
          <w:trHeight w:val="250"/>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in) provided by operating activities</w:t>
            </w:r>
          </w:p>
        </w:tc>
        <w:tc>
          <w:tcPr>
            <w:tcW w:w="3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(20,509)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789</w:t>
            </w:r>
          </w:p>
        </w:tc>
      </w:tr>
      <w:tr>
        <w:trPr>
          <w:trHeight w:val="243"/>
        </w:trPr>
        <w:tc>
          <w:tcPr>
            <w:tcW w:w="7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80"/>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r>
      <w:tr>
        <w:trPr>
          <w:trHeight w:val="260"/>
        </w:trPr>
        <w:tc>
          <w:tcPr>
            <w:tcW w:w="7900" w:type="dxa"/>
            <w:vAlign w:val="bottom"/>
          </w:tcPr>
          <w:p>
            <w:pPr>
              <w:ind w:left="260"/>
              <w:spacing w:after="0"/>
              <w:rPr>
                <w:sz w:val="20"/>
                <w:szCs w:val="20"/>
                <w:color w:val="auto"/>
              </w:rPr>
            </w:pPr>
            <w:r>
              <w:rPr>
                <w:rFonts w:ascii="Arial" w:cs="Arial" w:eastAsia="Arial" w:hAnsi="Arial"/>
                <w:sz w:val="16"/>
                <w:szCs w:val="16"/>
                <w:color w:val="auto"/>
              </w:rPr>
              <w:t>Purchase of business</w:t>
            </w:r>
          </w:p>
        </w:tc>
        <w:tc>
          <w:tcPr>
            <w:tcW w:w="36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(2,625)</w:t>
            </w:r>
          </w:p>
        </w:tc>
      </w:tr>
      <w:tr>
        <w:trPr>
          <w:trHeight w:val="280"/>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Cost of capitalized software</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(5,112)</w:t>
            </w:r>
          </w:p>
        </w:tc>
      </w:tr>
      <w:tr>
        <w:trPr>
          <w:trHeight w:val="260"/>
        </w:trPr>
        <w:tc>
          <w:tcPr>
            <w:tcW w:w="7900" w:type="dxa"/>
            <w:vAlign w:val="bottom"/>
          </w:tcPr>
          <w:p>
            <w:pPr>
              <w:ind w:left="260"/>
              <w:spacing w:after="0"/>
              <w:rPr>
                <w:sz w:val="20"/>
                <w:szCs w:val="20"/>
                <w:color w:val="auto"/>
              </w:rPr>
            </w:pPr>
            <w:r>
              <w:rPr>
                <w:rFonts w:ascii="Arial" w:cs="Arial" w:eastAsia="Arial" w:hAnsi="Arial"/>
                <w:sz w:val="16"/>
                <w:szCs w:val="16"/>
                <w:color w:val="auto"/>
              </w:rPr>
              <w:t>Proceeds from maturities of investments</w:t>
            </w:r>
          </w:p>
        </w:tc>
        <w:tc>
          <w:tcPr>
            <w:tcW w:w="36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4,600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18,400</w:t>
            </w:r>
          </w:p>
        </w:tc>
      </w:tr>
      <w:tr>
        <w:trPr>
          <w:trHeight w:val="280"/>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sales of investments</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29,793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11,914</w:t>
            </w:r>
          </w:p>
        </w:tc>
      </w:tr>
      <w:tr>
        <w:trPr>
          <w:trHeight w:val="264"/>
        </w:trPr>
        <w:tc>
          <w:tcPr>
            <w:tcW w:w="79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Purchases of investments</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(19,534)</w:t>
            </w:r>
          </w:p>
        </w:tc>
      </w:tr>
      <w:tr>
        <w:trPr>
          <w:trHeight w:val="250"/>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11,171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1,820</w:t>
            </w:r>
          </w:p>
        </w:tc>
      </w:tr>
      <w:tr>
        <w:trPr>
          <w:trHeight w:val="243"/>
        </w:trPr>
        <w:tc>
          <w:tcPr>
            <w:tcW w:w="7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Finance lease payments</w:t>
            </w:r>
          </w:p>
        </w:tc>
        <w:tc>
          <w:tcPr>
            <w:tcW w:w="3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80"/>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Tax-related withholding of common stock</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64"/>
        </w:trPr>
        <w:tc>
          <w:tcPr>
            <w:tcW w:w="79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1,007</w:t>
            </w:r>
          </w:p>
        </w:tc>
      </w:tr>
      <w:tr>
        <w:trPr>
          <w:trHeight w:val="250"/>
        </w:trPr>
        <w:tc>
          <w:tcPr>
            <w:tcW w:w="7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1,367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w:t>
            </w:r>
          </w:p>
        </w:tc>
      </w:tr>
      <w:tr>
        <w:trPr>
          <w:trHeight w:val="243"/>
        </w:trPr>
        <w:tc>
          <w:tcPr>
            <w:tcW w:w="7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4"/>
        </w:trPr>
        <w:tc>
          <w:tcPr>
            <w:tcW w:w="79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r>
      <w:tr>
        <w:trPr>
          <w:trHeight w:val="247"/>
        </w:trPr>
        <w:tc>
          <w:tcPr>
            <w:tcW w:w="7900" w:type="dxa"/>
            <w:vAlign w:val="bottom"/>
          </w:tcPr>
          <w:p>
            <w:pPr>
              <w:ind w:left="4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2,854</w:t>
            </w:r>
          </w:p>
        </w:tc>
      </w:tr>
      <w:tr>
        <w:trPr>
          <w:trHeight w:val="253"/>
        </w:trPr>
        <w:tc>
          <w:tcPr>
            <w:tcW w:w="79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284,683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39,803</w:t>
            </w: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277,125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42,657</w:t>
            </w:r>
          </w:p>
        </w:tc>
      </w:tr>
      <w:tr>
        <w:trPr>
          <w:trHeight w:val="20"/>
        </w:trPr>
        <w:tc>
          <w:tcPr>
            <w:tcW w:w="7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57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8x8,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7"/>
          </w:tcPr>
          <w:p>
            <w:pPr>
              <w:ind w:left="560"/>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r>
      <w:tr>
        <w:trPr>
          <w:trHeight w:val="283"/>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Reconciliation of GAAP to Non-GAAP Expenses:</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680" w:type="dxa"/>
            <w:vAlign w:val="bottom"/>
            <w:tcBorders>
              <w:bottom w:val="single" w:sz="8" w:color="auto"/>
            </w:tcBorders>
          </w:tcPr>
          <w:p>
            <w:pPr>
              <w:spacing w:after="0"/>
              <w:rPr>
                <w:sz w:val="24"/>
                <w:szCs w:val="24"/>
                <w:color w:val="auto"/>
              </w:rPr>
            </w:pPr>
          </w:p>
        </w:tc>
      </w:tr>
      <w:tr>
        <w:trPr>
          <w:trHeight w:val="270"/>
        </w:trPr>
        <w:tc>
          <w:tcPr>
            <w:tcW w:w="7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 cost of service revenue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31,967</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24,549</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0"/>
        </w:trPr>
        <w:tc>
          <w:tcPr>
            <w:tcW w:w="7580" w:type="dxa"/>
            <w:vAlign w:val="bottom"/>
          </w:tcPr>
          <w:p>
            <w:pPr>
              <w:ind w:left="26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(1,310)</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(1,110)</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3"/>
        </w:trPr>
        <w:tc>
          <w:tcPr>
            <w:tcW w:w="7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(1,731)</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80"/>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cost of service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28,926</w:t>
            </w:r>
          </w:p>
        </w:tc>
        <w:tc>
          <w:tcPr>
            <w:tcW w:w="3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22,413</w:t>
            </w: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r>
      <w:tr>
        <w:trPr>
          <w:trHeight w:val="22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service margin (as a percentage of service revenue)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63,446</w:t>
            </w:r>
          </w:p>
        </w:tc>
        <w:tc>
          <w:tcPr>
            <w:tcW w:w="3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55,708</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71.3%</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4"/>
        </w:trPr>
        <w:tc>
          <w:tcPr>
            <w:tcW w:w="7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5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GAAP and Non-GAAP cost of product revenue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5,724</w:t>
            </w: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6,281</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64"/>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product margin (as a percentage of product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w:t>
            </w:r>
          </w:p>
        </w:tc>
        <w:tc>
          <w:tcPr>
            <w:tcW w:w="34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-33.0 %</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c>
          <w:tcPr>
            <w:tcW w:w="2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jc w:val="center"/>
              <w:ind w:right="39"/>
              <w:spacing w:after="0"/>
              <w:rPr>
                <w:sz w:val="20"/>
                <w:szCs w:val="20"/>
                <w:color w:val="auto"/>
              </w:rPr>
            </w:pPr>
            <w:r>
              <w:rPr>
                <w:rFonts w:ascii="Arial" w:cs="Arial" w:eastAsia="Arial" w:hAnsi="Arial"/>
                <w:sz w:val="16"/>
                <w:szCs w:val="16"/>
                <w:color w:val="auto"/>
              </w:rPr>
              <w:t>-23.1%</w:t>
            </w:r>
          </w:p>
        </w:tc>
      </w:tr>
      <w:tr>
        <w:trPr>
          <w:trHeight w:val="254"/>
        </w:trPr>
        <w:tc>
          <w:tcPr>
            <w:tcW w:w="7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r>
        <w:trPr>
          <w:trHeight w:val="294"/>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gross margin (as a percentage of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62,025</w:t>
            </w:r>
          </w:p>
        </w:tc>
        <w:tc>
          <w:tcPr>
            <w:tcW w:w="3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64.2 %</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54,531</w:t>
            </w: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jc w:val="center"/>
              <w:ind w:right="19"/>
              <w:spacing w:after="0"/>
              <w:rPr>
                <w:sz w:val="20"/>
                <w:szCs w:val="20"/>
                <w:color w:val="auto"/>
              </w:rPr>
            </w:pPr>
            <w:r>
              <w:rPr>
                <w:rFonts w:ascii="Arial" w:cs="Arial" w:eastAsia="Arial" w:hAnsi="Arial"/>
                <w:sz w:val="16"/>
                <w:szCs w:val="16"/>
                <w:color w:val="auto"/>
              </w:rPr>
              <w:t>65.5%</w:t>
            </w:r>
          </w:p>
        </w:tc>
      </w:tr>
      <w:tr>
        <w:trPr>
          <w:trHeight w:val="281"/>
        </w:trPr>
        <w:tc>
          <w:tcPr>
            <w:tcW w:w="7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0"/>
        </w:trPr>
        <w:tc>
          <w:tcPr>
            <w:tcW w:w="7580" w:type="dxa"/>
            <w:vAlign w:val="bottom"/>
          </w:tcPr>
          <w:p>
            <w:pPr>
              <w:ind w:left="40"/>
              <w:spacing w:after="0"/>
              <w:rPr>
                <w:sz w:val="20"/>
                <w:szCs w:val="20"/>
                <w:color w:val="auto"/>
              </w:rPr>
            </w:pPr>
            <w:r>
              <w:rPr>
                <w:rFonts w:ascii="Arial" w:cs="Arial" w:eastAsia="Arial" w:hAnsi="Arial"/>
                <w:sz w:val="16"/>
                <w:szCs w:val="16"/>
                <w:color w:val="auto"/>
              </w:rPr>
              <w:t>GAAP research and development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18,331</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13,050</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80"/>
        </w:trPr>
        <w:tc>
          <w:tcPr>
            <w:tcW w:w="7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 expense</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w:t>
            </w: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7580" w:type="dxa"/>
            <w:vAlign w:val="bottom"/>
          </w:tcPr>
          <w:p>
            <w:pPr>
              <w:ind w:left="280"/>
              <w:spacing w:after="0"/>
              <w:rPr>
                <w:sz w:val="20"/>
                <w:szCs w:val="20"/>
                <w:color w:val="auto"/>
              </w:rPr>
            </w:pPr>
            <w:r>
              <w:rPr>
                <w:rFonts w:ascii="Arial" w:cs="Arial" w:eastAsia="Arial" w:hAnsi="Arial"/>
                <w:sz w:val="16"/>
                <w:szCs w:val="16"/>
                <w:color w:val="auto"/>
              </w:rPr>
              <w:t>Acquisition costs</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2"/>
                <w:szCs w:val="22"/>
                <w:color w:val="auto"/>
              </w:rPr>
            </w:pPr>
          </w:p>
        </w:tc>
      </w:tr>
      <w:tr>
        <w:trPr>
          <w:trHeight w:val="240"/>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research and development (as a percentage of revenue)</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14,456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10,856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rPr>
              <w:t>13.0%</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4"/>
        </w:trPr>
        <w:tc>
          <w:tcPr>
            <w:tcW w:w="7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0"/>
        </w:trPr>
        <w:tc>
          <w:tcPr>
            <w:tcW w:w="7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 sales and marketing</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53,599</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40,495</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0"/>
        </w:trPr>
        <w:tc>
          <w:tcPr>
            <w:tcW w:w="7580" w:type="dxa"/>
            <w:vAlign w:val="bottom"/>
          </w:tcPr>
          <w:p>
            <w:pPr>
              <w:ind w:left="260"/>
              <w:spacing w:after="0"/>
              <w:rPr>
                <w:sz w:val="20"/>
                <w:szCs w:val="20"/>
                <w:color w:val="auto"/>
              </w:rPr>
            </w:pPr>
            <w:r>
              <w:rPr>
                <w:rFonts w:ascii="Arial" w:cs="Arial" w:eastAsia="Arial" w:hAnsi="Arial"/>
                <w:sz w:val="16"/>
                <w:szCs w:val="16"/>
                <w:color w:val="auto"/>
              </w:rPr>
              <w:t>Amortization of acquired intangible assets</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(214)</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(322)</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3"/>
        </w:trPr>
        <w:tc>
          <w:tcPr>
            <w:tcW w:w="7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(3,921)</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(2,398)</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80"/>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sales and marketing (as a percentage of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49,464</w:t>
            </w:r>
          </w:p>
        </w:tc>
        <w:tc>
          <w:tcPr>
            <w:tcW w:w="3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51.2 %</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37,775</w:t>
            </w: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jc w:val="center"/>
              <w:ind w:right="19"/>
              <w:spacing w:after="0"/>
              <w:rPr>
                <w:sz w:val="20"/>
                <w:szCs w:val="20"/>
                <w:color w:val="auto"/>
              </w:rPr>
            </w:pPr>
            <w:r>
              <w:rPr>
                <w:rFonts w:ascii="Arial" w:cs="Arial" w:eastAsia="Arial" w:hAnsi="Arial"/>
                <w:sz w:val="16"/>
                <w:szCs w:val="16"/>
                <w:color w:val="auto"/>
              </w:rPr>
              <w:t>45.4%</w:t>
            </w:r>
          </w:p>
        </w:tc>
      </w:tr>
      <w:tr>
        <w:trPr>
          <w:trHeight w:val="159"/>
        </w:trPr>
        <w:tc>
          <w:tcPr>
            <w:tcW w:w="7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260"/>
        </w:trPr>
        <w:tc>
          <w:tcPr>
            <w:tcW w:w="7580" w:type="dxa"/>
            <w:vAlign w:val="bottom"/>
          </w:tcPr>
          <w:p>
            <w:pPr>
              <w:ind w:left="40"/>
              <w:spacing w:after="0"/>
              <w:rPr>
                <w:sz w:val="20"/>
                <w:szCs w:val="20"/>
                <w:color w:val="auto"/>
              </w:rPr>
            </w:pPr>
            <w:r>
              <w:rPr>
                <w:rFonts w:ascii="Arial" w:cs="Arial" w:eastAsia="Arial" w:hAnsi="Arial"/>
                <w:sz w:val="16"/>
                <w:szCs w:val="16"/>
                <w:color w:val="auto"/>
              </w:rPr>
              <w:t>GAAP general and administrative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19,607</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14,833</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80"/>
        </w:trPr>
        <w:tc>
          <w:tcPr>
            <w:tcW w:w="7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 expense</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0"/>
        </w:trPr>
        <w:tc>
          <w:tcPr>
            <w:tcW w:w="7580" w:type="dxa"/>
            <w:vAlign w:val="bottom"/>
          </w:tcPr>
          <w:p>
            <w:pPr>
              <w:ind w:left="280"/>
              <w:spacing w:after="0"/>
              <w:rPr>
                <w:sz w:val="20"/>
                <w:szCs w:val="20"/>
                <w:color w:val="auto"/>
              </w:rPr>
            </w:pPr>
            <w:r>
              <w:rPr>
                <w:rFonts w:ascii="Arial" w:cs="Arial" w:eastAsia="Arial" w:hAnsi="Arial"/>
                <w:sz w:val="16"/>
                <w:szCs w:val="16"/>
                <w:color w:val="auto"/>
              </w:rPr>
              <w:t>Acquisition costs</w:t>
            </w: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(1,222)</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2"/>
                <w:szCs w:val="22"/>
                <w:color w:val="auto"/>
              </w:rPr>
            </w:pPr>
          </w:p>
        </w:tc>
      </w:tr>
      <w:tr>
        <w:trPr>
          <w:trHeight w:val="273"/>
        </w:trPr>
        <w:tc>
          <w:tcPr>
            <w:tcW w:w="75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Non-recurring items</w:t>
            </w: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80"/>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Non-GAAP general and administrative (as a percentage of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13,582</w:t>
            </w:r>
          </w:p>
        </w:tc>
        <w:tc>
          <w:tcPr>
            <w:tcW w:w="3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14.0 %</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10,039</w:t>
            </w:r>
          </w:p>
        </w:tc>
        <w:tc>
          <w:tcPr>
            <w:tcW w:w="2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jc w:val="center"/>
              <w:ind w:right="19"/>
              <w:spacing w:after="0"/>
              <w:rPr>
                <w:sz w:val="20"/>
                <w:szCs w:val="20"/>
                <w:color w:val="auto"/>
              </w:rPr>
            </w:pPr>
            <w:r>
              <w:rPr>
                <w:rFonts w:ascii="Arial" w:cs="Arial" w:eastAsia="Arial" w:hAnsi="Arial"/>
                <w:sz w:val="16"/>
                <w:szCs w:val="16"/>
                <w:color w:val="auto"/>
              </w:rPr>
              <w:t>12.1%</w:t>
            </w:r>
          </w:p>
        </w:tc>
      </w:tr>
      <w:tr>
        <w:trPr>
          <w:trHeight w:val="254"/>
        </w:trPr>
        <w:tc>
          <w:tcPr>
            <w:tcW w:w="75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57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7"/>
          </w:tcPr>
          <w:p>
            <w:pPr>
              <w:jc w:val="right"/>
              <w:ind w:right="280"/>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Pr>
          <w:p>
            <w:pPr>
              <w:spacing w:after="0"/>
              <w:rPr>
                <w:sz w:val="18"/>
                <w:szCs w:val="18"/>
                <w:color w:val="auto"/>
              </w:rPr>
            </w:pPr>
          </w:p>
        </w:tc>
      </w:tr>
      <w:tr>
        <w:trPr>
          <w:trHeight w:val="283"/>
        </w:trPr>
        <w:tc>
          <w:tcPr>
            <w:tcW w:w="72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2019</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2018</w:t>
            </w:r>
          </w:p>
        </w:tc>
        <w:tc>
          <w:tcPr>
            <w:tcW w:w="660" w:type="dxa"/>
            <w:vAlign w:val="bottom"/>
            <w:tcBorders>
              <w:bottom w:val="single" w:sz="8" w:color="auto"/>
            </w:tcBorders>
          </w:tcPr>
          <w:p>
            <w:pPr>
              <w:spacing w:after="0"/>
              <w:rPr>
                <w:sz w:val="24"/>
                <w:szCs w:val="24"/>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GAAP Net Loss to Non-GAAP Net Loss:</w:t>
            </w: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60"/>
        </w:trPr>
        <w:tc>
          <w:tcPr>
            <w:tcW w:w="7240" w:type="dxa"/>
            <w:vAlign w:val="bottom"/>
          </w:tcPr>
          <w:p>
            <w:pPr>
              <w:ind w:left="40"/>
              <w:spacing w:after="0"/>
              <w:rPr>
                <w:sz w:val="20"/>
                <w:szCs w:val="20"/>
                <w:color w:val="auto"/>
              </w:rPr>
            </w:pPr>
            <w:r>
              <w:rPr>
                <w:rFonts w:ascii="Arial" w:cs="Arial" w:eastAsia="Arial" w:hAnsi="Arial"/>
                <w:sz w:val="16"/>
                <w:szCs w:val="16"/>
                <w:color w:val="auto"/>
              </w:rPr>
              <w:t>GAAP net loss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(34,265)</w:t>
            </w: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(15,355)</w:t>
            </w: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80"/>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acquired intangible assets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1,524</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1,432</w:t>
            </w: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0"/>
        </w:trPr>
        <w:tc>
          <w:tcPr>
            <w:tcW w:w="724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13,597</w:t>
            </w: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8,911</w:t>
            </w: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80"/>
        </w:trPr>
        <w:tc>
          <w:tcPr>
            <w:tcW w:w="7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Acquisition costs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1,233</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24"/>
                <w:szCs w:val="24"/>
                <w:color w:val="auto"/>
              </w:rPr>
            </w:pPr>
          </w:p>
        </w:tc>
      </w:tr>
      <w:tr>
        <w:trPr>
          <w:trHeight w:val="260"/>
        </w:trPr>
        <w:tc>
          <w:tcPr>
            <w:tcW w:w="7240" w:type="dxa"/>
            <w:vAlign w:val="bottom"/>
          </w:tcPr>
          <w:p>
            <w:pPr>
              <w:ind w:left="280"/>
              <w:spacing w:after="0"/>
              <w:rPr>
                <w:sz w:val="20"/>
                <w:szCs w:val="20"/>
                <w:color w:val="auto"/>
              </w:rPr>
            </w:pPr>
            <w:r>
              <w:rPr>
                <w:rFonts w:ascii="Arial" w:cs="Arial" w:eastAsia="Arial" w:hAnsi="Arial"/>
                <w:sz w:val="16"/>
                <w:szCs w:val="16"/>
                <w:color w:val="auto"/>
              </w:rPr>
              <w:t>Debt amortization expense</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3,173</w:t>
            </w: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2"/>
                <w:szCs w:val="22"/>
                <w:color w:val="auto"/>
              </w:rPr>
            </w:pPr>
          </w:p>
        </w:tc>
      </w:tr>
      <w:tr>
        <w:trPr>
          <w:trHeight w:val="280"/>
        </w:trPr>
        <w:tc>
          <w:tcPr>
            <w:tcW w:w="72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Non-recurring items in operating expenses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1,501</w:t>
            </w: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64"/>
        </w:trPr>
        <w:tc>
          <w:tcPr>
            <w:tcW w:w="72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w:t>
            </w:r>
          </w:p>
        </w:tc>
        <w:tc>
          <w:tcPr>
            <w:tcW w:w="3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w:t>
            </w:r>
          </w:p>
        </w:tc>
        <w:tc>
          <w:tcPr>
            <w:tcW w:w="2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r>
      <w:tr>
        <w:trPr>
          <w:trHeight w:val="24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net loss before taxes (as a percentage of revenue)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(13,868)</w:t>
            </w: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(3,420)</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0"/>
        </w:trPr>
        <w:tc>
          <w:tcPr>
            <w:tcW w:w="72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Non-GAAP tax expense (1)</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w:t>
            </w:r>
          </w:p>
        </w:tc>
        <w:tc>
          <w:tcPr>
            <w:tcW w:w="3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91</w:t>
            </w:r>
          </w:p>
        </w:tc>
        <w:tc>
          <w:tcPr>
            <w:tcW w:w="2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r>
      <w:tr>
        <w:trPr>
          <w:trHeight w:val="24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Non-GAAP net loss after taxes (as a percentage of revenue)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(14,016)</w:t>
            </w: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(3,511)</w:t>
            </w: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0"/>
        </w:trPr>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79" w:lineRule="exact"/>
        <w:rPr>
          <w:sz w:val="20"/>
          <w:szCs w:val="20"/>
          <w:color w:val="auto"/>
        </w:rPr>
      </w:pPr>
    </w:p>
    <w:p>
      <w:pPr>
        <w:ind w:left="40" w:right="440" w:hanging="5"/>
        <w:spacing w:after="0" w:line="260" w:lineRule="auto"/>
        <w:tabs>
          <w:tab w:leader="none" w:pos="2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non-GAAP tax provision in fiscal years 2020 and 2019 do not have deferred income tax impact due to the full valuation allowance applied against deferred tax assets. The non-GAAP effective tax is based on current taxes for certain US states and foreign jurisdictions.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Shares used in computing non-GAAP net loss per share: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Basic and Diluted</w:t>
            </w:r>
          </w:p>
        </w:tc>
        <w:tc>
          <w:tcPr>
            <w:tcW w:w="2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96,429</w:t>
            </w:r>
          </w:p>
        </w:tc>
        <w:tc>
          <w:tcPr>
            <w:tcW w:w="9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93,064</w:t>
            </w:r>
          </w:p>
        </w:tc>
      </w:tr>
      <w:tr>
        <w:trPr>
          <w:trHeight w:val="270"/>
        </w:trPr>
        <w:tc>
          <w:tcPr>
            <w:tcW w:w="50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 net loss per share - Basic and Diluted</w:t>
            </w:r>
          </w:p>
        </w:tc>
        <w:tc>
          <w:tcPr>
            <w:tcW w:w="24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(0.36)</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(0.16)</w:t>
            </w:r>
          </w:p>
        </w:tc>
      </w:tr>
      <w:tr>
        <w:trPr>
          <w:trHeight w:val="251"/>
        </w:trPr>
        <w:tc>
          <w:tcPr>
            <w:tcW w:w="5080" w:type="dxa"/>
            <w:vAlign w:val="bottom"/>
          </w:tcPr>
          <w:p>
            <w:pPr>
              <w:ind w:left="40"/>
              <w:spacing w:after="0"/>
              <w:rPr>
                <w:sz w:val="20"/>
                <w:szCs w:val="20"/>
                <w:color w:val="auto"/>
              </w:rPr>
            </w:pPr>
            <w:r>
              <w:rPr>
                <w:rFonts w:ascii="Arial" w:cs="Arial" w:eastAsia="Arial" w:hAnsi="Arial"/>
                <w:sz w:val="16"/>
                <w:szCs w:val="16"/>
                <w:color w:val="auto"/>
              </w:rPr>
              <w:t>Non-GAAP net loss before taxes per share - Basic and Diluted</w:t>
            </w:r>
          </w:p>
        </w:tc>
        <w:tc>
          <w:tcPr>
            <w:tcW w:w="24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19"/>
              <w:spacing w:after="0"/>
              <w:rPr>
                <w:sz w:val="20"/>
                <w:szCs w:val="20"/>
                <w:color w:val="auto"/>
              </w:rPr>
            </w:pPr>
            <w:r>
              <w:rPr>
                <w:rFonts w:ascii="Arial" w:cs="Arial" w:eastAsia="Arial" w:hAnsi="Arial"/>
                <w:sz w:val="16"/>
                <w:szCs w:val="16"/>
                <w:color w:val="auto"/>
              </w:rPr>
              <w:t>(0.14)</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879"/>
              <w:spacing w:after="0"/>
              <w:rPr>
                <w:sz w:val="20"/>
                <w:szCs w:val="20"/>
                <w:color w:val="auto"/>
              </w:rPr>
            </w:pPr>
            <w:r>
              <w:rPr>
                <w:rFonts w:ascii="Arial" w:cs="Arial" w:eastAsia="Arial" w:hAnsi="Arial"/>
                <w:sz w:val="16"/>
                <w:szCs w:val="16"/>
                <w:color w:val="auto"/>
              </w:rPr>
              <w:t>(0.04)</w:t>
            </w:r>
          </w:p>
        </w:tc>
      </w:tr>
      <w:tr>
        <w:trPr>
          <w:trHeight w:val="872"/>
        </w:trPr>
        <w:tc>
          <w:tcPr>
            <w:tcW w:w="5080" w:type="dxa"/>
            <w:vAlign w:val="bottom"/>
          </w:tcPr>
          <w:p>
            <w:pPr>
              <w:spacing w:after="0"/>
              <w:rPr>
                <w:sz w:val="24"/>
                <w:szCs w:val="24"/>
                <w:color w:val="auto"/>
              </w:rPr>
            </w:pPr>
          </w:p>
        </w:tc>
        <w:tc>
          <w:tcPr>
            <w:tcW w:w="2420" w:type="dxa"/>
            <w:vAlign w:val="bottom"/>
          </w:tcPr>
          <w:p>
            <w:pPr>
              <w:jc w:val="right"/>
              <w:ind w:right="1622"/>
              <w:spacing w:after="0"/>
              <w:rPr>
                <w:sz w:val="20"/>
                <w:szCs w:val="20"/>
                <w:color w:val="auto"/>
              </w:rPr>
            </w:pPr>
            <w:r>
              <w:rPr>
                <w:rFonts w:ascii="Arial" w:cs="Arial" w:eastAsia="Arial" w:hAnsi="Arial"/>
                <w:sz w:val="14"/>
                <w:szCs w:val="14"/>
                <w:color w:val="auto"/>
              </w:rPr>
              <w:t>10</w:t>
            </w: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2019-12-28T09:43:02Z</dcterms:created>
  <dcterms:modified xsi:type="dcterms:W3CDTF">2019-12-28T09:43:02Z</dcterms:modified>
</cp:coreProperties>
</file>