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1038003.xml.htm"/>
      <w:bookmarkStart w:id="1" w:name="kswkform4_178103800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Denny Laurence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8X8 INC. 675 CREEKSIDE 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CAMPBELL</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8X8 INC /DE/</w:t>
              </w:r>
            </w:hyperlink>
            <w:r>
              <w:rPr/>
              <w:t xml:space="preserve"> [ </w:t>
            </w:r>
            <w:r>
              <w:rPr>
                <w:rFonts w:ascii="Times;serif" w:hAnsi="Times;serif"/>
                <w:color w:val="0000FF"/>
                <w:sz w:val="24"/>
                <w:shd w:fill="FFFFFF" w:val="clear"/>
              </w:rPr>
              <w:t>EGHT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934"/>
        <w:gridCol w:w="459"/>
        <w:gridCol w:w="673"/>
        <w:gridCol w:w="1169"/>
        <w:gridCol w:w="1002"/>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25,404</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1.89</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618,378</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of Common Stock that have been withheld by the Issuer to satisfy its income tax withholding and remittance obligations in connection with the net settlement of the vested restricted stock units and does not represent a sale by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Cheriese Dickman Attorney-in-Fact for Laurence Denny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56959" TargetMode="External"/><Relationship Id="rId5" Type="http://schemas.openxmlformats.org/officeDocument/2006/relationships/hyperlink" Target="http://www.sec.gov/cgi-bin/browse-edgar?action=getcompany&amp;CIK=000102373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612</Words>
  <Characters>3311</Characters>
  <CharactersWithSpaces>3863</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