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FORM10-Q</w:t>
      </w:r>
    </w:p>
    <w:p>
      <w:pPr>
        <w:spacing w:after="0" w:line="389" w:lineRule="exact"/>
        <w:rPr>
          <w:sz w:val="24"/>
          <w:szCs w:val="24"/>
          <w:color w:val="auto"/>
        </w:rPr>
      </w:pPr>
    </w:p>
    <w:p>
      <w:pPr>
        <w:ind w:left="3900" w:right="2720" w:hanging="3892"/>
        <w:spacing w:after="0" w:line="449"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spacing w:after="0" w:line="234" w:lineRule="exact"/>
        <w:rPr>
          <w:sz w:val="24"/>
          <w:szCs w:val="24"/>
          <w:color w:val="auto"/>
        </w:rPr>
      </w:pPr>
    </w:p>
    <w:p>
      <w:pPr>
        <w:ind w:left="3600" w:right="2720" w:hanging="3592"/>
        <w:spacing w:after="0" w:line="391" w:lineRule="auto"/>
        <w:tabs>
          <w:tab w:leader="none" w:pos="21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ind w:left="4260"/>
        <w:spacing w:after="0"/>
        <w:rPr>
          <w:rFonts w:ascii="MS PGothic" w:cs="MS PGothic" w:eastAsia="MS PGothic" w:hAnsi="MS PGothic"/>
          <w:sz w:val="18"/>
          <w:szCs w:val="18"/>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55245</wp:posOffset>
            </wp:positionV>
            <wp:extent cx="1457325"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8"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182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Delaware</w:t>
            </w:r>
          </w:p>
        </w:tc>
        <w:tc>
          <w:tcPr>
            <w:tcW w:w="28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77-0142404</w:t>
            </w:r>
          </w:p>
        </w:tc>
        <w:tc>
          <w:tcPr>
            <w:tcW w:w="960" w:type="dxa"/>
            <w:vAlign w:val="bottom"/>
          </w:tcPr>
          <w:p>
            <w:pPr>
              <w:spacing w:after="0"/>
              <w:rPr>
                <w:sz w:val="15"/>
                <w:szCs w:val="15"/>
                <w:color w:val="auto"/>
              </w:rPr>
            </w:pPr>
          </w:p>
        </w:tc>
      </w:tr>
      <w:tr>
        <w:trPr>
          <w:trHeight w:val="235"/>
        </w:trPr>
        <w:tc>
          <w:tcPr>
            <w:tcW w:w="5340" w:type="dxa"/>
            <w:vAlign w:val="bottom"/>
            <w:gridSpan w:val="3"/>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840" w:type="dxa"/>
            <w:vAlign w:val="bottom"/>
            <w:gridSpan w:val="3"/>
          </w:tcPr>
          <w:p>
            <w:pPr>
              <w:jc w:val="center"/>
              <w:ind w:left="939"/>
              <w:spacing w:after="0"/>
              <w:rPr>
                <w:sz w:val="20"/>
                <w:szCs w:val="20"/>
                <w:color w:val="auto"/>
              </w:rPr>
            </w:pPr>
            <w:r>
              <w:rPr>
                <w:rFonts w:ascii="Arial" w:cs="Arial" w:eastAsia="Arial" w:hAnsi="Arial"/>
                <w:sz w:val="16"/>
                <w:szCs w:val="16"/>
                <w:color w:val="auto"/>
              </w:rPr>
              <w:t>(I.R.S. Employer Identification Number)</w:t>
            </w:r>
          </w:p>
        </w:tc>
      </w:tr>
    </w:tbl>
    <w:p>
      <w:pPr>
        <w:spacing w:after="0" w:line="1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4"/>
          <w:szCs w:val="24"/>
          <w:color w:val="auto"/>
        </w:rPr>
      </w:pPr>
    </w:p>
    <w:tbl>
      <w:tblPr>
        <w:tblLayout w:type="fixed"/>
        <w:tblInd w:w="30" w:type="dxa"/>
        <w:tblCellMar>
          <w:top w:w="0" w:type="dxa"/>
          <w:left w:w="0" w:type="dxa"/>
          <w:bottom w:w="0" w:type="dxa"/>
          <w:right w:w="0" w:type="dxa"/>
        </w:tblCellMar>
      </w:tblPr>
      <w:tr>
        <w:trPr>
          <w:trHeight w:val="230"/>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26" w:lineRule="exact"/>
        <w:rPr>
          <w:sz w:val="24"/>
          <w:szCs w:val="24"/>
          <w:color w:val="auto"/>
        </w:rPr>
      </w:pPr>
    </w:p>
    <w:p>
      <w:pPr>
        <w:ind w:right="200" w:firstLine="283"/>
        <w:spacing w:after="0" w:line="22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71" w:lineRule="exact"/>
        <w:rPr>
          <w:sz w:val="24"/>
          <w:szCs w:val="24"/>
          <w:color w:val="auto"/>
        </w:rPr>
      </w:pPr>
    </w:p>
    <w:p>
      <w:pPr>
        <w:ind w:right="400" w:firstLine="283"/>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220" w:firstLine="283"/>
        <w:spacing w:after="0" w:line="29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56" w:lineRule="exact"/>
        <w:rPr>
          <w:sz w:val="24"/>
          <w:szCs w:val="24"/>
          <w:color w:val="auto"/>
        </w:rPr>
      </w:pPr>
    </w:p>
    <w:tbl>
      <w:tblPr>
        <w:tblLayout w:type="fixed"/>
        <w:tblInd w:w="800" w:type="dxa"/>
        <w:tblCellMar>
          <w:top w:w="0" w:type="dxa"/>
          <w:left w:w="0" w:type="dxa"/>
          <w:bottom w:w="0" w:type="dxa"/>
          <w:right w:w="0" w:type="dxa"/>
        </w:tblCellMar>
      </w:tblP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20" w:type="dxa"/>
            <w:vAlign w:val="bottom"/>
          </w:tcPr>
          <w:p>
            <w:pPr>
              <w:ind w:left="18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8" w:lineRule="exact"/>
        <w:rPr>
          <w:sz w:val="24"/>
          <w:szCs w:val="24"/>
          <w:color w:val="auto"/>
        </w:rPr>
      </w:pPr>
    </w:p>
    <w:p>
      <w:pPr>
        <w:ind w:right="20" w:firstLine="283"/>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00" w:right="2300"/>
        <w:spacing w:after="0" w:line="23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July 25, 2022 was 119,964,673.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8140" w:type="dxa"/>
            <w:vAlign w:val="bottom"/>
            <w:gridSpan w:val="24"/>
          </w:tcPr>
          <w:p>
            <w:pPr>
              <w:spacing w:after="0"/>
              <w:rPr>
                <w:sz w:val="20"/>
                <w:szCs w:val="20"/>
                <w:color w:val="auto"/>
              </w:rPr>
            </w:pPr>
            <w:r>
              <w:rPr>
                <w:rFonts w:ascii="Arial" w:cs="Arial" w:eastAsia="Arial" w:hAnsi="Arial"/>
                <w:sz w:val="16"/>
                <w:szCs w:val="16"/>
                <w:color w:val="0000FF"/>
              </w:rPr>
              <w:t>Table of Contents</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4"/>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2"/>
          </w:tcPr>
          <w:p>
            <w:pPr>
              <w:jc w:val="center"/>
              <w:ind w:right="1940"/>
              <w:spacing w:after="0"/>
              <w:rPr>
                <w:sz w:val="20"/>
                <w:szCs w:val="20"/>
                <w:color w:val="auto"/>
              </w:rPr>
            </w:pPr>
            <w:r>
              <w:rPr>
                <w:rFonts w:ascii="Arial" w:cs="Arial" w:eastAsia="Arial" w:hAnsi="Arial"/>
                <w:sz w:val="16"/>
                <w:szCs w:val="16"/>
                <w:b w:val="1"/>
                <w:bCs w:val="1"/>
                <w:color w:val="auto"/>
              </w:rPr>
              <w:t>8X8, INC.</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gridSpan w:val="8"/>
          </w:tcPr>
          <w:p>
            <w:pPr>
              <w:jc w:val="center"/>
              <w:ind w:right="500"/>
              <w:spacing w:after="0"/>
              <w:rPr>
                <w:sz w:val="20"/>
                <w:szCs w:val="20"/>
                <w:color w:val="auto"/>
              </w:rPr>
            </w:pPr>
            <w:r>
              <w:rPr>
                <w:rFonts w:ascii="Arial" w:cs="Arial" w:eastAsia="Arial" w:hAnsi="Arial"/>
                <w:sz w:val="16"/>
                <w:szCs w:val="16"/>
                <w:b w:val="1"/>
                <w:bCs w:val="1"/>
                <w:color w:val="auto"/>
              </w:rPr>
              <w:t>INDEX TO QUARTERLY REPORT ON FORM 10-Q</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80" w:type="dxa"/>
            <w:vAlign w:val="bottom"/>
            <w:gridSpan w:val="7"/>
          </w:tcPr>
          <w:p>
            <w:pPr>
              <w:jc w:val="center"/>
              <w:ind w:right="860"/>
              <w:spacing w:after="0"/>
              <w:rPr>
                <w:sz w:val="20"/>
                <w:szCs w:val="20"/>
                <w:color w:val="auto"/>
              </w:rPr>
            </w:pPr>
            <w:r>
              <w:rPr>
                <w:rFonts w:ascii="Arial" w:cs="Arial" w:eastAsia="Arial" w:hAnsi="Arial"/>
                <w:sz w:val="16"/>
                <w:szCs w:val="16"/>
                <w:b w:val="1"/>
                <w:bCs w:val="1"/>
                <w:color w:val="auto"/>
              </w:rPr>
              <w:t>FOR THE QUARTER ENDED JUNE 30, 2022</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gridSpan w:val="6"/>
          </w:tcPr>
          <w:p>
            <w:pPr>
              <w:ind w:left="64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00" w:type="dxa"/>
            <w:vAlign w:val="bottom"/>
            <w:gridSpan w:val="15"/>
          </w:tcPr>
          <w:p>
            <w:pPr>
              <w:spacing w:after="0" w:line="163" w:lineRule="exact"/>
              <w:rPr>
                <w:sz w:val="20"/>
                <w:szCs w:val="20"/>
                <w:color w:val="auto"/>
              </w:rPr>
            </w:pPr>
            <w:r>
              <w:rPr>
                <w:rFonts w:ascii="Arial" w:cs="Arial" w:eastAsia="Arial" w:hAnsi="Arial"/>
                <w:sz w:val="16"/>
                <w:szCs w:val="16"/>
                <w:b w:val="1"/>
                <w:bCs w:val="1"/>
                <w:color w:val="0000FF"/>
              </w:rPr>
              <w:t>Forward-Looking Statements and Risk Factors</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5"/>
          </w:tcPr>
          <w:p>
            <w:pPr>
              <w:jc w:val="center"/>
              <w:ind w:left="657"/>
              <w:spacing w:after="0" w:line="183" w:lineRule="exact"/>
              <w:rPr>
                <w:sz w:val="20"/>
                <w:szCs w:val="20"/>
                <w:color w:val="auto"/>
              </w:rPr>
            </w:pPr>
            <w:r>
              <w:rPr>
                <w:rFonts w:ascii="Times New Roman" w:cs="Times New Roman" w:eastAsia="Times New Roman" w:hAnsi="Times New Roman"/>
                <w:sz w:val="18"/>
                <w:szCs w:val="18"/>
                <w:color w:val="0000FF"/>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0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16"/>
          </w:tcPr>
          <w:p>
            <w:pPr>
              <w:spacing w:after="0" w:line="183" w:lineRule="exact"/>
              <w:rPr>
                <w:sz w:val="20"/>
                <w:szCs w:val="20"/>
                <w:color w:val="auto"/>
              </w:rPr>
            </w:pPr>
            <w:r>
              <w:rPr>
                <w:rFonts w:ascii="Arial" w:cs="Arial" w:eastAsia="Arial" w:hAnsi="Arial"/>
                <w:sz w:val="16"/>
                <w:szCs w:val="16"/>
                <w:b w:val="1"/>
                <w:bCs w:val="1"/>
                <w:color w:val="0000FF"/>
              </w:rPr>
              <w:t>PART I. FINANCIAL INFORMATION</w:t>
            </w:r>
          </w:p>
        </w:tc>
        <w:tc>
          <w:tcPr>
            <w:tcW w:w="4180" w:type="dxa"/>
            <w:vAlign w:val="bottom"/>
            <w:gridSpan w:val="7"/>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Borders>
              <w:bottom w:val="single" w:sz="8" w:color="0000FF"/>
            </w:tcBorders>
            <w:gridSpan w:val="2"/>
          </w:tcPr>
          <w:p>
            <w:pPr>
              <w:jc w:val="center"/>
              <w:spacing w:after="0" w:line="183" w:lineRule="exact"/>
              <w:rPr>
                <w:sz w:val="20"/>
                <w:szCs w:val="20"/>
                <w:color w:val="auto"/>
              </w:rPr>
            </w:pPr>
            <w:r>
              <w:rPr>
                <w:rFonts w:ascii="Arial" w:cs="Arial" w:eastAsia="Arial" w:hAnsi="Arial"/>
                <w:sz w:val="16"/>
                <w:szCs w:val="16"/>
                <w:color w:val="0000FF"/>
              </w:rPr>
              <w:t>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jc w:val="center"/>
              <w:spacing w:after="0"/>
              <w:rPr>
                <w:sz w:val="20"/>
                <w:szCs w:val="20"/>
                <w:color w:val="auto"/>
              </w:rPr>
            </w:pPr>
            <w:r>
              <w:rPr>
                <w:rFonts w:ascii="Arial" w:cs="Arial" w:eastAsia="Arial" w:hAnsi="Arial"/>
                <w:sz w:val="16"/>
                <w:szCs w:val="16"/>
                <w:color w:val="0000FF"/>
              </w:rPr>
              <w:t>4</w:t>
            </w: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Item 1. Financial Statements (unaudited):</w:t>
            </w:r>
          </w:p>
        </w:tc>
        <w:tc>
          <w:tcPr>
            <w:tcW w:w="5040" w:type="dxa"/>
            <w:vAlign w:val="bottom"/>
            <w:gridSpan w:val="10"/>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0" w:type="dxa"/>
            <w:vAlign w:val="bottom"/>
            <w:tcBorders>
              <w:bottom w:val="single" w:sz="8" w:color="0000FF"/>
            </w:tcBorders>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Condensed Consolidated Balance Sheets</w:t>
            </w:r>
          </w:p>
        </w:tc>
        <w:tc>
          <w:tcPr>
            <w:tcW w:w="4880" w:type="dxa"/>
            <w:vAlign w:val="bottom"/>
            <w:gridSpan w:val="9"/>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Condensed Consolidated Statements of Operations</w:t>
            </w:r>
          </w:p>
        </w:tc>
        <w:tc>
          <w:tcPr>
            <w:tcW w:w="4180" w:type="dxa"/>
            <w:vAlign w:val="bottom"/>
            <w:gridSpan w:val="7"/>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Arial" w:cs="Arial" w:eastAsia="Arial" w:hAnsi="Arial"/>
                <w:sz w:val="16"/>
                <w:szCs w:val="16"/>
                <w:color w:val="0000FF"/>
              </w:rPr>
              <w:t>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80" w:type="dxa"/>
            <w:vAlign w:val="bottom"/>
            <w:gridSpan w:val="21"/>
          </w:tcPr>
          <w:p>
            <w:pPr>
              <w:spacing w:after="0"/>
              <w:rPr>
                <w:sz w:val="20"/>
                <w:szCs w:val="20"/>
                <w:color w:val="auto"/>
              </w:rPr>
            </w:pPr>
            <w:r>
              <w:rPr>
                <w:rFonts w:ascii="Arial" w:cs="Arial" w:eastAsia="Arial" w:hAnsi="Arial"/>
                <w:sz w:val="16"/>
                <w:szCs w:val="16"/>
                <w:color w:val="0000FF"/>
              </w:rPr>
              <w:t>Condensed Consolidated Statements of Comprehensive Loss</w:t>
            </w:r>
          </w:p>
        </w:tc>
        <w:tc>
          <w:tcPr>
            <w:tcW w:w="920" w:type="dxa"/>
            <w:vAlign w:val="bottom"/>
            <w:gridSpan w:val="5"/>
          </w:tcPr>
          <w:p>
            <w:pPr>
              <w:jc w:val="center"/>
              <w:ind w:left="657"/>
              <w:spacing w:after="0"/>
              <w:rPr>
                <w:sz w:val="20"/>
                <w:szCs w:val="20"/>
                <w:color w:val="auto"/>
              </w:rPr>
            </w:pPr>
            <w:r>
              <w:rPr>
                <w:rFonts w:ascii="Arial" w:cs="Arial" w:eastAsia="Arial" w:hAnsi="Arial"/>
                <w:sz w:val="16"/>
                <w:szCs w:val="16"/>
                <w:color w:val="0000FF"/>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Condensed Consolidated Statements of Stockholders' Equity</w:t>
            </w:r>
          </w:p>
        </w:tc>
        <w:tc>
          <w:tcPr>
            <w:tcW w:w="3460" w:type="dxa"/>
            <w:vAlign w:val="bottom"/>
            <w:gridSpan w:val="4"/>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Borders>
              <w:top w:val="single" w:sz="8" w:color="0000FF"/>
            </w:tcBorders>
            <w:gridSpan w:val="2"/>
          </w:tcPr>
          <w:p>
            <w:pPr>
              <w:jc w:val="center"/>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Condensed Consolidated Statements of Cash Flows</w:t>
            </w:r>
          </w:p>
        </w:tc>
        <w:tc>
          <w:tcPr>
            <w:tcW w:w="300" w:type="dxa"/>
            <w:vAlign w:val="bottom"/>
            <w:gridSpan w:val="2"/>
          </w:tcPr>
          <w:p>
            <w:pPr>
              <w:spacing w:after="0"/>
              <w:rPr>
                <w:sz w:val="18"/>
                <w:szCs w:val="18"/>
                <w:color w:val="auto"/>
              </w:rPr>
            </w:pPr>
          </w:p>
        </w:tc>
        <w:tc>
          <w:tcPr>
            <w:tcW w:w="3220" w:type="dxa"/>
            <w:vAlign w:val="bottom"/>
            <w:gridSpan w:val="3"/>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Borders>
              <w:top w:val="single" w:sz="8" w:color="0000FF"/>
            </w:tcBorders>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 w:type="dxa"/>
            <w:vAlign w:val="bottom"/>
            <w:tcBorders>
              <w:right w:val="single" w:sz="8" w:color="0000FF"/>
            </w:tcBorders>
            <w:shd w:val="clear" w:color="auto" w:fill="0000FF"/>
          </w:tcPr>
          <w:p>
            <w:pPr>
              <w:spacing w:after="0"/>
              <w:rPr>
                <w:sz w:val="2"/>
                <w:szCs w:val="2"/>
                <w:color w:val="auto"/>
              </w:rPr>
            </w:pPr>
          </w:p>
        </w:tc>
        <w:tc>
          <w:tcPr>
            <w:tcW w:w="520" w:type="dxa"/>
            <w:vAlign w:val="bottom"/>
            <w:gridSpan w:val="2"/>
            <w:shd w:val="clear" w:color="auto" w:fill="0000FF"/>
          </w:tcPr>
          <w:p>
            <w:pPr>
              <w:spacing w:after="0"/>
              <w:rPr>
                <w:sz w:val="2"/>
                <w:szCs w:val="2"/>
                <w:color w:val="auto"/>
              </w:rPr>
            </w:pPr>
          </w:p>
        </w:tc>
        <w:tc>
          <w:tcPr>
            <w:tcW w:w="1940" w:type="dxa"/>
            <w:vAlign w:val="bottom"/>
            <w:gridSpan w:val="8"/>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80" w:type="dxa"/>
            <w:vAlign w:val="bottom"/>
            <w:gridSpan w:val="21"/>
          </w:tcPr>
          <w:p>
            <w:pPr>
              <w:spacing w:after="0" w:line="183" w:lineRule="exact"/>
              <w:rPr>
                <w:sz w:val="20"/>
                <w:szCs w:val="20"/>
                <w:color w:val="auto"/>
              </w:rPr>
            </w:pPr>
            <w:r>
              <w:rPr>
                <w:rFonts w:ascii="Arial" w:cs="Arial" w:eastAsia="Arial" w:hAnsi="Arial"/>
                <w:sz w:val="16"/>
                <w:szCs w:val="16"/>
                <w:color w:val="0000FF"/>
              </w:rPr>
              <w:t>Notes to Unaudited Condensed Consolidated Financial Statements</w:t>
            </w:r>
          </w:p>
        </w:tc>
        <w:tc>
          <w:tcPr>
            <w:tcW w:w="7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line="183" w:lineRule="exact"/>
              <w:rPr>
                <w:sz w:val="20"/>
                <w:szCs w:val="20"/>
                <w:color w:val="auto"/>
              </w:rPr>
            </w:pPr>
            <w:r>
              <w:rPr>
                <w:rFonts w:ascii="Arial" w:cs="Arial" w:eastAsia="Arial" w:hAnsi="Arial"/>
                <w:sz w:val="16"/>
                <w:szCs w:val="16"/>
                <w:color w:val="0000FF"/>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80" w:type="dxa"/>
            <w:vAlign w:val="bottom"/>
            <w:gridSpan w:val="4"/>
            <w:vMerge w:val="restart"/>
          </w:tcPr>
          <w:p>
            <w:pPr>
              <w:jc w:val="center"/>
              <w:spacing w:after="0"/>
              <w:rPr>
                <w:sz w:val="20"/>
                <w:szCs w:val="20"/>
                <w:color w:val="auto"/>
              </w:rPr>
            </w:pPr>
            <w:r>
              <w:rPr>
                <w:rFonts w:ascii="Arial" w:cs="Arial" w:eastAsia="Arial" w:hAnsi="Arial"/>
                <w:sz w:val="16"/>
                <w:szCs w:val="16"/>
                <w:color w:val="0000FF"/>
              </w:rPr>
              <w:t>22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0" w:type="dxa"/>
            <w:vAlign w:val="bottom"/>
            <w:gridSpan w:val="22"/>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740" w:type="dxa"/>
            <w:vAlign w:val="bottom"/>
            <w:vMerge w:val="continue"/>
          </w:tcPr>
          <w:p>
            <w:pPr>
              <w:spacing w:after="0"/>
              <w:rPr>
                <w:sz w:val="19"/>
                <w:szCs w:val="19"/>
                <w:color w:val="auto"/>
              </w:rPr>
            </w:pPr>
          </w:p>
        </w:tc>
        <w:tc>
          <w:tcPr>
            <w:tcW w:w="180" w:type="dxa"/>
            <w:vAlign w:val="bottom"/>
            <w:tcBorders>
              <w:bottom w:val="single" w:sz="8" w:color="0000FF"/>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tcBorders>
              <w:top w:val="single" w:sz="8" w:color="0000FF"/>
              <w:bottom w:val="single" w:sz="8" w:color="0000FF"/>
            </w:tcBorders>
            <w:gridSpan w:val="19"/>
          </w:tcPr>
          <w:p>
            <w:pPr>
              <w:spacing w:after="0"/>
              <w:rPr>
                <w:sz w:val="20"/>
                <w:szCs w:val="20"/>
                <w:color w:val="auto"/>
              </w:rPr>
            </w:pPr>
            <w:r>
              <w:rPr>
                <w:rFonts w:ascii="Arial" w:cs="Arial" w:eastAsia="Arial" w:hAnsi="Arial"/>
                <w:sz w:val="16"/>
                <w:szCs w:val="16"/>
                <w:color w:val="0000FF"/>
              </w:rPr>
              <w:t>Item 3. Quantitative and Qualitative Disclosures About Market Risk</w:t>
            </w:r>
          </w:p>
        </w:tc>
        <w:tc>
          <w:tcPr>
            <w:tcW w:w="2120" w:type="dxa"/>
            <w:vAlign w:val="bottom"/>
            <w:tcBorders>
              <w:top w:val="single" w:sz="8" w:color="0000FF"/>
            </w:tcBorders>
            <w:gridSpan w:val="2"/>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22"/>
          </w:tcPr>
          <w:p>
            <w:pPr>
              <w:spacing w:after="0"/>
              <w:rPr>
                <w:sz w:val="20"/>
                <w:szCs w:val="20"/>
                <w:color w:val="auto"/>
              </w:rPr>
            </w:pPr>
            <w:r>
              <w:rPr>
                <w:rFonts w:ascii="Arial" w:cs="Arial" w:eastAsia="Arial" w:hAnsi="Arial"/>
                <w:sz w:val="16"/>
                <w:szCs w:val="16"/>
                <w:color w:val="0000FF"/>
              </w:rPr>
              <w:t>Item 4. Controls and Procedures</w:t>
            </w:r>
          </w:p>
        </w:tc>
        <w:tc>
          <w:tcPr>
            <w:tcW w:w="7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80" w:type="dxa"/>
            <w:vAlign w:val="bottom"/>
            <w:gridSpan w:val="4"/>
            <w:vMerge w:val="restart"/>
          </w:tcPr>
          <w:p>
            <w:pPr>
              <w:jc w:val="center"/>
              <w:spacing w:after="0"/>
              <w:rPr>
                <w:sz w:val="20"/>
                <w:szCs w:val="20"/>
                <w:color w:val="auto"/>
              </w:rPr>
            </w:pPr>
            <w:r>
              <w:rPr>
                <w:rFonts w:ascii="Arial" w:cs="Arial" w:eastAsia="Arial" w:hAnsi="Arial"/>
                <w:sz w:val="16"/>
                <w:szCs w:val="16"/>
                <w:color w:val="0000FF"/>
              </w:rPr>
              <w:t>28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5680" w:type="dxa"/>
            <w:vAlign w:val="bottom"/>
            <w:gridSpan w:val="13"/>
          </w:tcPr>
          <w:p>
            <w:pPr>
              <w:spacing w:after="0"/>
              <w:rPr>
                <w:sz w:val="19"/>
                <w:szCs w:val="19"/>
                <w:color w:val="auto"/>
              </w:rPr>
            </w:pPr>
          </w:p>
        </w:tc>
        <w:tc>
          <w:tcPr>
            <w:tcW w:w="740" w:type="dxa"/>
            <w:vAlign w:val="bottom"/>
            <w:vMerge w:val="continue"/>
          </w:tcPr>
          <w:p>
            <w:pPr>
              <w:spacing w:after="0"/>
              <w:rPr>
                <w:sz w:val="19"/>
                <w:szCs w:val="19"/>
                <w:color w:val="auto"/>
              </w:rPr>
            </w:pPr>
          </w:p>
        </w:tc>
        <w:tc>
          <w:tcPr>
            <w:tcW w:w="180" w:type="dxa"/>
            <w:vAlign w:val="bottom"/>
            <w:tcBorders>
              <w:bottom w:val="single" w:sz="8" w:color="0000FF"/>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Item 1. Legal Proceedings</w:t>
            </w:r>
          </w:p>
        </w:tc>
        <w:tc>
          <w:tcPr>
            <w:tcW w:w="6120" w:type="dxa"/>
            <w:vAlign w:val="bottom"/>
            <w:gridSpan w:val="15"/>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22"/>
          </w:tcPr>
          <w:p>
            <w:pPr>
              <w:spacing w:after="0"/>
              <w:rPr>
                <w:sz w:val="20"/>
                <w:szCs w:val="20"/>
                <w:color w:val="auto"/>
              </w:rPr>
            </w:pPr>
            <w:r>
              <w:rPr>
                <w:rFonts w:ascii="Arial" w:cs="Arial" w:eastAsia="Arial" w:hAnsi="Arial"/>
                <w:sz w:val="16"/>
                <w:szCs w:val="16"/>
                <w:color w:val="0000FF"/>
              </w:rPr>
              <w:t>Item 1A. Risk Factors</w:t>
            </w:r>
          </w:p>
        </w:tc>
        <w:tc>
          <w:tcPr>
            <w:tcW w:w="7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920" w:type="dxa"/>
            <w:vAlign w:val="bottom"/>
            <w:gridSpan w:val="5"/>
            <w:vMerge w:val="restart"/>
          </w:tcPr>
          <w:p>
            <w:pPr>
              <w:jc w:val="center"/>
              <w:ind w:left="657"/>
              <w:spacing w:after="0"/>
              <w:rPr>
                <w:sz w:val="20"/>
                <w:szCs w:val="20"/>
                <w:color w:val="auto"/>
              </w:rPr>
            </w:pPr>
            <w:r>
              <w:rPr>
                <w:rFonts w:ascii="Arial" w:cs="Arial" w:eastAsia="Arial" w:hAnsi="Arial"/>
                <w:sz w:val="16"/>
                <w:szCs w:val="16"/>
                <w:color w:val="0000FF"/>
              </w:rPr>
              <w:t>28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0" w:type="dxa"/>
            <w:vAlign w:val="bottom"/>
            <w:gridSpan w:val="22"/>
          </w:tcPr>
          <w:p>
            <w:pPr>
              <w:spacing w:after="0"/>
              <w:rPr>
                <w:sz w:val="20"/>
                <w:szCs w:val="20"/>
                <w:color w:val="auto"/>
              </w:rPr>
            </w:pPr>
            <w:r>
              <w:rPr>
                <w:rFonts w:ascii="Arial" w:cs="Arial" w:eastAsia="Arial" w:hAnsi="Arial"/>
                <w:sz w:val="16"/>
                <w:szCs w:val="16"/>
                <w:color w:val="0000FF"/>
              </w:rPr>
              <w:t>Item 2. Unregistered Sales of Equity Securities and Use of Proceeds</w:t>
            </w:r>
          </w:p>
        </w:tc>
        <w:tc>
          <w:tcPr>
            <w:tcW w:w="9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tcBorders>
              <w:top w:val="single" w:sz="8" w:color="0000FF"/>
              <w:bottom w:val="single" w:sz="8" w:color="0000FF"/>
            </w:tcBorders>
            <w:gridSpan w:val="20"/>
          </w:tcPr>
          <w:p>
            <w:pPr>
              <w:spacing w:after="0"/>
              <w:rPr>
                <w:sz w:val="20"/>
                <w:szCs w:val="20"/>
                <w:color w:val="auto"/>
              </w:rPr>
            </w:pPr>
            <w:r>
              <w:rPr>
                <w:rFonts w:ascii="Arial" w:cs="Arial" w:eastAsia="Arial" w:hAnsi="Arial"/>
                <w:sz w:val="16"/>
                <w:szCs w:val="16"/>
                <w:color w:val="0000FF"/>
              </w:rPr>
              <w:t>Item 3. Defaults Upon Senior Securities</w:t>
            </w:r>
          </w:p>
        </w:tc>
        <w:tc>
          <w:tcPr>
            <w:tcW w:w="3080" w:type="dxa"/>
            <w:vAlign w:val="bottom"/>
            <w:tcBorders>
              <w:bottom w:val="single" w:sz="8" w:color="0000FF"/>
            </w:tcBorders>
            <w:gridSpan w:val="2"/>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0000FF"/>
              <w:bottom w:val="single" w:sz="8" w:color="0000FF"/>
            </w:tcBorders>
            <w:gridSpan w:val="4"/>
          </w:tcPr>
          <w:p>
            <w:pPr>
              <w:jc w:val="center"/>
              <w:spacing w:after="0" w:line="203" w:lineRule="exact"/>
              <w:rPr>
                <w:sz w:val="20"/>
                <w:szCs w:val="20"/>
                <w:color w:val="auto"/>
              </w:rPr>
            </w:pPr>
            <w:r>
              <w:rPr>
                <w:rFonts w:ascii="Times New Roman" w:cs="Times New Roman" w:eastAsia="Times New Roman" w:hAnsi="Times New Roman"/>
                <w:sz w:val="18"/>
                <w:szCs w:val="18"/>
                <w:color w:val="0000FF"/>
                <w:w w:val="99"/>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Borders>
              <w:bottom w:val="single" w:sz="8" w:color="0000FF"/>
            </w:tcBorders>
            <w:gridSpan w:val="8"/>
          </w:tcPr>
          <w:p>
            <w:pPr>
              <w:spacing w:after="0" w:line="183" w:lineRule="exact"/>
              <w:rPr>
                <w:sz w:val="20"/>
                <w:szCs w:val="20"/>
                <w:color w:val="auto"/>
              </w:rPr>
            </w:pPr>
            <w:r>
              <w:rPr>
                <w:rFonts w:ascii="Arial" w:cs="Arial" w:eastAsia="Arial" w:hAnsi="Arial"/>
                <w:sz w:val="16"/>
                <w:szCs w:val="16"/>
                <w:color w:val="0000FF"/>
              </w:rPr>
              <w:t>Item 4. Mine Safety Disclosures</w:t>
            </w:r>
          </w:p>
        </w:tc>
        <w:tc>
          <w:tcPr>
            <w:tcW w:w="5720" w:type="dxa"/>
            <w:vAlign w:val="bottom"/>
            <w:gridSpan w:val="14"/>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0000FF"/>
            </w:tcBorders>
            <w:gridSpan w:val="4"/>
          </w:tcPr>
          <w:p>
            <w:pPr>
              <w:jc w:val="center"/>
              <w:spacing w:after="0" w:line="183" w:lineRule="exact"/>
              <w:rPr>
                <w:sz w:val="20"/>
                <w:szCs w:val="20"/>
                <w:color w:val="auto"/>
              </w:rPr>
            </w:pPr>
            <w:r>
              <w:rPr>
                <w:rFonts w:ascii="Arial" w:cs="Arial" w:eastAsia="Arial" w:hAnsi="Arial"/>
                <w:sz w:val="16"/>
                <w:szCs w:val="16"/>
                <w:color w:val="0000FF"/>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Item 5. Other Information</w:t>
            </w:r>
          </w:p>
        </w:tc>
        <w:tc>
          <w:tcPr>
            <w:tcW w:w="6200" w:type="dxa"/>
            <w:vAlign w:val="bottom"/>
            <w:gridSpan w:val="16"/>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22"/>
          </w:tcPr>
          <w:p>
            <w:pPr>
              <w:spacing w:after="0"/>
              <w:rPr>
                <w:sz w:val="20"/>
                <w:szCs w:val="20"/>
                <w:color w:val="auto"/>
              </w:rPr>
            </w:pPr>
            <w:r>
              <w:rPr>
                <w:rFonts w:ascii="Arial" w:cs="Arial" w:eastAsia="Arial" w:hAnsi="Arial"/>
                <w:sz w:val="16"/>
                <w:szCs w:val="16"/>
                <w:color w:val="0000FF"/>
              </w:rPr>
              <w:t>Item 6. Exhibits</w:t>
            </w:r>
          </w:p>
        </w:tc>
        <w:tc>
          <w:tcPr>
            <w:tcW w:w="920" w:type="dxa"/>
            <w:vAlign w:val="bottom"/>
            <w:gridSpan w:val="5"/>
          </w:tcPr>
          <w:p>
            <w:pPr>
              <w:jc w:val="center"/>
              <w:ind w:left="657"/>
              <w:spacing w:after="0"/>
              <w:rPr>
                <w:sz w:val="20"/>
                <w:szCs w:val="20"/>
                <w:color w:val="auto"/>
              </w:rPr>
            </w:pPr>
            <w:r>
              <w:rPr>
                <w:rFonts w:ascii="Arial" w:cs="Arial" w:eastAsia="Arial" w:hAnsi="Arial"/>
                <w:sz w:val="16"/>
                <w:szCs w:val="16"/>
                <w:color w:val="0000FF"/>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gridSpan w:val="2"/>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900" w:type="dxa"/>
            <w:vAlign w:val="bottom"/>
            <w:gridSpan w:val="19"/>
          </w:tcPr>
          <w:p>
            <w:pPr>
              <w:spacing w:after="0"/>
              <w:rPr>
                <w:sz w:val="2"/>
                <w:szCs w:val="2"/>
                <w:color w:val="auto"/>
              </w:rPr>
            </w:pPr>
          </w:p>
        </w:tc>
        <w:tc>
          <w:tcPr>
            <w:tcW w:w="92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b w:val="1"/>
                <w:bCs w:val="1"/>
                <w:color w:val="0000FF"/>
              </w:rPr>
              <w:t>Signature</w:t>
            </w:r>
          </w:p>
        </w:tc>
        <w:tc>
          <w:tcPr>
            <w:tcW w:w="7360" w:type="dxa"/>
            <w:vAlign w:val="bottom"/>
            <w:gridSpan w:val="20"/>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Statements contained in this quarterly report on Form 10-Q, or this "Quarterly Report", regarding our expectations, beliefs, estimates, intentions or strategies are forward-looking statements within the meaning of Section 27A of the Securities Act of 1933 (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service revenue; cost of service revenue; research and development expenses; whether we will increase research and development spending relative to fiscal 2022; reduce unit costs and improve gross profit margin, operating margin or drive sustained growth and increasing profitability and cash flow; hiring of employees; sales and marketing expenses; and general and administrative expenses in future periods;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1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economic downturns on us and our customers, including the impacts of the COVID-19 pandemic;</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cost increases and general inflationary pressure on our operating expenses, including for bandwidth and labor;</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cancellations and rate of customer churn;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Russia’s invasion of Ukraine and any macro-economic impact that may have;</w:t>
      </w:r>
    </w:p>
    <w:p>
      <w:pPr>
        <w:spacing w:after="0" w:line="99"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 ("APIs");</w:t>
      </w:r>
    </w:p>
    <w:p>
      <w:pPr>
        <w:spacing w:after="0" w:line="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quality and reliability of our services;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business;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acquisition costs;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network of channel partners to provide substantial new customer demand;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infrastructure of third-party network service providers;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failure in our physical infrastructure;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defects or bugs in our software;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 of cybersecurity breaches;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continued compliance with industry standards and regulatory and privacy requirements, globally;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introduction and adoption of our cloud software solutions in markets outside of the United States;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any reduction in spending may not achieve the desired result or may result in a reduction in revenue;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relating to the acquisition and integration of businesses we have acquired or may acquire in the future, including most recently, Fuze, Inc.;</w:t>
      </w:r>
    </w:p>
    <w:p>
      <w:pPr>
        <w:spacing w:after="0" w:line="99"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senior convertible notes and the related capped call transactions, including the impact any refinancing thereof could have on our stock price; and</w:t>
      </w:r>
    </w:p>
    <w:p>
      <w:pPr>
        <w:spacing w:after="0" w:line="34"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2022 (the "Form 10-K"), as modified by the "Risk Factors" section of this Quarterly Report,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2023 refers to the fiscal year ended March 31, 2023). Unless the context requires otherwise, references to "we," "us," "our," "8x8," and the "Company" refer to 8x8, Inc. and its consolidated subsidiaries.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within this Quarterly Report are in thousands of United States Dollars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7660" w:type="dxa"/>
            <w:vAlign w:val="bottom"/>
          </w:tcPr>
          <w:p>
            <w:pPr>
              <w:ind w:left="5400"/>
              <w:spacing w:after="0"/>
              <w:rPr>
                <w:sz w:val="20"/>
                <w:szCs w:val="20"/>
                <w:color w:val="auto"/>
              </w:rPr>
            </w:pPr>
            <w:r>
              <w:rPr>
                <w:rFonts w:ascii="Arial" w:cs="Arial" w:eastAsia="Arial" w:hAnsi="Arial"/>
                <w:sz w:val="16"/>
                <w:szCs w:val="16"/>
                <w:b w:val="1"/>
                <w:bCs w:val="1"/>
                <w:color w:val="auto"/>
              </w:rPr>
              <w:t>8X8, INC.</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3"/>
        </w:trPr>
        <w:tc>
          <w:tcPr>
            <w:tcW w:w="7660" w:type="dxa"/>
            <w:vAlign w:val="bottom"/>
          </w:tcPr>
          <w:p>
            <w:pPr>
              <w:ind w:left="3480"/>
              <w:spacing w:after="0"/>
              <w:rPr>
                <w:sz w:val="20"/>
                <w:szCs w:val="20"/>
                <w:color w:val="auto"/>
              </w:rPr>
            </w:pPr>
            <w:r>
              <w:rPr>
                <w:rFonts w:ascii="Arial" w:cs="Arial" w:eastAsia="Arial" w:hAnsi="Arial"/>
                <w:sz w:val="16"/>
                <w:szCs w:val="16"/>
                <w:b w:val="1"/>
                <w:bCs w:val="1"/>
                <w:color w:val="auto"/>
              </w:rPr>
              <w:t>CONDENSED CONSOLIDATED BALANCE SHEETS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5"/>
        </w:trPr>
        <w:tc>
          <w:tcPr>
            <w:tcW w:w="7660" w:type="dxa"/>
            <w:vAlign w:val="bottom"/>
          </w:tcPr>
          <w:p>
            <w:pPr>
              <w:ind w:left="490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2"/>
        </w:trPr>
        <w:tc>
          <w:tcPr>
            <w:tcW w:w="7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June 30, 2022</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2022</w:t>
            </w:r>
          </w:p>
        </w:tc>
      </w:tr>
      <w:tr>
        <w:trPr>
          <w:trHeight w:val="209"/>
        </w:trPr>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rPr>
              <w:t>(unaudited)</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91,205</w:t>
            </w:r>
          </w:p>
        </w:tc>
      </w:tr>
      <w:tr>
        <w:trPr>
          <w:trHeight w:val="215"/>
        </w:trPr>
        <w:tc>
          <w:tcPr>
            <w:tcW w:w="7660" w:type="dxa"/>
            <w:vAlign w:val="bottom"/>
          </w:tcPr>
          <w:p>
            <w:pPr>
              <w:ind w:left="220"/>
              <w:spacing w:after="0"/>
              <w:rPr>
                <w:sz w:val="20"/>
                <w:szCs w:val="20"/>
                <w:color w:val="auto"/>
              </w:rPr>
            </w:pPr>
            <w:r>
              <w:rPr>
                <w:rFonts w:ascii="Arial" w:cs="Arial" w:eastAsia="Arial" w:hAnsi="Arial"/>
                <w:sz w:val="16"/>
                <w:szCs w:val="16"/>
                <w:color w:val="auto"/>
              </w:rPr>
              <w:t>Restricted cash, 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8,691</w:t>
            </w: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44,845</w:t>
            </w:r>
          </w:p>
        </w:tc>
      </w:tr>
      <w:tr>
        <w:trPr>
          <w:trHeight w:val="215"/>
        </w:trPr>
        <w:tc>
          <w:tcPr>
            <w:tcW w:w="766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55,441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57,400</w:t>
            </w: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sales commission costs, 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35,482</w:t>
            </w:r>
          </w:p>
        </w:tc>
      </w:tr>
      <w:tr>
        <w:trPr>
          <w:trHeight w:val="215"/>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37,999</w:t>
            </w:r>
          </w:p>
        </w:tc>
      </w:tr>
      <w:tr>
        <w:trPr>
          <w:trHeight w:val="210"/>
        </w:trPr>
        <w:tc>
          <w:tcPr>
            <w:tcW w:w="7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275,622</w:t>
            </w:r>
          </w:p>
        </w:tc>
      </w:t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73,876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79,016</w:t>
            </w: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63,415</w:t>
            </w:r>
          </w:p>
        </w:tc>
      </w:t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128,213</w:t>
            </w: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266,867</w:t>
            </w:r>
          </w:p>
        </w:tc>
      </w:t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Restricted cash,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Deferred sales commission costs, non-current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75,668</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Other assets,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17,978</w:t>
            </w:r>
          </w:p>
        </w:tc>
      </w:tr>
      <w:tr>
        <w:trPr>
          <w:trHeight w:val="210"/>
        </w:trPr>
        <w:tc>
          <w:tcPr>
            <w:tcW w:w="7660" w:type="dxa"/>
            <w:vAlign w:val="bottom"/>
          </w:tcPr>
          <w:p>
            <w:pPr>
              <w:ind w:left="66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889,147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910,268</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9"/>
        </w:trPr>
        <w:tc>
          <w:tcPr>
            <w:tcW w:w="7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76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42,584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49,721</w:t>
            </w: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36,319</w:t>
            </w:r>
          </w:p>
        </w:tc>
      </w:tr>
      <w:tr>
        <w:trPr>
          <w:trHeight w:val="215"/>
        </w:trPr>
        <w:tc>
          <w:tcPr>
            <w:tcW w:w="766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32,573</w:t>
            </w: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r>
      <w:tr>
        <w:trPr>
          <w:trHeight w:val="215"/>
        </w:trPr>
        <w:tc>
          <w:tcPr>
            <w:tcW w:w="7660" w:type="dxa"/>
            <w:vAlign w:val="bottom"/>
          </w:tcPr>
          <w:p>
            <w:pPr>
              <w:ind w:left="220"/>
              <w:spacing w:after="0"/>
              <w:rPr>
                <w:sz w:val="20"/>
                <w:szCs w:val="20"/>
                <w:color w:val="auto"/>
              </w:rPr>
            </w:pPr>
            <w:r>
              <w:rPr>
                <w:rFonts w:ascii="Arial" w:cs="Arial" w:eastAsia="Arial" w:hAnsi="Arial"/>
                <w:sz w:val="16"/>
                <w:szCs w:val="16"/>
                <w:color w:val="auto"/>
              </w:rPr>
              <w:t>Deferred revenue, current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34,064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34,262</w:t>
            </w: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23,167</w:t>
            </w:r>
          </w:p>
        </w:tc>
      </w:tr>
      <w:tr>
        <w:trPr>
          <w:trHeight w:val="209"/>
        </w:trPr>
        <w:tc>
          <w:tcPr>
            <w:tcW w:w="76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191,527</w:t>
            </w: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74,518</w:t>
            </w:r>
          </w:p>
        </w:tc>
      </w:t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Convertible senior notes,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494,444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447,452</w:t>
            </w: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non-current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r>
      <w:tr>
        <w:trPr>
          <w:trHeight w:val="215"/>
        </w:trPr>
        <w:tc>
          <w:tcPr>
            <w:tcW w:w="7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liabilities, non-current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w:t>
            </w:r>
          </w:p>
        </w:tc>
      </w:tr>
      <w:tr>
        <w:trPr>
          <w:trHeight w:val="210"/>
        </w:trPr>
        <w:tc>
          <w:tcPr>
            <w:tcW w:w="76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755,625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727,902</w:t>
            </w:r>
          </w:p>
        </w:tc>
      </w:tr>
      <w:tr>
        <w:trPr>
          <w:trHeight w:val="195"/>
        </w:trPr>
        <w:tc>
          <w:tcPr>
            <w:tcW w:w="766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7660" w:type="dxa"/>
            <w:vAlign w:val="bottom"/>
          </w:tcPr>
          <w:p>
            <w:pPr>
              <w:ind w:left="220"/>
              <w:spacing w:after="0"/>
              <w:rPr>
                <w:sz w:val="20"/>
                <w:szCs w:val="20"/>
                <w:color w:val="auto"/>
              </w:rPr>
            </w:pPr>
            <w:r>
              <w:rPr>
                <w:rFonts w:ascii="Arial" w:cs="Arial" w:eastAsia="Arial" w:hAnsi="Arial"/>
                <w:sz w:val="16"/>
                <w:szCs w:val="16"/>
                <w:color w:val="auto"/>
              </w:rPr>
              <w:t>Preferred stock</w:t>
            </w:r>
          </w:p>
        </w:tc>
        <w:tc>
          <w:tcPr>
            <w:tcW w:w="14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5"/>
        </w:trPr>
        <w:tc>
          <w:tcPr>
            <w:tcW w:w="76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895,602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956,599</w:t>
            </w:r>
          </w:p>
        </w:tc>
      </w:tr>
      <w:tr>
        <w:trPr>
          <w:trHeight w:val="217"/>
        </w:trPr>
        <w:tc>
          <w:tcPr>
            <w:tcW w:w="7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r>
      <w:tr>
        <w:trPr>
          <w:trHeight w:val="215"/>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(745,809)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(766,438)</w:t>
            </w:r>
          </w:p>
        </w:tc>
      </w:tr>
      <w:tr>
        <w:trPr>
          <w:trHeight w:val="210"/>
        </w:trPr>
        <w:tc>
          <w:tcPr>
            <w:tcW w:w="76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182,366</w:t>
            </w:r>
          </w:p>
        </w:tc>
      </w:tr>
      <w:tr>
        <w:trPr>
          <w:trHeight w:val="210"/>
        </w:trPr>
        <w:tc>
          <w:tcPr>
            <w:tcW w:w="766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889,147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910,268</w:t>
            </w:r>
          </w:p>
        </w:tc>
      </w:tr>
      <w:tr>
        <w:trPr>
          <w:trHeight w:val="21"/>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318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3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762"/>
        </w:trPr>
        <w:tc>
          <w:tcPr>
            <w:tcW w:w="3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920" w:type="dxa"/>
            <w:vAlign w:val="bottom"/>
          </w:tcPr>
          <w:p>
            <w:pPr>
              <w:spacing w:after="0"/>
              <w:rPr>
                <w:sz w:val="24"/>
                <w:szCs w:val="24"/>
                <w:color w:val="auto"/>
              </w:rPr>
            </w:pPr>
          </w:p>
        </w:tc>
        <w:tc>
          <w:tcPr>
            <w:tcW w:w="50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8X8, INC.</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0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5"/>
        </w:trPr>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040" w:type="dxa"/>
            <w:vAlign w:val="bottom"/>
            <w:gridSpan w:val="2"/>
          </w:tcPr>
          <w:p>
            <w:pPr>
              <w:jc w:val="center"/>
              <w:ind w:right="59"/>
              <w:spacing w:after="0"/>
              <w:rPr>
                <w:sz w:val="20"/>
                <w:szCs w:val="20"/>
                <w:color w:val="auto"/>
              </w:rPr>
            </w:pPr>
            <w:r>
              <w:rPr>
                <w:rFonts w:ascii="Arial" w:cs="Arial" w:eastAsia="Arial" w:hAnsi="Arial"/>
                <w:sz w:val="16"/>
                <w:szCs w:val="16"/>
                <w:color w:val="auto"/>
              </w:rPr>
              <w:t>(Unaudited, in thousands except per share amounts)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26"/>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1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720" w:type="dxa"/>
            <w:vAlign w:val="bottom"/>
            <w:tcBorders>
              <w:bottom w:val="single" w:sz="8" w:color="auto"/>
            </w:tcBorders>
          </w:tcPr>
          <w:p>
            <w:pPr>
              <w:spacing w:after="0"/>
              <w:rPr>
                <w:sz w:val="24"/>
                <w:szCs w:val="24"/>
                <w:color w:val="auto"/>
              </w:rPr>
            </w:pPr>
          </w:p>
        </w:tc>
      </w:tr>
      <w:tr>
        <w:trPr>
          <w:trHeight w:val="210"/>
        </w:trPr>
        <w:tc>
          <w:tcPr>
            <w:tcW w:w="380" w:type="dxa"/>
            <w:vAlign w:val="bottom"/>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r>
      <w:tr>
        <w:trPr>
          <w:trHeight w:val="209"/>
        </w:trPr>
        <w:tc>
          <w:tcPr>
            <w:tcW w:w="380" w:type="dxa"/>
            <w:vAlign w:val="bottom"/>
          </w:tcPr>
          <w:p>
            <w:pPr>
              <w:spacing w:after="0"/>
              <w:rPr>
                <w:sz w:val="18"/>
                <w:szCs w:val="18"/>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179,161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137,796</w:t>
            </w:r>
          </w:p>
        </w:tc>
      </w:tr>
      <w:tr>
        <w:trPr>
          <w:trHeight w:val="215"/>
        </w:trPr>
        <w:tc>
          <w:tcPr>
            <w:tcW w:w="380" w:type="dxa"/>
            <w:vAlign w:val="bottom"/>
          </w:tcPr>
          <w:p>
            <w:pPr>
              <w:spacing w:after="0"/>
              <w:rPr>
                <w:sz w:val="18"/>
                <w:szCs w:val="18"/>
                <w:color w:val="auto"/>
              </w:rPr>
            </w:pPr>
          </w:p>
        </w:tc>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revenue</w:t>
            </w:r>
          </w:p>
        </w:tc>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8,459</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10,531</w:t>
            </w:r>
          </w:p>
        </w:tc>
      </w:tr>
      <w:tr>
        <w:trPr>
          <w:trHeight w:val="210"/>
        </w:trPr>
        <w:tc>
          <w:tcPr>
            <w:tcW w:w="380" w:type="dxa"/>
            <w:vAlign w:val="bottom"/>
          </w:tcPr>
          <w:p>
            <w:pPr>
              <w:spacing w:after="0"/>
              <w:rPr>
                <w:sz w:val="18"/>
                <w:szCs w:val="18"/>
                <w:color w:val="auto"/>
              </w:rPr>
            </w:pPr>
          </w:p>
        </w:tc>
        <w:tc>
          <w:tcPr>
            <w:tcW w:w="2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8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187,620</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148,327</w:t>
            </w:r>
          </w:p>
        </w:tc>
      </w:tr>
      <w:tr>
        <w:trPr>
          <w:trHeight w:val="195"/>
        </w:trPr>
        <w:tc>
          <w:tcPr>
            <w:tcW w:w="380" w:type="dxa"/>
            <w:vAlign w:val="bottom"/>
          </w:tcPr>
          <w:p>
            <w:pPr>
              <w:spacing w:after="0"/>
              <w:rPr>
                <w:sz w:val="16"/>
                <w:szCs w:val="16"/>
                <w:color w:val="auto"/>
              </w:rPr>
            </w:pP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3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7"/>
        </w:trPr>
        <w:tc>
          <w:tcPr>
            <w:tcW w:w="380" w:type="dxa"/>
            <w:vAlign w:val="bottom"/>
          </w:tcPr>
          <w:p>
            <w:pPr>
              <w:spacing w:after="0"/>
              <w:rPr>
                <w:sz w:val="18"/>
                <w:szCs w:val="18"/>
                <w:color w:val="auto"/>
              </w:rPr>
            </w:pPr>
          </w:p>
        </w:tc>
        <w:tc>
          <w:tcPr>
            <w:tcW w:w="2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Cost of service revenue</w:t>
            </w:r>
          </w:p>
        </w:tc>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53,547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46,010</w:t>
            </w:r>
          </w:p>
        </w:tc>
      </w:tr>
      <w:tr>
        <w:trPr>
          <w:trHeight w:val="215"/>
        </w:trPr>
        <w:tc>
          <w:tcPr>
            <w:tcW w:w="380" w:type="dxa"/>
            <w:vAlign w:val="bottom"/>
          </w:tcPr>
          <w:p>
            <w:pPr>
              <w:spacing w:after="0"/>
              <w:rPr>
                <w:sz w:val="18"/>
                <w:szCs w:val="18"/>
                <w:color w:val="auto"/>
              </w:rPr>
            </w:pPr>
          </w:p>
        </w:tc>
        <w:tc>
          <w:tcPr>
            <w:tcW w:w="2800" w:type="dxa"/>
            <w:vAlign w:val="bottom"/>
            <w:gridSpan w:val="2"/>
          </w:tcPr>
          <w:p>
            <w:pPr>
              <w:ind w:left="240"/>
              <w:spacing w:after="0"/>
              <w:rPr>
                <w:sz w:val="20"/>
                <w:szCs w:val="20"/>
                <w:color w:val="auto"/>
              </w:rPr>
            </w:pPr>
            <w:r>
              <w:rPr>
                <w:rFonts w:ascii="Arial" w:cs="Arial" w:eastAsia="Arial" w:hAnsi="Arial"/>
                <w:sz w:val="16"/>
                <w:szCs w:val="16"/>
                <w:color w:val="auto"/>
              </w:rPr>
              <w:t>Cost of other revenue</w:t>
            </w:r>
          </w:p>
        </w:tc>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13,126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13,746</w:t>
            </w:r>
          </w:p>
        </w:tc>
      </w:tr>
      <w:tr>
        <w:trPr>
          <w:trHeight w:val="217"/>
        </w:trPr>
        <w:tc>
          <w:tcPr>
            <w:tcW w:w="380" w:type="dxa"/>
            <w:vAlign w:val="bottom"/>
          </w:tcPr>
          <w:p>
            <w:pPr>
              <w:spacing w:after="0"/>
              <w:rPr>
                <w:sz w:val="18"/>
                <w:szCs w:val="18"/>
                <w:color w:val="auto"/>
              </w:rPr>
            </w:pPr>
          </w:p>
        </w:tc>
        <w:tc>
          <w:tcPr>
            <w:tcW w:w="2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25,392</w:t>
            </w:r>
          </w:p>
        </w:tc>
      </w:tr>
      <w:tr>
        <w:trPr>
          <w:trHeight w:val="215"/>
        </w:trPr>
        <w:tc>
          <w:tcPr>
            <w:tcW w:w="380" w:type="dxa"/>
            <w:vAlign w:val="bottom"/>
          </w:tcPr>
          <w:p>
            <w:pPr>
              <w:spacing w:after="0"/>
              <w:rPr>
                <w:sz w:val="18"/>
                <w:szCs w:val="18"/>
                <w:color w:val="auto"/>
              </w:rPr>
            </w:pPr>
          </w:p>
        </w:tc>
        <w:tc>
          <w:tcPr>
            <w:tcW w:w="2800" w:type="dxa"/>
            <w:vAlign w:val="bottom"/>
            <w:gridSpan w:val="2"/>
          </w:tcPr>
          <w:p>
            <w:pPr>
              <w:ind w:left="240"/>
              <w:spacing w:after="0"/>
              <w:rPr>
                <w:sz w:val="20"/>
                <w:szCs w:val="20"/>
                <w:color w:val="auto"/>
              </w:rPr>
            </w:pPr>
            <w:r>
              <w:rPr>
                <w:rFonts w:ascii="Arial" w:cs="Arial" w:eastAsia="Arial" w:hAnsi="Arial"/>
                <w:sz w:val="16"/>
                <w:szCs w:val="16"/>
                <w:color w:val="auto"/>
              </w:rPr>
              <w:t>Sales and marketing</w:t>
            </w:r>
          </w:p>
        </w:tc>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83,527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75,915</w:t>
            </w:r>
          </w:p>
        </w:tc>
      </w:tr>
      <w:tr>
        <w:trPr>
          <w:trHeight w:val="217"/>
        </w:trPr>
        <w:tc>
          <w:tcPr>
            <w:tcW w:w="380" w:type="dxa"/>
            <w:vAlign w:val="bottom"/>
          </w:tcPr>
          <w:p>
            <w:pPr>
              <w:spacing w:after="0"/>
              <w:rPr>
                <w:sz w:val="18"/>
                <w:szCs w:val="18"/>
                <w:color w:val="auto"/>
              </w:rPr>
            </w:pPr>
          </w:p>
        </w:tc>
        <w:tc>
          <w:tcPr>
            <w:tcW w:w="28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8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29,219</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26,091</w:t>
            </w:r>
          </w:p>
        </w:tc>
      </w:tr>
      <w:tr>
        <w:trPr>
          <w:trHeight w:val="209"/>
        </w:trPr>
        <w:tc>
          <w:tcPr>
            <w:tcW w:w="380" w:type="dxa"/>
            <w:vAlign w:val="bottom"/>
          </w:tcPr>
          <w:p>
            <w:pPr>
              <w:spacing w:after="0"/>
              <w:rPr>
                <w:sz w:val="18"/>
                <w:szCs w:val="18"/>
                <w:color w:val="auto"/>
              </w:rPr>
            </w:pPr>
          </w:p>
        </w:tc>
        <w:tc>
          <w:tcPr>
            <w:tcW w:w="28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operating expenses</w:t>
            </w:r>
          </w:p>
        </w:tc>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214,374</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187,154</w:t>
            </w:r>
          </w:p>
        </w:tc>
      </w:tr>
      <w:tr>
        <w:trPr>
          <w:trHeight w:val="210"/>
        </w:trPr>
        <w:tc>
          <w:tcPr>
            <w:tcW w:w="380" w:type="dxa"/>
            <w:vAlign w:val="bottom"/>
          </w:tcPr>
          <w:p>
            <w:pPr>
              <w:spacing w:after="0"/>
              <w:rPr>
                <w:sz w:val="18"/>
                <w:szCs w:val="18"/>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(38,827)</w:t>
            </w:r>
          </w:p>
        </w:tc>
      </w:tr>
      <w:tr>
        <w:trPr>
          <w:trHeight w:val="215"/>
        </w:trPr>
        <w:tc>
          <w:tcPr>
            <w:tcW w:w="380" w:type="dxa"/>
            <w:vAlign w:val="bottom"/>
          </w:tcPr>
          <w:p>
            <w:pPr>
              <w:spacing w:after="0"/>
              <w:rPr>
                <w:sz w:val="18"/>
                <w:szCs w:val="18"/>
                <w:color w:val="auto"/>
              </w:rPr>
            </w:pPr>
          </w:p>
        </w:tc>
        <w:tc>
          <w:tcPr>
            <w:tcW w:w="2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income (expense), net</w:t>
            </w:r>
          </w:p>
        </w:tc>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w:t>
            </w:r>
          </w:p>
        </w:tc>
      </w:tr>
      <w:tr>
        <w:trPr>
          <w:trHeight w:val="210"/>
        </w:trPr>
        <w:tc>
          <w:tcPr>
            <w:tcW w:w="380" w:type="dxa"/>
            <w:vAlign w:val="bottom"/>
          </w:tcPr>
          <w:p>
            <w:pPr>
              <w:spacing w:after="0"/>
              <w:rPr>
                <w:sz w:val="18"/>
                <w:szCs w:val="18"/>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(43,650)</w:t>
            </w:r>
          </w:p>
        </w:tc>
      </w:tr>
      <w:tr>
        <w:trPr>
          <w:trHeight w:val="215"/>
        </w:trPr>
        <w:tc>
          <w:tcPr>
            <w:tcW w:w="380" w:type="dxa"/>
            <w:vAlign w:val="bottom"/>
          </w:tcPr>
          <w:p>
            <w:pPr>
              <w:spacing w:after="0"/>
              <w:rPr>
                <w:sz w:val="18"/>
                <w:szCs w:val="18"/>
                <w:color w:val="auto"/>
              </w:rPr>
            </w:pPr>
          </w:p>
        </w:tc>
        <w:tc>
          <w:tcPr>
            <w:tcW w:w="28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Provision for income taxes</w:t>
            </w:r>
          </w:p>
        </w:tc>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235"/>
        </w:trPr>
        <w:tc>
          <w:tcPr>
            <w:tcW w:w="380" w:type="dxa"/>
            <w:vAlign w:val="bottom"/>
          </w:tcPr>
          <w:p>
            <w:pPr>
              <w:spacing w:after="0"/>
              <w:rPr>
                <w:sz w:val="20"/>
                <w:szCs w:val="20"/>
                <w:color w:val="auto"/>
              </w:rPr>
            </w:pP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8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(26,043)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(43,906)</w:t>
            </w:r>
          </w:p>
        </w:tc>
      </w:tr>
      <w:tr>
        <w:trPr>
          <w:trHeight w:val="20"/>
        </w:trPr>
        <w:tc>
          <w:tcPr>
            <w:tcW w:w="380" w:type="dxa"/>
            <w:vAlign w:val="bottom"/>
          </w:tcPr>
          <w:p>
            <w:pPr>
              <w:spacing w:after="0" w:line="20" w:lineRule="exact"/>
              <w:rPr>
                <w:sz w:val="1"/>
                <w:szCs w:val="1"/>
                <w:color w:val="auto"/>
              </w:rPr>
            </w:pPr>
          </w:p>
        </w:tc>
        <w:tc>
          <w:tcPr>
            <w:tcW w:w="2800" w:type="dxa"/>
            <w:vAlign w:val="bottom"/>
            <w:tcBorders>
              <w:top w:val="single" w:sz="8" w:color="CCEEFF"/>
            </w:tcBorders>
            <w:gridSpan w:val="2"/>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380" w:type="dxa"/>
            <w:vAlign w:val="bottom"/>
          </w:tcPr>
          <w:p>
            <w:pPr>
              <w:spacing w:after="0"/>
              <w:rPr>
                <w:sz w:val="18"/>
                <w:szCs w:val="18"/>
                <w:color w:val="auto"/>
              </w:rPr>
            </w:pPr>
          </w:p>
        </w:tc>
        <w:tc>
          <w:tcPr>
            <w:tcW w:w="2800" w:type="dxa"/>
            <w:vAlign w:val="bottom"/>
            <w:gridSpan w:val="2"/>
          </w:tcPr>
          <w:p>
            <w:pPr>
              <w:ind w:left="240"/>
              <w:spacing w:after="0"/>
              <w:rPr>
                <w:sz w:val="20"/>
                <w:szCs w:val="20"/>
                <w:color w:val="auto"/>
              </w:rPr>
            </w:pPr>
            <w:r>
              <w:rPr>
                <w:rFonts w:ascii="Arial" w:cs="Arial" w:eastAsia="Arial" w:hAnsi="Arial"/>
                <w:sz w:val="16"/>
                <w:szCs w:val="16"/>
                <w:color w:val="auto"/>
              </w:rPr>
              <w:t>Basic and diluted</w:t>
            </w:r>
          </w:p>
        </w:tc>
        <w:tc>
          <w:tcPr>
            <w:tcW w:w="5040" w:type="dxa"/>
            <w:vAlign w:val="bottom"/>
            <w:gridSpan w:val="2"/>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(0.40)</w:t>
            </w:r>
          </w:p>
        </w:tc>
      </w:tr>
      <w:tr>
        <w:trPr>
          <w:trHeight w:val="217"/>
        </w:trPr>
        <w:tc>
          <w:tcPr>
            <w:tcW w:w="380" w:type="dxa"/>
            <w:vAlign w:val="bottom"/>
          </w:tcPr>
          <w:p>
            <w:pPr>
              <w:spacing w:after="0"/>
              <w:rPr>
                <w:sz w:val="18"/>
                <w:szCs w:val="18"/>
                <w:color w:val="auto"/>
              </w:rPr>
            </w:pP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380" w:type="dxa"/>
            <w:vAlign w:val="bottom"/>
          </w:tcPr>
          <w:p>
            <w:pPr>
              <w:spacing w:after="0"/>
              <w:rPr>
                <w:sz w:val="18"/>
                <w:szCs w:val="18"/>
                <w:color w:val="auto"/>
              </w:rPr>
            </w:pPr>
          </w:p>
        </w:tc>
        <w:tc>
          <w:tcPr>
            <w:tcW w:w="2800" w:type="dxa"/>
            <w:vAlign w:val="bottom"/>
            <w:gridSpan w:val="2"/>
          </w:tcPr>
          <w:p>
            <w:pPr>
              <w:ind w:left="240"/>
              <w:spacing w:after="0"/>
              <w:rPr>
                <w:sz w:val="20"/>
                <w:szCs w:val="20"/>
                <w:color w:val="auto"/>
              </w:rPr>
            </w:pPr>
            <w:r>
              <w:rPr>
                <w:rFonts w:ascii="Arial" w:cs="Arial" w:eastAsia="Arial" w:hAnsi="Arial"/>
                <w:sz w:val="16"/>
                <w:szCs w:val="16"/>
                <w:color w:val="auto"/>
              </w:rPr>
              <w:t>Basic and diluted</w:t>
            </w:r>
          </w:p>
        </w:tc>
        <w:tc>
          <w:tcPr>
            <w:tcW w:w="3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119,721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109,925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420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762"/>
        </w:trPr>
        <w:tc>
          <w:tcPr>
            <w:tcW w:w="3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940" w:type="dxa"/>
            <w:vAlign w:val="bottom"/>
          </w:tcPr>
          <w:p>
            <w:pPr>
              <w:spacing w:after="0"/>
              <w:rPr>
                <w:sz w:val="24"/>
                <w:szCs w:val="24"/>
                <w:color w:val="auto"/>
              </w:rPr>
            </w:pPr>
          </w:p>
        </w:tc>
        <w:tc>
          <w:tcPr>
            <w:tcW w:w="328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rPr>
              <w:t>8X8, INC.</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760" w:type="dxa"/>
            <w:vAlign w:val="bottom"/>
            <w:gridSpan w:val="5"/>
          </w:tcPr>
          <w:p>
            <w:pPr>
              <w:jc w:val="center"/>
              <w:ind w:left="899"/>
              <w:spacing w:after="0"/>
              <w:rPr>
                <w:sz w:val="20"/>
                <w:szCs w:val="20"/>
                <w:color w:val="auto"/>
              </w:rPr>
            </w:pPr>
            <w:r>
              <w:rPr>
                <w:rFonts w:ascii="Arial" w:cs="Arial" w:eastAsia="Arial" w:hAnsi="Arial"/>
                <w:sz w:val="16"/>
                <w:szCs w:val="16"/>
                <w:b w:val="1"/>
                <w:bCs w:val="1"/>
                <w:color w:val="auto"/>
              </w:rPr>
              <w:t>CONDENSED CONSOLIDATED STATEMENTS OF COMPREHENSIVE LOSS</w:t>
            </w: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5"/>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280" w:type="dxa"/>
            <w:vAlign w:val="bottom"/>
            <w:gridSpan w:val="2"/>
          </w:tcPr>
          <w:p>
            <w:pPr>
              <w:jc w:val="center"/>
              <w:ind w:right="339"/>
              <w:spacing w:after="0"/>
              <w:rPr>
                <w:sz w:val="20"/>
                <w:szCs w:val="20"/>
                <w:color w:val="auto"/>
              </w:rPr>
            </w:pPr>
            <w:r>
              <w:rPr>
                <w:rFonts w:ascii="Arial" w:cs="Arial" w:eastAsia="Arial" w:hAnsi="Arial"/>
                <w:sz w:val="16"/>
                <w:szCs w:val="16"/>
                <w:color w:val="auto"/>
              </w:rPr>
              <w:t>(Unaudited, 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26"/>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340" w:type="dxa"/>
            <w:vAlign w:val="bottom"/>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09"/>
        </w:trPr>
        <w:tc>
          <w:tcPr>
            <w:tcW w:w="340" w:type="dxa"/>
            <w:vAlign w:val="bottom"/>
          </w:tcPr>
          <w:p>
            <w:pPr>
              <w:spacing w:after="0"/>
              <w:rPr>
                <w:sz w:val="18"/>
                <w:szCs w:val="18"/>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(43,906)</w:t>
            </w:r>
          </w:p>
        </w:tc>
      </w:tr>
      <w:tr>
        <w:trPr>
          <w:trHeight w:val="215"/>
        </w:trPr>
        <w:tc>
          <w:tcPr>
            <w:tcW w:w="340" w:type="dxa"/>
            <w:vAlign w:val="bottom"/>
          </w:tcPr>
          <w:p>
            <w:pPr>
              <w:spacing w:after="0"/>
              <w:rPr>
                <w:sz w:val="18"/>
                <w:szCs w:val="18"/>
                <w:color w:val="auto"/>
              </w:rPr>
            </w:pPr>
          </w:p>
        </w:tc>
        <w:tc>
          <w:tcPr>
            <w:tcW w:w="386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3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Unrealized loss on investments in securities</w:t>
            </w:r>
          </w:p>
        </w:tc>
        <w:tc>
          <w:tcPr>
            <w:tcW w:w="2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340" w:type="dxa"/>
            <w:vAlign w:val="bottom"/>
          </w:tcPr>
          <w:p>
            <w:pPr>
              <w:spacing w:after="0"/>
              <w:rPr>
                <w:sz w:val="18"/>
                <w:szCs w:val="18"/>
                <w:color w:val="auto"/>
              </w:rPr>
            </w:pPr>
          </w:p>
        </w:tc>
        <w:tc>
          <w:tcPr>
            <w:tcW w:w="386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8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235"/>
        </w:trPr>
        <w:tc>
          <w:tcPr>
            <w:tcW w:w="34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8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(43,656)</w:t>
            </w:r>
          </w:p>
        </w:tc>
      </w:tr>
      <w:tr>
        <w:trPr>
          <w:trHeight w:val="20"/>
        </w:trPr>
        <w:tc>
          <w:tcPr>
            <w:tcW w:w="34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8" w:right="67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860" w:type="dxa"/>
            <w:vAlign w:val="bottom"/>
          </w:tcPr>
          <w:p>
            <w:pPr>
              <w:spacing w:after="0"/>
              <w:rPr>
                <w:sz w:val="10"/>
                <w:szCs w:val="10"/>
                <w:color w:val="auto"/>
              </w:rPr>
            </w:pPr>
          </w:p>
        </w:tc>
        <w:tc>
          <w:tcPr>
            <w:tcW w:w="208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62"/>
              <w:spacing w:after="0" w:line="121"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4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160" w:type="dxa"/>
            <w:vAlign w:val="bottom"/>
          </w:tcPr>
          <w:p>
            <w:pPr>
              <w:jc w:val="center"/>
              <w:ind w:right="121"/>
              <w:spacing w:after="0" w:line="121"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117,863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956,599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(766,438)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182,366</w:t>
            </w: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Adjustment related to adoption of ASU 2020-06</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(92,832)</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46,672</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(46,160)</w:t>
            </w: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Issuance of common stock under stock plans,</w:t>
            </w: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1,796</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withholding</w:t>
            </w: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31,807</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31,807</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investment loss</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(26,043)</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(26,043)</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119,659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895,602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(745,809)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133,522</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3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0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60" w:type="dxa"/>
            <w:vAlign w:val="bottom"/>
          </w:tcPr>
          <w:p>
            <w:pPr>
              <w:spacing w:after="0"/>
              <w:rPr>
                <w:sz w:val="10"/>
                <w:szCs w:val="10"/>
                <w:color w:val="auto"/>
              </w:rPr>
            </w:pPr>
          </w:p>
        </w:tc>
        <w:tc>
          <w:tcPr>
            <w:tcW w:w="208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62"/>
              <w:spacing w:after="0" w:line="121"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400" w:type="dxa"/>
            <w:vAlign w:val="bottom"/>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160" w:type="dxa"/>
            <w:vAlign w:val="bottom"/>
          </w:tcPr>
          <w:p>
            <w:pPr>
              <w:jc w:val="center"/>
              <w:ind w:right="121"/>
              <w:spacing w:after="0" w:line="121"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109,135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755,643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(591,055)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160,504</w:t>
            </w:r>
          </w:p>
        </w:tc>
        <w:tc>
          <w:tcPr>
            <w:tcW w:w="0" w:type="dxa"/>
            <w:vAlign w:val="bottom"/>
          </w:tcPr>
          <w:p>
            <w:pPr>
              <w:spacing w:after="0"/>
              <w:rPr>
                <w:sz w:val="1"/>
                <w:szCs w:val="1"/>
                <w:color w:val="auto"/>
              </w:rPr>
            </w:pPr>
          </w:p>
        </w:tc>
      </w:tr>
      <w:tr>
        <w:trPr>
          <w:trHeight w:val="162"/>
        </w:trPr>
        <w:tc>
          <w:tcPr>
            <w:tcW w:w="3860" w:type="dxa"/>
            <w:vAlign w:val="bottom"/>
          </w:tcPr>
          <w:p>
            <w:pPr>
              <w:ind w:left="240"/>
              <w:spacing w:after="0" w:line="162" w:lineRule="exact"/>
              <w:rPr>
                <w:sz w:val="20"/>
                <w:szCs w:val="20"/>
                <w:color w:val="auto"/>
              </w:rPr>
            </w:pPr>
            <w:r>
              <w:rPr>
                <w:rFonts w:ascii="Arial" w:cs="Arial" w:eastAsia="Arial" w:hAnsi="Arial"/>
                <w:sz w:val="16"/>
                <w:szCs w:val="16"/>
                <w:color w:val="auto"/>
              </w:rPr>
              <w:t>Issuance of common stock under stock plans,</w:t>
            </w: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1,562</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ind w:right="42"/>
              <w:spacing w:after="0"/>
              <w:rPr>
                <w:sz w:val="20"/>
                <w:szCs w:val="20"/>
                <w:color w:val="auto"/>
              </w:rPr>
            </w:pPr>
            <w:r>
              <w:rPr>
                <w:rFonts w:ascii="Arial" w:cs="Arial" w:eastAsia="Arial" w:hAnsi="Arial"/>
                <w:sz w:val="16"/>
                <w:szCs w:val="16"/>
                <w:color w:val="auto"/>
              </w:rPr>
              <w:t>3,438</w:t>
            </w:r>
          </w:p>
        </w:tc>
        <w:tc>
          <w:tcPr>
            <w:tcW w:w="20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less withholding</w:t>
            </w:r>
          </w:p>
        </w:tc>
        <w:tc>
          <w:tcPr>
            <w:tcW w:w="11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36,508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0" w:type="dxa"/>
            <w:vAlign w:val="bottom"/>
          </w:tcPr>
          <w:p>
            <w:pPr>
              <w:spacing w:after="0"/>
              <w:rPr>
                <w:sz w:val="1"/>
                <w:szCs w:val="1"/>
                <w:color w:val="auto"/>
              </w:rPr>
            </w:pPr>
          </w:p>
        </w:tc>
      </w:tr>
      <w:tr>
        <w:trPr>
          <w:trHeight w:val="215"/>
        </w:trPr>
        <w:tc>
          <w:tcPr>
            <w:tcW w:w="3860" w:type="dxa"/>
            <w:vAlign w:val="bottom"/>
          </w:tcPr>
          <w:p>
            <w:pPr>
              <w:ind w:left="240"/>
              <w:spacing w:after="0"/>
              <w:rPr>
                <w:sz w:val="20"/>
                <w:szCs w:val="20"/>
                <w:color w:val="auto"/>
              </w:rPr>
            </w:pPr>
            <w:r>
              <w:rPr>
                <w:rFonts w:ascii="Arial" w:cs="Arial" w:eastAsia="Arial" w:hAnsi="Arial"/>
                <w:sz w:val="16"/>
                <w:szCs w:val="16"/>
                <w:color w:val="auto"/>
              </w:rPr>
              <w:t>Unrealized investment loss</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(43,906)</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(43,906)</w:t>
            </w: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110,697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795,589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(634,961)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722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762"/>
        </w:trPr>
        <w:tc>
          <w:tcPr>
            <w:tcW w:w="3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5960" w:type="dxa"/>
            <w:vAlign w:val="bottom"/>
          </w:tcPr>
          <w:p>
            <w:pPr>
              <w:jc w:val="center"/>
              <w:ind w:left="2699"/>
              <w:spacing w:after="0"/>
              <w:rPr>
                <w:sz w:val="20"/>
                <w:szCs w:val="20"/>
                <w:color w:val="auto"/>
              </w:rPr>
            </w:pPr>
            <w:r>
              <w:rPr>
                <w:rFonts w:ascii="Arial" w:cs="Arial" w:eastAsia="Arial" w:hAnsi="Arial"/>
                <w:sz w:val="16"/>
                <w:szCs w:val="16"/>
                <w:b w:val="1"/>
                <w:bCs w:val="1"/>
                <w:color w:val="auto"/>
              </w:rPr>
              <w:t>8X8, INC.</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60" w:type="dxa"/>
            <w:vAlign w:val="bottom"/>
            <w:gridSpan w:val="2"/>
          </w:tcPr>
          <w:p>
            <w:pPr>
              <w:jc w:val="center"/>
              <w:ind w:left="1579"/>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5"/>
        </w:trPr>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60" w:type="dxa"/>
            <w:vAlign w:val="bottom"/>
          </w:tcPr>
          <w:p>
            <w:pPr>
              <w:jc w:val="center"/>
              <w:ind w:left="2699"/>
              <w:spacing w:after="0"/>
              <w:rPr>
                <w:sz w:val="20"/>
                <w:szCs w:val="20"/>
                <w:color w:val="auto"/>
              </w:rPr>
            </w:pPr>
            <w:r>
              <w:rPr>
                <w:rFonts w:ascii="Arial" w:cs="Arial" w:eastAsia="Arial" w:hAnsi="Arial"/>
                <w:sz w:val="16"/>
                <w:szCs w:val="16"/>
                <w:color w:val="auto"/>
              </w:rPr>
              <w:t>(in thousands)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25"/>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0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(26,043)</w:t>
            </w:r>
          </w:p>
        </w:tc>
        <w:tc>
          <w:tcPr>
            <w:tcW w:w="14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(43,906)</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Depreciation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2,789</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2,922</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intangible assets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Amortization of capitalized internal-use software costs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5,964</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7,243</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debt discount and issuance costs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Amortization of deferred sales commission costs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9,166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8,245</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Allowance for credit losses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Operating lease expense, net of accretion</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3,121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3,459</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Stock-based compensation expense</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36,587</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44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Changes in assets and liabilities: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6880" w:type="dxa"/>
            <w:vAlign w:val="bottom"/>
            <w:gridSpan w:val="2"/>
          </w:tcPr>
          <w:p>
            <w:pPr>
              <w:ind w:left="660"/>
              <w:spacing w:after="0"/>
              <w:rPr>
                <w:sz w:val="20"/>
                <w:szCs w:val="20"/>
                <w:color w:val="auto"/>
              </w:rPr>
            </w:pPr>
            <w:r>
              <w:rPr>
                <w:rFonts w:ascii="Arial" w:cs="Arial" w:eastAsia="Arial" w:hAnsi="Arial"/>
                <w:sz w:val="16"/>
                <w:szCs w:val="16"/>
                <w:color w:val="auto"/>
              </w:rPr>
              <w:t>Accounts receivable</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924</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Deferred sales commission costs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(11,615)</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660"/>
              <w:spacing w:after="0"/>
              <w:rPr>
                <w:sz w:val="20"/>
                <w:szCs w:val="20"/>
                <w:color w:val="auto"/>
              </w:rPr>
            </w:pPr>
            <w:r>
              <w:rPr>
                <w:rFonts w:ascii="Arial" w:cs="Arial" w:eastAsia="Arial" w:hAnsi="Arial"/>
                <w:sz w:val="16"/>
                <w:szCs w:val="16"/>
                <w:color w:val="auto"/>
              </w:rPr>
              <w:t>Other current and non-current assets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(692)</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(2,550)</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Accounts payable and accruals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w:t>
            </w:r>
          </w:p>
        </w:tc>
      </w:tr>
      <w:tr>
        <w:trPr>
          <w:trHeight w:val="215"/>
        </w:trPr>
        <w:tc>
          <w:tcPr>
            <w:tcW w:w="340" w:type="dxa"/>
            <w:vAlign w:val="bottom"/>
          </w:tcPr>
          <w:p>
            <w:pPr>
              <w:spacing w:after="0"/>
              <w:rPr>
                <w:sz w:val="18"/>
                <w:szCs w:val="18"/>
                <w:color w:val="auto"/>
              </w:rPr>
            </w:pPr>
          </w:p>
        </w:tc>
        <w:tc>
          <w:tcPr>
            <w:tcW w:w="688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Deferred revenue</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r>
      <w:tr>
        <w:trPr>
          <w:trHeight w:val="210"/>
        </w:trPr>
        <w:tc>
          <w:tcPr>
            <w:tcW w:w="340" w:type="dxa"/>
            <w:vAlign w:val="bottom"/>
          </w:tcPr>
          <w:p>
            <w:pPr>
              <w:spacing w:after="0"/>
              <w:rPr>
                <w:sz w:val="18"/>
                <w:szCs w:val="18"/>
                <w:color w:val="auto"/>
              </w:rPr>
            </w:pPr>
          </w:p>
        </w:tc>
        <w:tc>
          <w:tcPr>
            <w:tcW w:w="6880" w:type="dxa"/>
            <w:vAlign w:val="bottom"/>
            <w:gridSpan w:val="2"/>
            <w:shd w:val="clear" w:color="auto" w:fill="CCEEFF"/>
          </w:tcPr>
          <w:p>
            <w:pPr>
              <w:ind w:left="880"/>
              <w:spacing w:after="0"/>
              <w:rPr>
                <w:sz w:val="20"/>
                <w:szCs w:val="20"/>
                <w:color w:val="auto"/>
              </w:rPr>
            </w:pPr>
            <w:r>
              <w:rPr>
                <w:rFonts w:ascii="Arial" w:cs="Arial" w:eastAsia="Arial" w:hAnsi="Arial"/>
                <w:sz w:val="16"/>
                <w:szCs w:val="16"/>
                <w:b w:val="1"/>
                <w:bCs w:val="1"/>
                <w:color w:val="auto"/>
              </w:rPr>
              <w:t>Net cash provided by operating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w:t>
            </w:r>
          </w:p>
        </w:tc>
      </w:tr>
      <w:tr>
        <w:trPr>
          <w:trHeight w:val="237"/>
        </w:trPr>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Purchases of property and equipment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Capitalized internal-use software costs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Purchases of investments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(18,838)</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(28,721)</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Sales of investments</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10,299</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Proceeds from maturities of investments</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15,590</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14,700</w:t>
            </w:r>
          </w:p>
        </w:tc>
      </w:tr>
      <w:tr>
        <w:trPr>
          <w:trHeight w:val="230"/>
        </w:trPr>
        <w:tc>
          <w:tcPr>
            <w:tcW w:w="340" w:type="dxa"/>
            <w:vAlign w:val="bottom"/>
          </w:tcPr>
          <w:p>
            <w:pPr>
              <w:spacing w:after="0"/>
              <w:rPr>
                <w:sz w:val="20"/>
                <w:szCs w:val="20"/>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Acquisition of business</w:t>
            </w: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40" w:type="dxa"/>
            <w:vAlign w:val="bottom"/>
          </w:tcPr>
          <w:p>
            <w:pPr>
              <w:spacing w:after="0"/>
              <w:rPr>
                <w:sz w:val="18"/>
                <w:szCs w:val="18"/>
                <w:color w:val="auto"/>
              </w:rPr>
            </w:pPr>
          </w:p>
        </w:tc>
        <w:tc>
          <w:tcPr>
            <w:tcW w:w="68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(11,146)</w:t>
            </w:r>
          </w:p>
        </w:tc>
      </w:tr>
      <w:tr>
        <w:trPr>
          <w:trHeight w:val="237"/>
        </w:trPr>
        <w:tc>
          <w:tcPr>
            <w:tcW w:w="34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8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Finance lease payments</w:t>
            </w:r>
          </w:p>
        </w:tc>
        <w:tc>
          <w:tcPr>
            <w:tcW w:w="1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340" w:type="dxa"/>
            <w:vAlign w:val="bottom"/>
          </w:tcPr>
          <w:p>
            <w:pPr>
              <w:spacing w:after="0"/>
              <w:rPr>
                <w:sz w:val="18"/>
                <w:szCs w:val="18"/>
                <w:color w:val="auto"/>
              </w:rPr>
            </w:pPr>
          </w:p>
        </w:tc>
        <w:tc>
          <w:tcPr>
            <w:tcW w:w="6880" w:type="dxa"/>
            <w:vAlign w:val="bottom"/>
            <w:gridSpan w:val="2"/>
          </w:tcPr>
          <w:p>
            <w:pPr>
              <w:ind w:left="220"/>
              <w:spacing w:after="0"/>
              <w:rPr>
                <w:sz w:val="20"/>
                <w:szCs w:val="20"/>
                <w:color w:val="auto"/>
              </w:rPr>
            </w:pPr>
            <w:r>
              <w:rPr>
                <w:rFonts w:ascii="Arial" w:cs="Arial" w:eastAsia="Arial" w:hAnsi="Arial"/>
                <w:sz w:val="16"/>
                <w:szCs w:val="16"/>
                <w:color w:val="auto"/>
              </w:rPr>
              <w:t>Tax-related withholding of common stock</w:t>
            </w:r>
          </w:p>
        </w:tc>
        <w:tc>
          <w:tcPr>
            <w:tcW w:w="1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340" w:type="dxa"/>
            <w:vAlign w:val="bottom"/>
          </w:tcPr>
          <w:p>
            <w:pPr>
              <w:spacing w:after="0"/>
              <w:rPr>
                <w:sz w:val="18"/>
                <w:szCs w:val="18"/>
                <w:color w:val="auto"/>
              </w:rPr>
            </w:pPr>
          </w:p>
        </w:tc>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w:t>
            </w:r>
          </w:p>
        </w:tc>
      </w:tr>
      <w:tr>
        <w:trPr>
          <w:trHeight w:val="210"/>
        </w:trPr>
        <w:tc>
          <w:tcPr>
            <w:tcW w:w="340" w:type="dxa"/>
            <w:vAlign w:val="bottom"/>
          </w:tcPr>
          <w:p>
            <w:pPr>
              <w:spacing w:after="0"/>
              <w:rPr>
                <w:sz w:val="18"/>
                <w:szCs w:val="18"/>
                <w:color w:val="auto"/>
              </w:rPr>
            </w:pPr>
          </w:p>
        </w:tc>
        <w:tc>
          <w:tcPr>
            <w:tcW w:w="688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b w:val="1"/>
                <w:bCs w:val="1"/>
                <w:color w:val="auto"/>
              </w:rPr>
              <w:t>Net cash provided by financing activities</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w:t>
            </w:r>
          </w:p>
        </w:tc>
      </w:tr>
      <w:tr>
        <w:trPr>
          <w:trHeight w:val="236"/>
        </w:trPr>
        <w:tc>
          <w:tcPr>
            <w:tcW w:w="34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15"/>
        </w:trPr>
        <w:tc>
          <w:tcPr>
            <w:tcW w:w="340" w:type="dxa"/>
            <w:vAlign w:val="bottom"/>
          </w:tcPr>
          <w:p>
            <w:pPr>
              <w:spacing w:after="0"/>
              <w:rPr>
                <w:sz w:val="18"/>
                <w:szCs w:val="18"/>
                <w:color w:val="auto"/>
              </w:rPr>
            </w:pPr>
          </w:p>
        </w:tc>
        <w:tc>
          <w:tcPr>
            <w:tcW w:w="6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10"/>
        </w:trPr>
        <w:tc>
          <w:tcPr>
            <w:tcW w:w="340" w:type="dxa"/>
            <w:vAlign w:val="bottom"/>
          </w:tcPr>
          <w:p>
            <w:pPr>
              <w:spacing w:after="0"/>
              <w:rPr>
                <w:sz w:val="18"/>
                <w:szCs w:val="18"/>
                <w:color w:val="auto"/>
              </w:rPr>
            </w:pPr>
          </w:p>
        </w:tc>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r>
      <w:tr>
        <w:trPr>
          <w:trHeight w:val="215"/>
        </w:trPr>
        <w:tc>
          <w:tcPr>
            <w:tcW w:w="340" w:type="dxa"/>
            <w:vAlign w:val="bottom"/>
          </w:tcPr>
          <w:p>
            <w:pPr>
              <w:spacing w:after="0"/>
              <w:rPr>
                <w:sz w:val="18"/>
                <w:szCs w:val="18"/>
                <w:color w:val="auto"/>
              </w:rPr>
            </w:pPr>
          </w:p>
        </w:tc>
        <w:tc>
          <w:tcPr>
            <w:tcW w:w="6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100,714</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121,172</w:t>
            </w:r>
          </w:p>
        </w:tc>
      </w:tr>
      <w:tr>
        <w:trPr>
          <w:trHeight w:val="235"/>
        </w:trPr>
        <w:tc>
          <w:tcPr>
            <w:tcW w:w="340" w:type="dxa"/>
            <w:vAlign w:val="bottom"/>
          </w:tcPr>
          <w:p>
            <w:pPr>
              <w:spacing w:after="0"/>
              <w:rPr>
                <w:sz w:val="20"/>
                <w:szCs w:val="20"/>
                <w:color w:val="auto"/>
              </w:rPr>
            </w:pPr>
          </w:p>
        </w:tc>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year</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94,094</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117,929</w:t>
            </w:r>
          </w:p>
        </w:tc>
      </w:tr>
      <w:tr>
        <w:trPr>
          <w:trHeight w:val="20"/>
        </w:trPr>
        <w:tc>
          <w:tcPr>
            <w:tcW w:w="34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Supplemental and non-cash disclosures:</w:t>
      </w:r>
    </w:p>
    <w:p>
      <w:pPr>
        <w:spacing w:after="0" w:line="194" w:lineRule="exact"/>
        <w:rPr>
          <w:sz w:val="20"/>
          <w:szCs w:val="20"/>
          <w:color w:val="auto"/>
        </w:rPr>
      </w:pPr>
    </w:p>
    <w:p>
      <w:pPr>
        <w:ind w:left="7620"/>
        <w:spacing w:after="0"/>
        <w:rPr>
          <w:sz w:val="20"/>
          <w:szCs w:val="20"/>
          <w:color w:val="auto"/>
        </w:rPr>
      </w:pPr>
      <w:r>
        <w:rPr>
          <w:rFonts w:ascii="Arial" w:cs="Arial" w:eastAsia="Arial" w:hAnsi="Arial"/>
          <w:sz w:val="16"/>
          <w:szCs w:val="16"/>
          <w:b w:val="1"/>
          <w:bCs w:val="1"/>
          <w:color w:val="auto"/>
        </w:rPr>
        <w:t>For the 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20955</wp:posOffset>
            </wp:positionV>
            <wp:extent cx="23228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6" w:lineRule="exact"/>
        <w:rPr>
          <w:sz w:val="20"/>
          <w:szCs w:val="20"/>
          <w:color w:val="auto"/>
        </w:rPr>
      </w:pPr>
    </w:p>
    <w:p>
      <w:pPr>
        <w:ind w:left="7620"/>
        <w:spacing w:after="0"/>
        <w:tabs>
          <w:tab w:leader="none" w:pos="94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670369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3695" cy="146050"/>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6900" w:val="left"/>
          <w:tab w:leader="none" w:pos="8320" w:val="left"/>
          <w:tab w:leader="none" w:pos="8780" w:val="left"/>
          <w:tab w:leader="none" w:pos="10200" w:val="left"/>
        </w:tabs>
        <w:rPr>
          <w:sz w:val="20"/>
          <w:szCs w:val="20"/>
          <w:color w:val="auto"/>
        </w:rPr>
      </w:pPr>
      <w:r>
        <w:rPr>
          <w:rFonts w:ascii="Arial" w:cs="Arial" w:eastAsia="Arial" w:hAnsi="Arial"/>
          <w:sz w:val="16"/>
          <w:szCs w:val="16"/>
          <w:color w:val="auto"/>
        </w:rPr>
        <w:t>Income taxes paid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461</w:t>
        <w:tab/>
        <w:t>$</w:t>
      </w:r>
      <w:r>
        <w:rPr>
          <w:sz w:val="20"/>
          <w:szCs w:val="20"/>
          <w:color w:val="auto"/>
        </w:rPr>
        <w:tab/>
      </w:r>
      <w:r>
        <w:rPr>
          <w:rFonts w:ascii="Arial" w:cs="Arial" w:eastAsia="Arial" w:hAnsi="Arial"/>
          <w:sz w:val="16"/>
          <w:szCs w:val="16"/>
          <w:color w:val="auto"/>
        </w:rPr>
        <w:t>337</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of cash, cash equivalents and restricted cash to the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 June 30,</w:t>
            </w:r>
          </w:p>
        </w:tc>
        <w:tc>
          <w:tcPr>
            <w:tcW w:w="118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0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92,686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109,288</w:t>
            </w:r>
          </w:p>
        </w:tc>
      </w:tr>
      <w:tr>
        <w:trPr>
          <w:trHeight w:val="215"/>
        </w:trPr>
        <w:tc>
          <w:tcPr>
            <w:tcW w:w="690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non-current</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0"/>
        </w:trPr>
        <w:tc>
          <w:tcPr>
            <w:tcW w:w="6900" w:type="dxa"/>
            <w:vAlign w:val="bottom"/>
          </w:tcPr>
          <w:p>
            <w:pPr>
              <w:ind w:left="220"/>
              <w:spacing w:after="0"/>
              <w:rPr>
                <w:sz w:val="20"/>
                <w:szCs w:val="20"/>
                <w:color w:val="auto"/>
              </w:rPr>
            </w:pPr>
            <w:r>
              <w:rPr>
                <w:rFonts w:ascii="Arial" w:cs="Arial" w:eastAsia="Arial" w:hAnsi="Arial"/>
                <w:sz w:val="16"/>
                <w:szCs w:val="16"/>
                <w:color w:val="auto"/>
              </w:rPr>
              <w:t>Total cash, cash equivalents and restricted cash</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94,094</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117,929</w:t>
            </w:r>
          </w:p>
        </w:tc>
      </w:tr>
      <w:tr>
        <w:trPr>
          <w:trHeight w:val="21"/>
        </w:trPr>
        <w:tc>
          <w:tcPr>
            <w:tcW w:w="6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679"/>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1" w:lineRule="exact"/>
        <w:rPr>
          <w:sz w:val="20"/>
          <w:szCs w:val="20"/>
          <w:color w:val="auto"/>
        </w:rPr>
      </w:pPr>
    </w:p>
    <w:p>
      <w:pPr>
        <w:jc w:val="center"/>
        <w:ind w:right="-6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11" w:lineRule="exact"/>
        <w:rPr>
          <w:sz w:val="20"/>
          <w:szCs w:val="20"/>
          <w:color w:val="auto"/>
        </w:rPr>
      </w:pPr>
    </w:p>
    <w:p>
      <w:pPr>
        <w:ind w:right="6440" w:firstLine="8"/>
        <w:spacing w:after="0" w:line="440" w:lineRule="auto"/>
        <w:tabs>
          <w:tab w:leader="none" w:pos="1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COMPANY AND SIGNIFICANT ACCOUNTING POLICIES THE COMPANY</w:t>
      </w:r>
    </w:p>
    <w:p>
      <w:pPr>
        <w:spacing w:after="0"/>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w:t>
      </w:r>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w:t>
      </w:r>
    </w:p>
    <w:p>
      <w:pPr>
        <w:jc w:val="both"/>
        <w:spacing w:after="0" w:line="248" w:lineRule="auto"/>
        <w:rPr>
          <w:sz w:val="20"/>
          <w:szCs w:val="20"/>
          <w:color w:val="auto"/>
        </w:rPr>
      </w:pPr>
      <w:r>
        <w:rPr>
          <w:rFonts w:ascii="Arial" w:cs="Arial" w:eastAsia="Arial" w:hAnsi="Arial"/>
          <w:sz w:val="16"/>
          <w:szCs w:val="16"/>
          <w:color w:val="auto"/>
        </w:rPr>
        <w:t>of all revenue is generated from communication services subscriptions and platform usage. The Company also generates revenue from sales of hardware and professional services, which are complementary to the delivery of its integrated technology platform.</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2022, and notes thereto included in the Form 10-K. There were no material changes during the three months ended June 30, 2022, to the Company's significant accounting policies as described in the Form 10-K.</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4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herein are in thousands of United States Dollars ("Dollars") unless otherwise noted.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intangible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OUT OF PERIOD ADJUSTMENTS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three months ended June 30, 2022, the Company recorded out of period adjustments of approximately $3.3 million including $2.1 million in subscription revenue related to a contract with one customer which was deferred in previous years, and $1.2 million of excess amounts reserved against bad debt during the fourth quarter of fiscal 2022. The impact of these adjustments was a $2.1 million increase in service revenue and decrease in contract assets, and a $1.2 million decrease in provision for bad debts and reduction in reserves.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August 2020, the Financial Accounting Standards Board (the “FASB”) issued Accounting Standards Update (“ASU”) 2020-06, Debt—Debt with Conversion and Other Options (Subtopic 470-20) and Derivatives and Hedging—Contracts in Entity’s Own Equity (Subtopic 815-40): Accounting for Convertible Instruments and Contracts in an Entity’s Own Equity. Under ASU 2020-06,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Consequently, a convertible debt instrument will be accounted for as a single liability measured at its amortized cost, as long as no other features require bifurcation and recognition as derivatives. The new guidance also requires the if-converted method to be applied for all convertible instruments. ASU 2020-06 is effective for fiscal years beginning after December 15, 2021, with early adoption permitted. Adoption of the standard requires using either a modified retrospective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or a full retrospective approach. Effective April 1, 2022, the Company adopted ASU 2020-06 using the modified retrospective approach. Adoption of the new standard resulted in a decrease to accumulated deficit of $46.7 million, a decrease to additional paid-in capital of $92.8 million, and an increase to convertible senior notes, net of $46.2 million.</w:t>
      </w:r>
    </w:p>
    <w:p>
      <w:pPr>
        <w:spacing w:after="0" w:line="10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Interest expense in future periods will be reduced as a result of accounting for the convertible debt instrument as a single liability measured at its amortized cost.</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which provides optional expedients and exceptions to U.S. GAAP guidance on contract modifications to ease the financial reporting burdens related to the expected market transition from the London Interbank Offered Rate ("LIBOR"), which is expected to be discontinued, to alternative reference rates. In January 2021, the FASB issued ASU No. 2021-01, Reference Rate Reform (Topic 848), which refines the scope of Topic 848 and clarifies some of its guidance. Effective April 1, 2022, the Company adopted ASU 2020-04 on a prospective basis. The impact of the adoption was immaterial to the Company's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REVENUE RECOGNITION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w:t>
      </w:r>
      <w:r>
        <w:rPr>
          <w:rFonts w:ascii="Arial" w:cs="Arial" w:eastAsia="Arial" w:hAnsi="Arial"/>
          <w:sz w:val="16"/>
          <w:szCs w:val="16"/>
          <w:u w:val="single" w:color="auto"/>
          <w:color w:val="0000FF"/>
        </w:rPr>
        <w:t>11</w:t>
      </w:r>
      <w:r>
        <w:rPr>
          <w:rFonts w:ascii="Arial" w:cs="Arial" w:eastAsia="Arial" w:hAnsi="Arial"/>
          <w:sz w:val="16"/>
          <w:szCs w:val="16"/>
          <w:color w:val="auto"/>
        </w:rPr>
        <w:t xml:space="preserve">. </w:t>
      </w:r>
      <w:r>
        <w:rPr>
          <w:rFonts w:ascii="Arial" w:cs="Arial" w:eastAsia="Arial" w:hAnsi="Arial"/>
          <w:sz w:val="16"/>
          <w:szCs w:val="16"/>
          <w:i w:val="1"/>
          <w:iCs w:val="1"/>
          <w:color w:val="auto"/>
        </w:rPr>
        <w:t>Geographical Information</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 from contracts with customers: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210"/>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55,441</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57,400</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11,402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10,514</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non-current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15,171</w:t>
            </w:r>
          </w:p>
        </w:tc>
      </w:tr>
      <w:tr>
        <w:trPr>
          <w:trHeight w:val="215"/>
        </w:trPr>
        <w:tc>
          <w:tcPr>
            <w:tcW w:w="702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34,064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34,262</w:t>
            </w: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11,430</w:t>
            </w:r>
          </w:p>
        </w:tc>
      </w:tr>
    </w:tbl>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Contract assets, current, contract assets, non-current, deferred revenue, current and deferred revenue, non-current are recorded on the Consolidated Balance Sheets in </w:t>
      </w:r>
      <w:r>
        <w:rPr>
          <w:rFonts w:ascii="Arial" w:cs="Arial" w:eastAsia="Arial" w:hAnsi="Arial"/>
          <w:sz w:val="16"/>
          <w:szCs w:val="16"/>
          <w:i w:val="1"/>
          <w:iCs w:val="1"/>
          <w:color w:val="auto"/>
        </w:rPr>
        <w:t>Other current assets</w:t>
      </w:r>
      <w:r>
        <w:rPr>
          <w:rFonts w:ascii="Arial" w:cs="Arial" w:eastAsia="Arial" w:hAnsi="Arial"/>
          <w:sz w:val="16"/>
          <w:szCs w:val="16"/>
          <w:color w:val="auto"/>
        </w:rPr>
        <w:t xml:space="preserve">,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liabilities, non-current</w:t>
      </w:r>
      <w:r>
        <w:rPr>
          <w:rFonts w:ascii="Arial" w:cs="Arial" w:eastAsia="Arial" w:hAnsi="Arial"/>
          <w:sz w:val="16"/>
          <w:szCs w:val="16"/>
          <w:color w:val="auto"/>
        </w:rPr>
        <w:t>, respectively.</w:t>
      </w:r>
    </w:p>
    <w:p>
      <w:pPr>
        <w:spacing w:after="0" w:line="8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three months ended June 30, 2022, the Company recognized revenues of approximately $43.6 million that were included in deferred revenue at the beginning of the fiscal year.</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subscription terms typically range from one to five years. Contract revenue from the remaining performance obligations that had not yet been recognized as of June 30, 2022 was approximately $700.0 million. This amount excludes contracts with an original expected length of less than one year. The Company expects to recognize revenue on approximately 80% of the remaining performance obligations over the next 36 months and approximately 20% over the remainder of the contract period.</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purposes of this disclosure, the Company excludes contracts with an original expected length of less than one year. Since the new and renewal contracts entered into with customers are generally for terms of one year or longer, updating this disclosure to include contracts with a term of one year or more presents a more appropriate measure of the Company's remaining performance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Amortization of deferred sales commission costs for the three months ended June 30, 2022 and 2021 was $9.2 million and $8.2 million, respectively. There were no material write-offs during the three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2080" w:type="dxa"/>
            <w:vAlign w:val="bottom"/>
            <w:gridSpan w:val="4"/>
          </w:tcPr>
          <w:p>
            <w:pPr>
              <w:spacing w:after="0"/>
              <w:rPr>
                <w:sz w:val="20"/>
                <w:szCs w:val="20"/>
                <w:color w:val="auto"/>
              </w:rPr>
            </w:pPr>
            <w:r>
              <w:rPr>
                <w:rFonts w:ascii="Arial" w:cs="Arial" w:eastAsia="Arial" w:hAnsi="Arial"/>
                <w:sz w:val="16"/>
                <w:szCs w:val="16"/>
                <w:color w:val="0000FF"/>
              </w:rPr>
              <w:t>Table of Contents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4"/>
        </w:trPr>
        <w:tc>
          <w:tcPr>
            <w:tcW w:w="3160" w:type="dxa"/>
            <w:vAlign w:val="bottom"/>
            <w:gridSpan w:val="9"/>
          </w:tcPr>
          <w:p>
            <w:pPr>
              <w:spacing w:after="0"/>
              <w:rPr>
                <w:sz w:val="20"/>
                <w:szCs w:val="20"/>
                <w:color w:val="auto"/>
              </w:rPr>
            </w:pPr>
            <w:r>
              <w:rPr>
                <w:rFonts w:ascii="Arial" w:cs="Arial" w:eastAsia="Arial" w:hAnsi="Arial"/>
                <w:sz w:val="16"/>
                <w:szCs w:val="16"/>
                <w:b w:val="1"/>
                <w:bCs w:val="1"/>
                <w:color w:val="auto"/>
              </w:rPr>
              <w:t>3. FAIR VALUE MEASUREMENTS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620" w:type="dxa"/>
            <w:vAlign w:val="bottom"/>
            <w:gridSpan w:val="21"/>
          </w:tcPr>
          <w:p>
            <w:pPr>
              <w:spacing w:after="0"/>
              <w:rPr>
                <w:sz w:val="20"/>
                <w:szCs w:val="20"/>
                <w:color w:val="auto"/>
              </w:rPr>
            </w:pPr>
            <w:r>
              <w:rPr>
                <w:rFonts w:ascii="Arial" w:cs="Arial" w:eastAsia="Arial" w:hAnsi="Arial"/>
                <w:sz w:val="16"/>
                <w:szCs w:val="16"/>
                <w:color w:val="auto"/>
              </w:rPr>
              <w:t>Cash, cash equivalents, and available-for-sale investments were as follows:</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9"/>
              </w:rPr>
              <w:t>Cash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9"/>
              </w:rPr>
              <w:t>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jc w:val="center"/>
              <w:ind w:right="140"/>
              <w:spacing w:after="0"/>
              <w:rPr>
                <w:sz w:val="20"/>
                <w:szCs w:val="20"/>
                <w:color w:val="auto"/>
              </w:rPr>
            </w:pPr>
            <w:r>
              <w:rPr>
                <w:rFonts w:ascii="Arial" w:cs="Arial" w:eastAsia="Arial" w:hAnsi="Arial"/>
                <w:sz w:val="16"/>
                <w:szCs w:val="16"/>
                <w:b w:val="1"/>
                <w:bCs w:val="1"/>
                <w:color w:val="auto"/>
              </w:rPr>
              <w:t>Amortized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20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As of June 30, 2022</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40"/>
              <w:spacing w:after="0" w:line="162"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4"/>
                <w:szCs w:val="14"/>
                <w:color w:val="auto"/>
              </w:rPr>
            </w:pPr>
          </w:p>
        </w:tc>
        <w:tc>
          <w:tcPr>
            <w:tcW w:w="1100" w:type="dxa"/>
            <w:vAlign w:val="bottom"/>
            <w:gridSpan w:val="4"/>
          </w:tcPr>
          <w:p>
            <w:pPr>
              <w:jc w:val="center"/>
              <w:ind w:right="140"/>
              <w:spacing w:after="0" w:line="162"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rPr>
              <w:t>(Current &amp;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8"/>
              </w:rPr>
              <w:t>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rPr>
              <w:t>Gain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6"/>
              </w:rPr>
              <w:t>Loss</w:t>
            </w:r>
          </w:p>
        </w:tc>
        <w:tc>
          <w:tcPr>
            <w:tcW w:w="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rPr>
              <w:t>Equivalents</w:t>
            </w:r>
          </w:p>
        </w:tc>
        <w:tc>
          <w:tcPr>
            <w:tcW w:w="20" w:type="dxa"/>
            <w:vAlign w:val="bottom"/>
          </w:tcPr>
          <w:p>
            <w:pPr>
              <w:spacing w:after="0"/>
              <w:rPr>
                <w:sz w:val="18"/>
                <w:szCs w:val="18"/>
                <w:color w:val="auto"/>
              </w:rPr>
            </w:pPr>
          </w:p>
        </w:tc>
        <w:tc>
          <w:tcPr>
            <w:tcW w:w="1140" w:type="dxa"/>
            <w:vAlign w:val="bottom"/>
            <w:gridSpan w:val="4"/>
          </w:tcPr>
          <w:p>
            <w:pPr>
              <w:ind w:left="20"/>
              <w:spacing w:after="0"/>
              <w:rPr>
                <w:sz w:val="20"/>
                <w:szCs w:val="20"/>
                <w:color w:val="auto"/>
              </w:rPr>
            </w:pPr>
            <w:r>
              <w:rPr>
                <w:rFonts w:ascii="Arial" w:cs="Arial" w:eastAsia="Arial" w:hAnsi="Arial"/>
                <w:sz w:val="16"/>
                <w:szCs w:val="16"/>
                <w:b w:val="1"/>
                <w:bCs w:val="1"/>
                <w:color w:val="auto"/>
              </w:rPr>
              <w:t>Non-current)</w:t>
            </w:r>
          </w:p>
        </w:tc>
        <w:tc>
          <w:tcPr>
            <w:tcW w:w="2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Investments</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09"/>
        </w:trPr>
        <w:tc>
          <w:tcPr>
            <w:tcW w:w="1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77,885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Treasury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3,151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gridSpan w:val="4"/>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89,039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Commercial paper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24,604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24,574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gridSpan w:val="4"/>
          </w:tcPr>
          <w:p>
            <w:pPr>
              <w:ind w:left="460"/>
              <w:spacing w:after="0"/>
              <w:rPr>
                <w:sz w:val="20"/>
                <w:szCs w:val="20"/>
                <w:color w:val="auto"/>
              </w:rPr>
            </w:pPr>
            <w:r>
              <w:rPr>
                <w:rFonts w:ascii="Arial" w:cs="Arial" w:eastAsia="Arial" w:hAnsi="Arial"/>
                <w:sz w:val="16"/>
                <w:szCs w:val="16"/>
                <w:color w:val="auto"/>
              </w:rPr>
              <w:t>Subtotal</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54,244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54,000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45,794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143,289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143,039</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92,686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48,945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9"/>
              </w:rPr>
              <w:t>Cash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9"/>
              </w:rPr>
              <w:t>Amortized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restart"/>
          </w:tcPr>
          <w:p>
            <w:pPr>
              <w:ind w:left="10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99"/>
              </w:rPr>
              <w:t>Short-Term</w:t>
            </w:r>
          </w:p>
        </w:tc>
        <w:tc>
          <w:tcPr>
            <w:tcW w:w="140" w:type="dxa"/>
            <w:vAlign w:val="bottom"/>
          </w:tcPr>
          <w:p>
            <w:pPr>
              <w:spacing w:after="0"/>
              <w:rPr>
                <w:sz w:val="14"/>
                <w:szCs w:val="14"/>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8"/>
              </w:rPr>
              <w:t>Long-Term</w:t>
            </w:r>
          </w:p>
        </w:tc>
        <w:tc>
          <w:tcPr>
            <w:tcW w:w="0" w:type="dxa"/>
            <w:vAlign w:val="bottom"/>
          </w:tcPr>
          <w:p>
            <w:pPr>
              <w:spacing w:after="0"/>
              <w:rPr>
                <w:sz w:val="1"/>
                <w:szCs w:val="1"/>
                <w:color w:val="auto"/>
              </w:rPr>
            </w:pPr>
          </w:p>
        </w:tc>
      </w:tr>
      <w:tr>
        <w:trPr>
          <w:trHeight w:val="162"/>
        </w:trPr>
        <w:tc>
          <w:tcPr>
            <w:tcW w:w="20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As of March 31, 2022</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4"/>
                <w:szCs w:val="14"/>
                <w:color w:val="auto"/>
              </w:rPr>
            </w:pPr>
          </w:p>
        </w:tc>
        <w:tc>
          <w:tcPr>
            <w:tcW w:w="1100" w:type="dxa"/>
            <w:vAlign w:val="bottom"/>
            <w:gridSpan w:val="4"/>
          </w:tcPr>
          <w:p>
            <w:pPr>
              <w:jc w:val="right"/>
              <w:ind w:right="180"/>
              <w:spacing w:after="0" w:line="162" w:lineRule="exact"/>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220"/>
              <w:spacing w:after="0" w:line="162" w:lineRule="exact"/>
              <w:rPr>
                <w:sz w:val="20"/>
                <w:szCs w:val="20"/>
                <w:color w:val="auto"/>
              </w:rPr>
            </w:pPr>
            <w:r>
              <w:rPr>
                <w:rFonts w:ascii="Arial" w:cs="Arial" w:eastAsia="Arial" w:hAnsi="Arial"/>
                <w:sz w:val="16"/>
                <w:szCs w:val="16"/>
                <w:b w:val="1"/>
                <w:bCs w:val="1"/>
                <w:color w:val="auto"/>
              </w:rPr>
              <w:t>Cash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00"/>
              <w:spacing w:after="0" w:line="162" w:lineRule="exact"/>
              <w:rPr>
                <w:sz w:val="20"/>
                <w:szCs w:val="20"/>
                <w:color w:val="auto"/>
              </w:rPr>
            </w:pPr>
            <w:r>
              <w:rPr>
                <w:rFonts w:ascii="Arial" w:cs="Arial" w:eastAsia="Arial" w:hAnsi="Arial"/>
                <w:sz w:val="16"/>
                <w:szCs w:val="16"/>
                <w:b w:val="1"/>
                <w:bCs w:val="1"/>
                <w:color w:val="auto"/>
              </w:rPr>
              <w:t>(Current &amp;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8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Gain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Loss</w:t>
            </w:r>
          </w:p>
        </w:tc>
        <w:tc>
          <w:tcPr>
            <w:tcW w:w="20" w:type="dxa"/>
            <w:vAlign w:val="bottom"/>
          </w:tcPr>
          <w:p>
            <w:pPr>
              <w:spacing w:after="0"/>
              <w:rPr>
                <w:sz w:val="18"/>
                <w:szCs w:val="18"/>
                <w:color w:val="auto"/>
              </w:rPr>
            </w:pPr>
          </w:p>
        </w:tc>
        <w:tc>
          <w:tcPr>
            <w:tcW w:w="1060" w:type="dxa"/>
            <w:vAlign w:val="bottom"/>
            <w:gridSpan w:val="4"/>
          </w:tcPr>
          <w:p>
            <w:pPr>
              <w:ind w:left="10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Equivalents</w:t>
            </w:r>
          </w:p>
        </w:tc>
        <w:tc>
          <w:tcPr>
            <w:tcW w:w="20" w:type="dxa"/>
            <w:vAlign w:val="bottom"/>
          </w:tcPr>
          <w:p>
            <w:pPr>
              <w:spacing w:after="0"/>
              <w:rPr>
                <w:sz w:val="18"/>
                <w:szCs w:val="18"/>
                <w:color w:val="auto"/>
              </w:rPr>
            </w:pPr>
          </w:p>
        </w:tc>
        <w:tc>
          <w:tcPr>
            <w:tcW w:w="11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Non-current)</w:t>
            </w:r>
          </w:p>
        </w:tc>
        <w:tc>
          <w:tcPr>
            <w:tcW w:w="20" w:type="dxa"/>
            <w:vAlign w:val="bottom"/>
          </w:tcPr>
          <w:p>
            <w:pPr>
              <w:spacing w:after="0"/>
              <w:rPr>
                <w:sz w:val="18"/>
                <w:szCs w:val="18"/>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rPr>
              <w:t>Investments</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09"/>
        </w:trPr>
        <w:tc>
          <w:tcPr>
            <w:tcW w:w="19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70,095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Money market funds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Treasury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4,566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gridSpan w:val="4"/>
            <w:shd w:val="clear" w:color="auto" w:fill="CCEEFF"/>
          </w:tcPr>
          <w:p>
            <w:pPr>
              <w:ind w:left="460"/>
              <w:spacing w:after="0"/>
              <w:rPr>
                <w:sz w:val="20"/>
                <w:szCs w:val="20"/>
                <w:color w:val="auto"/>
              </w:rPr>
            </w:pPr>
            <w:r>
              <w:rPr>
                <w:rFonts w:ascii="Arial" w:cs="Arial" w:eastAsia="Arial" w:hAnsi="Arial"/>
                <w:sz w:val="16"/>
                <w:szCs w:val="16"/>
                <w:color w:val="auto"/>
              </w:rPr>
              <w:t>Subtotal</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87,533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82,960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80" w:type="dxa"/>
            <w:vAlign w:val="bottom"/>
            <w:gridSpan w:val="4"/>
          </w:tcPr>
          <w:p>
            <w:pPr>
              <w:ind w:left="20"/>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Certificate of deposit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80" w:type="dxa"/>
            <w:vAlign w:val="bottom"/>
            <w:gridSpan w:val="4"/>
          </w:tcPr>
          <w:p>
            <w:pPr>
              <w:ind w:left="240"/>
              <w:spacing w:after="0"/>
              <w:rPr>
                <w:sz w:val="20"/>
                <w:szCs w:val="20"/>
                <w:color w:val="auto"/>
              </w:rPr>
            </w:pPr>
            <w:r>
              <w:rPr>
                <w:rFonts w:ascii="Arial" w:cs="Arial" w:eastAsia="Arial" w:hAnsi="Arial"/>
                <w:sz w:val="16"/>
                <w:szCs w:val="16"/>
                <w:color w:val="auto"/>
              </w:rPr>
              <w:t>Commercial paper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23,950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23,916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Corporate debt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gridSpan w:val="4"/>
          </w:tcPr>
          <w:p>
            <w:pPr>
              <w:ind w:left="460"/>
              <w:spacing w:after="0"/>
              <w:rPr>
                <w:sz w:val="20"/>
                <w:szCs w:val="20"/>
                <w:color w:val="auto"/>
              </w:rPr>
            </w:pPr>
            <w:r>
              <w:rPr>
                <w:rFonts w:ascii="Arial" w:cs="Arial" w:eastAsia="Arial" w:hAnsi="Arial"/>
                <w:sz w:val="16"/>
                <w:szCs w:val="16"/>
                <w:color w:val="auto"/>
              </w:rPr>
              <w:t>Subtotal</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60,901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(197)</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60,704</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8,245</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40,279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CCEEFF"/>
            </w:tcBorders>
            <w:gridSpan w:val="4"/>
            <w:shd w:val="clear" w:color="auto" w:fill="CCEEFF"/>
          </w:tcPr>
          <w:p>
            <w:pPr>
              <w:ind w:left="560"/>
              <w:spacing w:after="0"/>
              <w:rPr>
                <w:sz w:val="20"/>
                <w:szCs w:val="20"/>
                <w:color w:val="auto"/>
              </w:rPr>
            </w:pPr>
            <w:r>
              <w:rPr>
                <w:rFonts w:ascii="Arial" w:cs="Arial" w:eastAsia="Arial" w:hAnsi="Arial"/>
                <w:sz w:val="16"/>
                <w:szCs w:val="16"/>
                <w:color w:val="auto"/>
              </w:rPr>
              <w:t>Total assets</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148,434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148,230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91,205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44,845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Certificate of deposit represents the Company's letters of credit securing leases for office facilities, the balance of which is included in Restricted cash, current and Restricted cash, non-current on the Company's Consolidated Balance Sheet.</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investments in debt securities as available-for-sale securities. The Company does not intend to sell any of its investments that are in unrealized loss positions and, as of June 30, 2022, has determined that it is not more likely than not that it will be required to sell any of these investments before recovery of the entire amortized cost basis.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June 30, 2022, the Company did not record any allowance for credit losses on its investments.</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2022 and March 31, 2022, the estimated fair value of the Company's Notes was $427.7 million and $470.5 million, respectively, which was determined based on the closing price for the Notes on the last trading day of the reporting period and is considered to be Level 2 in the fair value hierarchy due to limited trading activity of the Notes. See Note 7, Convertible Senior Notes and Capped Call.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33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4"/>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4. INTANGIBLE ASSETS AND GOODWILL</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4680" w:type="dxa"/>
            <w:vAlign w:val="bottom"/>
            <w:gridSpan w:val="6"/>
          </w:tcPr>
          <w:p>
            <w:pPr>
              <w:spacing w:after="0"/>
              <w:rPr>
                <w:sz w:val="20"/>
                <w:szCs w:val="20"/>
                <w:color w:val="auto"/>
              </w:rPr>
            </w:pPr>
            <w:r>
              <w:rPr>
                <w:rFonts w:ascii="Arial" w:cs="Arial" w:eastAsia="Arial" w:hAnsi="Arial"/>
                <w:sz w:val="16"/>
                <w:szCs w:val="16"/>
                <w:color w:val="auto"/>
              </w:rPr>
              <w:t>The carrying value of intangible assets consisted of the following:</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right="320"/>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Net Carrying</w:t>
            </w: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9"/>
              </w:rPr>
              <w:t>Net Carrying</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46,714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0" w:type="dxa"/>
            <w:vAlign w:val="bottom"/>
          </w:tcPr>
          <w:p>
            <w:pPr>
              <w:spacing w:after="0"/>
              <w:rPr>
                <w:sz w:val="1"/>
                <w:szCs w:val="1"/>
                <w:color w:val="auto"/>
              </w:rPr>
            </w:pPr>
          </w:p>
        </w:tc>
      </w:tr>
      <w:tr>
        <w:trPr>
          <w:trHeight w:val="215"/>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105,821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97,956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100,938</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 names and domains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09"/>
        </w:trPr>
        <w:tc>
          <w:tcPr>
            <w:tcW w:w="3360" w:type="dxa"/>
            <w:vAlign w:val="bottom"/>
            <w:gridSpan w:val="2"/>
          </w:tcPr>
          <w:p>
            <w:pPr>
              <w:ind w:left="220"/>
              <w:spacing w:after="0"/>
              <w:rPr>
                <w:sz w:val="20"/>
                <w:szCs w:val="20"/>
                <w:color w:val="auto"/>
              </w:rPr>
            </w:pPr>
            <w:r>
              <w:rPr>
                <w:rFonts w:ascii="Arial" w:cs="Arial" w:eastAsia="Arial" w:hAnsi="Arial"/>
                <w:sz w:val="16"/>
                <w:szCs w:val="16"/>
                <w:color w:val="auto"/>
              </w:rPr>
              <w:t>Total acquired identifiable intangible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153,115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(30,378)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122,737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153,137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128,213</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June 30, 2022, the weighted average remaining useful life for technology, customer relationships, and trade names and domains was 3.0 years, 8.5 years, and 0.8 years,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annual amortization of intangible assets, based upon existing intangible assets and current useful lives, is estimated to be the following: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2024</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2027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changes in the carrying amounts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March 31, 2022</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Additions due to acquisitions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June 30, 2022</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Amount</w:t>
      </w:r>
    </w:p>
    <w:p>
      <w:pPr>
        <w:spacing w:after="0" w:line="46" w:lineRule="exact"/>
        <w:rPr>
          <w:sz w:val="20"/>
          <w:szCs w:val="20"/>
          <w:color w:val="auto"/>
        </w:rPr>
      </w:pPr>
    </w:p>
    <w:p>
      <w:pPr>
        <w:ind w:left="1260" w:hanging="1258"/>
        <w:spacing w:after="0"/>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15,625</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20,395</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19,095</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13,895</w:t>
      </w:r>
    </w:p>
    <w:p>
      <w:pPr>
        <w:spacing w:after="0" w:line="32" w:lineRule="exact"/>
        <w:rPr>
          <w:rFonts w:ascii="Arial" w:cs="Arial" w:eastAsia="Arial" w:hAnsi="Arial"/>
          <w:sz w:val="16"/>
          <w:szCs w:val="16"/>
          <w:color w:val="auto"/>
        </w:rPr>
      </w:pPr>
    </w:p>
    <w:p>
      <w:pPr>
        <w:ind w:left="1260"/>
        <w:spacing w:after="0"/>
        <w:rPr>
          <w:rFonts w:ascii="Arial" w:cs="Arial" w:eastAsia="Arial" w:hAnsi="Arial"/>
          <w:sz w:val="16"/>
          <w:szCs w:val="16"/>
          <w:color w:val="auto"/>
        </w:rPr>
      </w:pPr>
      <w:r>
        <w:rPr>
          <w:rFonts w:ascii="Arial" w:cs="Arial" w:eastAsia="Arial" w:hAnsi="Arial"/>
          <w:sz w:val="16"/>
          <w:szCs w:val="16"/>
          <w:color w:val="auto"/>
        </w:rPr>
        <w:t>53,727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1165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6" w:lineRule="exact"/>
        <w:rPr>
          <w:sz w:val="20"/>
          <w:szCs w:val="20"/>
          <w:color w:val="auto"/>
        </w:rPr>
      </w:pPr>
    </w:p>
    <w:p>
      <w:pPr>
        <w:ind w:left="1160" w:hanging="1158"/>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122,737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1165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1165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Amount</w:t>
      </w:r>
    </w:p>
    <w:p>
      <w:pPr>
        <w:spacing w:after="0" w:line="46" w:lineRule="exact"/>
        <w:rPr>
          <w:sz w:val="20"/>
          <w:szCs w:val="20"/>
          <w:color w:val="auto"/>
        </w:rPr>
      </w:pPr>
    </w:p>
    <w:p>
      <w:pPr>
        <w:ind w:left="1160" w:hanging="1158"/>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266,867</w:t>
      </w:r>
    </w:p>
    <w:p>
      <w:pPr>
        <w:spacing w:after="0" w:line="32"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1165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6" w:lineRule="exact"/>
        <w:rPr>
          <w:sz w:val="20"/>
          <w:szCs w:val="20"/>
          <w:color w:val="auto"/>
        </w:rPr>
      </w:pPr>
    </w:p>
    <w:p>
      <w:pPr>
        <w:ind w:left="1160" w:hanging="1158"/>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265,029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1165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1165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8700" w:space="720"/>
            <w:col w:w="182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69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944"/>
        </w:trPr>
        <w:tc>
          <w:tcPr>
            <w:tcW w:w="1260" w:type="dxa"/>
            <w:vAlign w:val="bottom"/>
            <w:tcBorders>
              <w:top w:val="single" w:sz="8" w:color="0000FF"/>
            </w:tcBorders>
          </w:tcPr>
          <w:p>
            <w:pPr>
              <w:spacing w:after="0"/>
              <w:rPr>
                <w:sz w:val="20"/>
                <w:szCs w:val="20"/>
                <w:color w:val="auto"/>
              </w:rPr>
            </w:pPr>
            <w:r>
              <w:rPr>
                <w:rFonts w:ascii="Arial" w:cs="Arial" w:eastAsia="Arial" w:hAnsi="Arial"/>
                <w:sz w:val="16"/>
                <w:szCs w:val="16"/>
                <w:b w:val="1"/>
                <w:bCs w:val="1"/>
                <w:color w:val="auto"/>
              </w:rPr>
              <w:t>5. LEASES</w:t>
            </w:r>
          </w:p>
        </w:tc>
        <w:tc>
          <w:tcPr>
            <w:tcW w:w="5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29"/>
        </w:trPr>
        <w:tc>
          <w:tcPr>
            <w:tcW w:w="6960" w:type="dxa"/>
            <w:vAlign w:val="bottom"/>
            <w:gridSpan w:val="2"/>
          </w:tcPr>
          <w:p>
            <w:pPr>
              <w:spacing w:after="0"/>
              <w:rPr>
                <w:sz w:val="20"/>
                <w:szCs w:val="20"/>
                <w:color w:val="auto"/>
              </w:rPr>
            </w:pPr>
            <w:r>
              <w:rPr>
                <w:rFonts w:ascii="Arial" w:cs="Arial" w:eastAsia="Arial" w:hAnsi="Arial"/>
                <w:sz w:val="16"/>
                <w:szCs w:val="16"/>
                <w:i w:val="1"/>
                <w:iCs w:val="1"/>
                <w:color w:val="auto"/>
              </w:rPr>
              <w:t>Operating Leases</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8"/>
        </w:trPr>
        <w:tc>
          <w:tcPr>
            <w:tcW w:w="6960" w:type="dxa"/>
            <w:vAlign w:val="bottom"/>
            <w:gridSpan w:val="2"/>
          </w:tcPr>
          <w:p>
            <w:pPr>
              <w:spacing w:after="0"/>
              <w:rPr>
                <w:sz w:val="20"/>
                <w:szCs w:val="20"/>
                <w:color w:val="auto"/>
              </w:rPr>
            </w:pPr>
            <w:r>
              <w:rPr>
                <w:rFonts w:ascii="Arial" w:cs="Arial" w:eastAsia="Arial" w:hAnsi="Arial"/>
                <w:sz w:val="16"/>
                <w:szCs w:val="16"/>
                <w:color w:val="auto"/>
              </w:rPr>
              <w:t>The following table provides balance sheet information related to operating leases:</w:t>
            </w: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61"/>
        </w:trPr>
        <w:tc>
          <w:tcPr>
            <w:tcW w:w="126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Pr>
          <w:p>
            <w:pPr>
              <w:spacing w:after="0"/>
              <w:rPr>
                <w:sz w:val="24"/>
                <w:szCs w:val="24"/>
                <w:color w:val="auto"/>
              </w:rPr>
            </w:pPr>
          </w:p>
        </w:tc>
        <w:tc>
          <w:tcPr>
            <w:tcW w:w="180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196"/>
        </w:trPr>
        <w:tc>
          <w:tcPr>
            <w:tcW w:w="6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5"/>
        </w:trPr>
        <w:tc>
          <w:tcPr>
            <w:tcW w:w="6960" w:type="dxa"/>
            <w:vAlign w:val="bottom"/>
            <w:gridSpan w:val="2"/>
          </w:tcPr>
          <w:p>
            <w:pPr>
              <w:ind w:left="36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59,859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63,415</w:t>
            </w:r>
          </w:p>
        </w:tc>
      </w:tr>
      <w:tr>
        <w:trPr>
          <w:trHeight w:val="271"/>
        </w:trPr>
        <w:tc>
          <w:tcPr>
            <w:tcW w:w="696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16"/>
        </w:trPr>
        <w:tc>
          <w:tcPr>
            <w:tcW w:w="69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Operating lease liabilities, current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15,485</w:t>
            </w:r>
          </w:p>
        </w:tc>
      </w:tr>
      <w:tr>
        <w:trPr>
          <w:trHeight w:val="215"/>
        </w:trPr>
        <w:tc>
          <w:tcPr>
            <w:tcW w:w="69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Operating lease liabilities, non-current</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74,518</w:t>
            </w:r>
          </w:p>
        </w:tc>
      </w:tr>
      <w:tr>
        <w:trPr>
          <w:trHeight w:val="235"/>
        </w:trPr>
        <w:tc>
          <w:tcPr>
            <w:tcW w:w="69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operating lease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were as follows:</w:t>
      </w:r>
    </w:p>
    <w:p>
      <w:pPr>
        <w:spacing w:after="0" w:line="194" w:lineRule="exact"/>
        <w:rPr>
          <w:sz w:val="20"/>
          <w:szCs w:val="20"/>
          <w:color w:val="auto"/>
        </w:rPr>
      </w:pPr>
    </w:p>
    <w:p>
      <w:pPr>
        <w:jc w:val="center"/>
        <w:ind w:left="6940"/>
        <w:spacing w:after="0"/>
        <w:rPr>
          <w:sz w:val="20"/>
          <w:szCs w:val="20"/>
          <w:color w:val="auto"/>
        </w:rPr>
      </w:pPr>
      <w:r>
        <w:rPr>
          <w:rFonts w:ascii="Arial" w:cs="Arial" w:eastAsia="Arial" w:hAnsi="Arial"/>
          <w:sz w:val="16"/>
          <w:szCs w:val="16"/>
          <w:b w:val="1"/>
          <w:bCs w:val="1"/>
          <w:color w:val="auto"/>
        </w:rPr>
        <w:t>Three Months Ended June 30,</w:t>
      </w:r>
    </w:p>
    <w:p>
      <w:pPr>
        <w:spacing w:after="0" w:line="39" w:lineRule="exact"/>
        <w:rPr>
          <w:sz w:val="20"/>
          <w:szCs w:val="20"/>
          <w:color w:val="auto"/>
        </w:rPr>
      </w:pPr>
    </w:p>
    <w:p>
      <w:pPr>
        <w:ind w:left="7820"/>
        <w:spacing w:after="0"/>
        <w:tabs>
          <w:tab w:leader="none" w:pos="1000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w:t>
            </w: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1,587</w:t>
            </w:r>
          </w:p>
        </w:tc>
        <w:tc>
          <w:tcPr>
            <w:tcW w:w="80" w:type="dxa"/>
            <w:vAlign w:val="bottom"/>
          </w:tcPr>
          <w:p>
            <w:pPr>
              <w:spacing w:after="0"/>
              <w:rPr>
                <w:sz w:val="18"/>
                <w:szCs w:val="18"/>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Short-term lease expense was immaterial during the three months ended June 30, 2022 and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Cash outflows from operating leases were $4.8 million and $4.2 million, respectively, for the three months ended June 30,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lease information: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June 30, 2022</w:t>
            </w: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rPr>
              <w:t>March 31, 2022</w:t>
            </w:r>
          </w:p>
        </w:tc>
      </w:tr>
      <w:tr>
        <w:trPr>
          <w:trHeight w:val="209"/>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7.3 years</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7.4 years</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4.0%</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June 30, 2022:</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15,380</w:t>
            </w: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2024</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13,639</w:t>
            </w:r>
          </w:p>
        </w:tc>
      </w:tr>
      <w:tr>
        <w:trPr>
          <w:trHeight w:val="217"/>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12,481</w:t>
            </w:r>
          </w:p>
        </w:tc>
      </w:tr>
      <w:tr>
        <w:trPr>
          <w:trHeight w:val="215"/>
        </w:trPr>
        <w:tc>
          <w:tcPr>
            <w:tcW w:w="9200" w:type="dxa"/>
            <w:vAlign w:val="bottom"/>
          </w:tcPr>
          <w:p>
            <w:pPr>
              <w:ind w:left="20"/>
              <w:spacing w:after="0"/>
              <w:rPr>
                <w:sz w:val="20"/>
                <w:szCs w:val="20"/>
                <w:color w:val="auto"/>
              </w:rPr>
            </w:pPr>
            <w:r>
              <w:rPr>
                <w:rFonts w:ascii="Arial" w:cs="Arial" w:eastAsia="Arial" w:hAnsi="Arial"/>
                <w:sz w:val="16"/>
                <w:szCs w:val="16"/>
                <w:color w:val="auto"/>
              </w:rPr>
              <w:t>2026</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11,292</w:t>
            </w:r>
          </w:p>
        </w:tc>
      </w:tr>
      <w:tr>
        <w:trPr>
          <w:trHeight w:val="217"/>
        </w:trPr>
        <w:tc>
          <w:tcPr>
            <w:tcW w:w="9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10,008</w:t>
            </w:r>
          </w:p>
        </w:tc>
      </w:tr>
      <w:tr>
        <w:trPr>
          <w:trHeight w:val="215"/>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37,350</w:t>
            </w:r>
          </w:p>
        </w:tc>
      </w:tr>
      <w:tr>
        <w:trPr>
          <w:trHeight w:val="210"/>
        </w:trPr>
        <w:tc>
          <w:tcPr>
            <w:tcW w:w="9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lease payments</w:t>
            </w:r>
          </w:p>
        </w:tc>
        <w:tc>
          <w:tcPr>
            <w:tcW w:w="7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100,150</w:t>
            </w:r>
          </w:p>
        </w:tc>
      </w:tr>
      <w:tr>
        <w:trPr>
          <w:trHeight w:val="209"/>
        </w:trPr>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(13,920)</w:t>
            </w:r>
          </w:p>
        </w:tc>
      </w:tr>
      <w:tr>
        <w:trPr>
          <w:trHeight w:val="235"/>
        </w:trPr>
        <w:tc>
          <w:tcPr>
            <w:tcW w:w="9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Present value of lease liabilities</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86,230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Assignment</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fourth quarter of fiscal 2018, the Company entered into a lease agreement (the "Agreement") with CAP Phase I (the "Landlord"), to rent office space in San Jose, California. The lease term began on January 1, 2019. On April 30, 2019, due to the Company's rapid growth and greater than anticipated future space needs, the Company entered into an assignment and assumption (the "Assignment") of the Agreement with the Landlord and Roku Inc.("Roku"), whereby the Company assigned to Roku the Agreement. Pursuant to the Assignment, the Company was released from all of its obligations under the lease and the related standby letter of credit, which was secured by restricted cash of $0.8 million, was released in May 2022.</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may not have a contractual limit.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 obligations consist of the Company's principal facility and various leased facilities under operating lease agreements. See Note 5.</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for more information on the Company's leases and the future minimum lease payments.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Purchase Obligations</w:t>
      </w:r>
    </w:p>
    <w:p>
      <w:pPr>
        <w:spacing w:after="0" w:line="15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0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June 30, 2022.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9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i w:val="1"/>
          <w:iCs w:val="1"/>
          <w:color w:val="auto"/>
        </w:rPr>
        <w:t>Wage and Hour Litigation</w:t>
      </w:r>
      <w:r>
        <w:rPr>
          <w:rFonts w:ascii="Arial" w:cs="Arial" w:eastAsia="Arial" w:hAnsi="Arial"/>
          <w:sz w:val="16"/>
          <w:szCs w:val="16"/>
          <w:color w:val="auto"/>
        </w:rPr>
        <w:t>. On September 21, 2020, the Company received a copy of a letter filed by a former employee, Plaintiff Denise Rivas,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Labor and Workforce Development Agency (“LWDA”) providing notice of the Plaintiff’s intent to bring a Private Attorney General Act (“PAGA”) claim, on behalf of the Company’s non-exempt employees based in California, for alleged California wage and hour practices violations. On September 25, 2020, the Plaintiff filed a separate class action complaint (the “Class Complaint”) in Santa Clara County Superior Court against the Company in which she alleges 10 causes of action, on behalf of herself and all of the Company’s non-exempt employees based in California for the last four years, related to violations of California state wage and hour practices and the federal Fair Credit Reporting Act. The Class Complaint was served on the Company on September 29, 2020. On October 28, 2020, the Company filed a general denial of all claims and asserted various affirmative defenses. On October 29, 2020, the Company removed the matter to Federal Court. On December 1, 2020, Plaintiff filed a companion PAGA lawsuit complaint (the “PAGA Complaint”) in Santa Clara County Superior Court against the Company, in which she alleges 6 violations of California state wage and hour practices for all of the Company's current and former non-exempt employees based in California from September 16, 2019 to the present. The PAGA Complaint was served on the Company on December 11, 2020. On January 26, 2021, the Company filed a general denial of all claims and asserted various affirmative defenses to the PAGA Complaint. Both actions were scheduled for a joint mediation in September 2021, and discovery was stayed in both actions pending completion of the mediation. A joint mediation for both actions was held in September 2021 and the parties reached a preliminary settlement of all claims, which was finalized on November 23, 2021. The parties have remanded the Class Complaint matter to Santa Clara County Superior Court in order to consolidate the matter with the PAGA Complaint matter for court approval and administration of the settlement. Plaintiff has filed an unopposed motion for preliminary approval of the settlement on May 17, 2022, and the court issued an order preliminarily approving the settlement on June 13, 2022. The parties are proceeding to gather and provide class list information to the administrator for administration of the settlement.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 and Local Taxes and Surcharges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As of June 30, 2022 and March 31, 2022, the Company had accrued contingent indirect tax liabilities of $16.7 million and $17.2 million,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CONVERTIBLE SENIOR NOTES AND CAPPED CALLS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3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November 2019, the Company issued an additional $75.0 million aggregate principal amount of 0.50% convertible senior notes (the "First Additional Notes") due 2024 in a registered offering under the same indenture as the Initial Notes. The total net proceeds from the First Additional Notes, after deducting underwriting discounts, debt issuance costs and costs of the capped call transactions described below, were approximately $64.6 million.</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December 2021, the Company issued an additional $137.5 million aggregate principal amount of its currently outstanding 0.50% convertible senior notes (the "Second Additional Notes", and together with the Initial Notes and the First Additional Notes, the "Notes") due 2024 in a private placement under the same indenture as the Initial Notes and the First Additional Notes. The total net proceeds from the Second Additional Notes, after deducting initial purchase discounts and debt issuance costs, were approximately $134.3 million. The Company did not enter into any capped calls in connection with this transaction. Both the First Additional Notes and Second Additional Notes constitute a further issuance of, and form a single series with, the Initial Notes. Immediately after giving effect to the issuance of the Second Additional Notes, the Company had $500.0 million aggregate principal amount of convertible senior notes.</w:t>
      </w:r>
    </w:p>
    <w:p>
      <w:pPr>
        <w:spacing w:after="0" w:line="10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Notes are senior unsecured obligations of the Company and interest is payable semiannually in arrears on February 1 and August 1 of each year, beginning on August 1, 2019. The Notes will mature on February 1, 2024, unless earlier repurchased, redeemed, or converted.</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 to the close of business on the business day immediately preceding October 1, 2023, the Notes will be convertible only under the following circumstances:</w:t>
      </w:r>
    </w:p>
    <w:p>
      <w:pPr>
        <w:spacing w:after="0" w:line="102" w:lineRule="exact"/>
        <w:rPr>
          <w:sz w:val="20"/>
          <w:szCs w:val="20"/>
          <w:color w:val="auto"/>
        </w:rPr>
      </w:pPr>
    </w:p>
    <w:p>
      <w:pPr>
        <w:jc w:val="both"/>
        <w:ind w:left="660" w:hanging="328"/>
        <w:spacing w:after="0" w:line="26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05" w:lineRule="exact"/>
        <w:rPr>
          <w:rFonts w:ascii="Arial" w:cs="Arial" w:eastAsia="Arial" w:hAnsi="Arial"/>
          <w:sz w:val="16"/>
          <w:szCs w:val="16"/>
          <w:color w:val="auto"/>
        </w:rPr>
      </w:pPr>
    </w:p>
    <w:p>
      <w:pPr>
        <w:jc w:val="both"/>
        <w:ind w:left="660" w:right="2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96"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Company calls any or all of the Notes for redemption, at any time prior to the close of business on the scheduled trading day immediately preceding the redemption date; or</w:t>
      </w:r>
    </w:p>
    <w:p>
      <w:pPr>
        <w:spacing w:after="0" w:line="8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indenture governing the Notes).</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or after October 1, 2023, until the close of business on the second scheduled trading day immediately preceding the maturity date, holders may convert all or any portion of their Notes, regardless of the foregoing circumstances. Upon conversion, the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 During the three months ended June 30, 2022, the conditions allowing holders of the Notes to convert were not met.</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terms of the Notes, the Company could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but excluding, the fundamental change repurchase date.</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and fair value of the liability component of the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Pr>
          <w:p>
            <w:pPr>
              <w:spacing w:after="0"/>
              <w:rPr>
                <w:sz w:val="18"/>
                <w:szCs w:val="18"/>
                <w:color w:val="auto"/>
              </w:rPr>
            </w:pPr>
          </w:p>
        </w:tc>
        <w:tc>
          <w:tcPr>
            <w:tcW w:w="1780" w:type="dxa"/>
            <w:vAlign w:val="bottom"/>
          </w:tcPr>
          <w:p>
            <w:pPr>
              <w:jc w:val="right"/>
              <w:ind w:right="379"/>
              <w:spacing w:after="0"/>
              <w:rPr>
                <w:sz w:val="20"/>
                <w:szCs w:val="20"/>
                <w:color w:val="auto"/>
              </w:rPr>
            </w:pPr>
            <w:r>
              <w:rPr>
                <w:rFonts w:ascii="Arial" w:cs="Arial" w:eastAsia="Arial" w:hAnsi="Arial"/>
                <w:sz w:val="16"/>
                <w:szCs w:val="16"/>
                <w:b w:val="1"/>
                <w:bCs w:val="1"/>
                <w:color w:val="auto"/>
              </w:rPr>
              <w:t>March 31, 2022</w:t>
            </w:r>
          </w:p>
        </w:tc>
      </w:tr>
      <w:tr>
        <w:trPr>
          <w:trHeight w:val="210"/>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6"/>
        </w:trPr>
        <w:tc>
          <w:tcPr>
            <w:tcW w:w="70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Unamortized debt discount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and issuance costs</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(52,548)</w:t>
            </w:r>
          </w:p>
        </w:tc>
      </w:tr>
      <w:tr>
        <w:trPr>
          <w:trHeight w:val="234"/>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494,444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447,452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 The debt discount as of March 31, 2022 represents the discount resulting from the allocation of the equity component (conversion option) from the liability component of the</w:t>
      </w:r>
    </w:p>
    <w:p>
      <w:pPr>
        <w:spacing w:after="0" w:line="31"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color w:val="auto"/>
        </w:rPr>
        <w:t>Notes, net of issuance premium, prior to the adoption of ASU 2020-06 on April 1, 2022. Upon the adoption of ASU 2020-06, the equity component was reversed. As a result, June 30, 2022 debt discount represents only the issuance premium, which net against the issuance costs on the same line.</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Prior to April 1, 2022, the Company accounted for the Notes as separate liability and equity components. On issuance, the carrying amount of the equity components was recorded as a debt discount and subsequently amortized to interest expense. Effective April 1, 2022, we adopted ASU 2020-06 using the modified retrospective approach. As a result, the Notes are accounted for as a single liability measured at its amortized cost, as no other embedded features require bifurcation and recognition as derivatives. Adoption of the new standard resulted in a decrease to accumulated deficit of $46.7 million, a decrease to</w:t>
      </w:r>
    </w:p>
    <w:p>
      <w:pPr>
        <w:spacing w:after="0"/>
        <w:rPr>
          <w:sz w:val="20"/>
          <w:szCs w:val="20"/>
          <w:color w:val="auto"/>
        </w:rPr>
      </w:pPr>
      <w:r>
        <w:rPr>
          <w:rFonts w:ascii="Arial" w:cs="Arial" w:eastAsia="Arial" w:hAnsi="Arial"/>
          <w:sz w:val="16"/>
          <w:szCs w:val="16"/>
          <w:color w:val="auto"/>
        </w:rPr>
        <w:t>additional paid-in capital of $92.8 million, and an increase to convertible senior notes, net of $46.2 million. The Notes have no original issuance discounts</w:t>
      </w:r>
      <w:r>
        <w:rPr>
          <w:rFonts w:ascii="Arial" w:cs="Arial" w:eastAsia="Arial" w:hAnsi="Arial"/>
          <w:sz w:val="17"/>
          <w:szCs w:val="17"/>
          <w:color w:val="auto"/>
        </w:rPr>
        <w:t>.</w:t>
      </w:r>
    </w:p>
    <w:p>
      <w:pPr>
        <w:spacing w:after="0"/>
        <w:rPr>
          <w:sz w:val="20"/>
          <w:szCs w:val="20"/>
          <w:color w:val="auto"/>
        </w:rPr>
      </w:pPr>
      <w:r>
        <w:rPr>
          <w:rFonts w:ascii="Arial" w:cs="Arial" w:eastAsia="Arial" w:hAnsi="Arial"/>
          <w:sz w:val="16"/>
          <w:szCs w:val="16"/>
          <w:color w:val="auto"/>
        </w:rPr>
        <w:t>Unamortized debt discount and issuance costs will be amortized over the remaining life of the Notes, which is approximately 19 months.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recognized related to the Notes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For the three months ended June 30,</w:t>
            </w:r>
          </w:p>
        </w:tc>
        <w:tc>
          <w:tcPr>
            <w:tcW w:w="580" w:type="dxa"/>
            <w:vAlign w:val="bottom"/>
            <w:tcBorders>
              <w:bottom w:val="single" w:sz="8" w:color="auto"/>
            </w:tcBorders>
          </w:tcPr>
          <w:p>
            <w:pPr>
              <w:spacing w:after="0"/>
              <w:rPr>
                <w:sz w:val="18"/>
                <w:szCs w:val="18"/>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1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4,393</w:t>
            </w:r>
          </w:p>
        </w:tc>
      </w:tr>
      <w:tr>
        <w:trPr>
          <w:trHeight w:val="235"/>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expense</w:t>
            </w: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Calls</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connection with the pricing of the Initial and First Additional Notes, the Company entered into privately negotiated capped call transactions (the "Capped Calls") with certain counterparties. The Capped Calls each have an initial strike price of approximately $25.68 per share, subject to certain adjustments, which correspond to the initial conversion price of the Initial and First Additional Notes. The Capped Calls have initial cap prices of $39.50 per share, subject to certain adjustments. The Capped Calls are expected to partially offset the potential dilution to the Company’s Common Stock upon any conversion of the Initial and First Additional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Initial and First Additional Notes. As these transactions meet certain accounting criteria, the Capped Calls are recorded in stockholders' equity and are not accounted for as derivatives. The Capped Calls will not be remeasured as long as they continue to meet the conditions for equity classification.</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STOCK-BASED COMPENSATION AND STOCKHOLDERS' EQUITY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2012 Equity Incentive Plan</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June 2012, the Company's board of directors approved the 2012 Equity Incentive Plan (the "2012 Plan"). The Company's stockholders subsequently adopted the 2012 Plan in July 2012, which became effective in August 2012. The Company reserved 4.1 million shares of the Company's common stock for issuance under this plan. In August 2014, 2016, 2018 and 2019, the 2012 Plan was amended to allow for an additional 6.8 million shares, 4.5 million shares, 16.3 million shares, and 12.0 million shares reserved for issuance, respectively. The 2012 Plan provided for granting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could not be less than the fair market value on the effective date of the grant. Options, restricted stock, and restricted stock units generally vest over three or four years and expire ten years after grant. The 2012 Plan expired in June 2022.</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2017 New Employee Inducement Incentive Plan</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For details on the 2017 New Employee Inducement Incentive Plan ("2017 Plan"), please refer to the Form 10-K. No grants were made under the 2017 Plan during the three months ended June 30, 2022. As of June 30, 2022, 1.8 million shares remained available for future grants under the 2017 Plan.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stock-based compensation expense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8"/>
                <w:szCs w:val="18"/>
                <w:color w:val="auto"/>
              </w:rPr>
            </w:pPr>
          </w:p>
        </w:tc>
      </w:tr>
      <w:tr>
        <w:trPr>
          <w:trHeight w:val="217"/>
        </w:trPr>
        <w:tc>
          <w:tcPr>
            <w:tcW w:w="76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1,071</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8,107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14,326</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7,888</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10,524</w:t>
            </w:r>
          </w:p>
        </w:tc>
      </w:tr>
      <w:tr>
        <w:trPr>
          <w:trHeight w:val="210"/>
        </w:trPr>
        <w:tc>
          <w:tcPr>
            <w:tcW w:w="7620" w:type="dxa"/>
            <w:vAlign w:val="bottom"/>
          </w:tcPr>
          <w:p>
            <w:pPr>
              <w:ind w:left="2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36,587</w:t>
            </w:r>
          </w:p>
        </w:tc>
      </w:tr>
      <w:tr>
        <w:trPr>
          <w:trHeight w:val="20"/>
        </w:trPr>
        <w:tc>
          <w:tcPr>
            <w:tcW w:w="7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216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0"/>
        </w:trPr>
        <w:tc>
          <w:tcPr>
            <w:tcW w:w="1260" w:type="dxa"/>
            <w:vAlign w:val="bottom"/>
            <w:tcBorders>
              <w:top w:val="single" w:sz="8" w:color="0000FF"/>
            </w:tcBorders>
            <w:gridSpan w:val="2"/>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00" w:type="dxa"/>
            <w:vAlign w:val="bottom"/>
          </w:tcPr>
          <w:p>
            <w:pPr>
              <w:spacing w:after="0"/>
              <w:rPr>
                <w:sz w:val="20"/>
                <w:szCs w:val="20"/>
                <w:color w:val="auto"/>
              </w:rPr>
            </w:pPr>
            <w:r>
              <w:rPr>
                <w:rFonts w:ascii="Arial" w:cs="Arial" w:eastAsia="Arial" w:hAnsi="Arial"/>
                <w:sz w:val="16"/>
                <w:szCs w:val="16"/>
                <w:color w:val="auto"/>
              </w:rPr>
              <w:t>The</w:t>
            </w:r>
          </w:p>
        </w:tc>
        <w:tc>
          <w:tcPr>
            <w:tcW w:w="1560" w:type="dxa"/>
            <w:vAlign w:val="bottom"/>
            <w:gridSpan w:val="2"/>
          </w:tcPr>
          <w:p>
            <w:pPr>
              <w:ind w:left="320"/>
              <w:spacing w:after="0"/>
              <w:rPr>
                <w:sz w:val="20"/>
                <w:szCs w:val="20"/>
                <w:color w:val="auto"/>
              </w:rPr>
            </w:pPr>
            <w:r>
              <w:rPr>
                <w:rFonts w:ascii="Arial" w:cs="Arial" w:eastAsia="Arial" w:hAnsi="Arial"/>
                <w:sz w:val="16"/>
                <w:szCs w:val="16"/>
                <w:color w:val="auto"/>
              </w:rPr>
              <w:t>following</w:t>
            </w:r>
          </w:p>
        </w:tc>
        <w:tc>
          <w:tcPr>
            <w:tcW w:w="980" w:type="dxa"/>
            <w:vAlign w:val="bottom"/>
          </w:tcPr>
          <w:p>
            <w:pPr>
              <w:ind w:left="20"/>
              <w:spacing w:after="0"/>
              <w:rPr>
                <w:sz w:val="20"/>
                <w:szCs w:val="20"/>
                <w:color w:val="auto"/>
              </w:rPr>
            </w:pPr>
            <w:r>
              <w:rPr>
                <w:rFonts w:ascii="Arial" w:cs="Arial" w:eastAsia="Arial" w:hAnsi="Arial"/>
                <w:sz w:val="16"/>
                <w:szCs w:val="16"/>
                <w:color w:val="auto"/>
              </w:rPr>
              <w:t>table</w:t>
            </w:r>
          </w:p>
        </w:tc>
        <w:tc>
          <w:tcPr>
            <w:tcW w:w="960" w:type="dxa"/>
            <w:vAlign w:val="bottom"/>
          </w:tcPr>
          <w:p>
            <w:pPr>
              <w:ind w:left="20"/>
              <w:spacing w:after="0"/>
              <w:rPr>
                <w:sz w:val="20"/>
                <w:szCs w:val="20"/>
                <w:color w:val="auto"/>
              </w:rPr>
            </w:pPr>
            <w:r>
              <w:rPr>
                <w:rFonts w:ascii="Arial" w:cs="Arial" w:eastAsia="Arial" w:hAnsi="Arial"/>
                <w:sz w:val="16"/>
                <w:szCs w:val="16"/>
                <w:color w:val="auto"/>
              </w:rPr>
              <w:t>presents</w:t>
            </w:r>
          </w:p>
        </w:tc>
        <w:tc>
          <w:tcPr>
            <w:tcW w:w="840" w:type="dxa"/>
            <w:vAlign w:val="bottom"/>
          </w:tcPr>
          <w:p>
            <w:pPr>
              <w:ind w:left="300"/>
              <w:spacing w:after="0"/>
              <w:rPr>
                <w:sz w:val="20"/>
                <w:szCs w:val="20"/>
                <w:color w:val="auto"/>
              </w:rPr>
            </w:pPr>
            <w:r>
              <w:rPr>
                <w:rFonts w:ascii="Arial" w:cs="Arial" w:eastAsia="Arial" w:hAnsi="Arial"/>
                <w:sz w:val="16"/>
                <w:szCs w:val="16"/>
                <w:color w:val="auto"/>
              </w:rPr>
              <w:t>the</w:t>
            </w:r>
          </w:p>
        </w:tc>
        <w:tc>
          <w:tcPr>
            <w:tcW w:w="1020" w:type="dxa"/>
            <w:vAlign w:val="bottom"/>
          </w:tcPr>
          <w:p>
            <w:pPr>
              <w:ind w:left="320"/>
              <w:spacing w:after="0"/>
              <w:rPr>
                <w:sz w:val="20"/>
                <w:szCs w:val="20"/>
                <w:color w:val="auto"/>
              </w:rPr>
            </w:pPr>
            <w:r>
              <w:rPr>
                <w:rFonts w:ascii="Arial" w:cs="Arial" w:eastAsia="Arial" w:hAnsi="Arial"/>
                <w:sz w:val="16"/>
                <w:szCs w:val="16"/>
                <w:color w:val="auto"/>
              </w:rPr>
              <w:t>stock</w:t>
            </w:r>
          </w:p>
        </w:tc>
        <w:tc>
          <w:tcPr>
            <w:tcW w:w="1060" w:type="dxa"/>
            <w:vAlign w:val="bottom"/>
          </w:tcPr>
          <w:p>
            <w:pPr>
              <w:ind w:left="300"/>
              <w:spacing w:after="0"/>
              <w:rPr>
                <w:sz w:val="20"/>
                <w:szCs w:val="20"/>
                <w:color w:val="auto"/>
              </w:rPr>
            </w:pPr>
            <w:r>
              <w:rPr>
                <w:rFonts w:ascii="Arial" w:cs="Arial" w:eastAsia="Arial" w:hAnsi="Arial"/>
                <w:sz w:val="16"/>
                <w:szCs w:val="16"/>
                <w:color w:val="auto"/>
              </w:rPr>
              <w:t>option</w:t>
            </w:r>
          </w:p>
        </w:tc>
        <w:tc>
          <w:tcPr>
            <w:tcW w:w="920" w:type="dxa"/>
            <w:vAlign w:val="bottom"/>
          </w:tcPr>
          <w:p>
            <w:pPr>
              <w:ind w:left="320"/>
              <w:spacing w:after="0"/>
              <w:rPr>
                <w:sz w:val="20"/>
                <w:szCs w:val="20"/>
                <w:color w:val="auto"/>
              </w:rPr>
            </w:pPr>
            <w:r>
              <w:rPr>
                <w:rFonts w:ascii="Arial" w:cs="Arial" w:eastAsia="Arial" w:hAnsi="Arial"/>
                <w:sz w:val="16"/>
                <w:szCs w:val="16"/>
                <w:color w:val="auto"/>
              </w:rPr>
              <w:t>activity</w:t>
            </w:r>
          </w:p>
        </w:tc>
        <w:tc>
          <w:tcPr>
            <w:tcW w:w="1420" w:type="dxa"/>
            <w:vAlign w:val="bottom"/>
          </w:tcPr>
          <w:p>
            <w:pPr>
              <w:jc w:val="right"/>
              <w:ind w:right="2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6"/>
                <w:szCs w:val="16"/>
                <w:i w:val="1"/>
                <w:iCs w:val="1"/>
                <w:color w:val="auto"/>
              </w:rPr>
              <w:t>in</w:t>
            </w: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thousands</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ind w:left="40"/>
              <w:spacing w:after="0" w:line="178" w:lineRule="exact"/>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Exercise Price Per</w:t>
            </w:r>
          </w:p>
        </w:tc>
        <w:tc>
          <w:tcPr>
            <w:tcW w:w="0" w:type="dxa"/>
            <w:vAlign w:val="bottom"/>
          </w:tcPr>
          <w:p>
            <w:pPr>
              <w:spacing w:after="0"/>
              <w:rPr>
                <w:sz w:val="1"/>
                <w:szCs w:val="1"/>
                <w:color w:val="auto"/>
              </w:rPr>
            </w:pPr>
          </w:p>
        </w:tc>
      </w:tr>
      <w:tr>
        <w:trPr>
          <w:trHeight w:val="216"/>
        </w:trPr>
        <w:tc>
          <w:tcPr>
            <w:tcW w:w="6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09"/>
        </w:trPr>
        <w:tc>
          <w:tcPr>
            <w:tcW w:w="31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Outstanding at March 31, 2022</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15"/>
        </w:trPr>
        <w:tc>
          <w:tcPr>
            <w:tcW w:w="2160" w:type="dxa"/>
            <w:vAlign w:val="bottom"/>
            <w:gridSpan w:val="3"/>
          </w:tcPr>
          <w:p>
            <w:pPr>
              <w:ind w:left="220"/>
              <w:spacing w:after="0"/>
              <w:rPr>
                <w:sz w:val="20"/>
                <w:szCs w:val="20"/>
                <w:color w:val="auto"/>
              </w:rPr>
            </w:pPr>
            <w:r>
              <w:rPr>
                <w:rFonts w:ascii="Arial" w:cs="Arial" w:eastAsia="Arial" w:hAnsi="Arial"/>
                <w:sz w:val="16"/>
                <w:szCs w:val="16"/>
                <w:color w:val="auto"/>
              </w:rPr>
              <w:t>Exercised</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6"/>
        </w:trPr>
        <w:tc>
          <w:tcPr>
            <w:tcW w:w="21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Canceled/Forfeited</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10"/>
        </w:trPr>
        <w:tc>
          <w:tcPr>
            <w:tcW w:w="2160" w:type="dxa"/>
            <w:vAlign w:val="bottom"/>
            <w:gridSpan w:val="3"/>
          </w:tcPr>
          <w:p>
            <w:pPr>
              <w:ind w:left="20"/>
              <w:spacing w:after="0"/>
              <w:rPr>
                <w:sz w:val="20"/>
                <w:szCs w:val="20"/>
                <w:color w:val="auto"/>
              </w:rPr>
            </w:pPr>
            <w:r>
              <w:rPr>
                <w:rFonts w:ascii="Arial" w:cs="Arial" w:eastAsia="Arial" w:hAnsi="Arial"/>
                <w:sz w:val="16"/>
                <w:szCs w:val="16"/>
                <w:color w:val="auto"/>
              </w:rPr>
              <w:t>Outstanding at June 30, 2022</w:t>
            </w: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40" w:type="dxa"/>
            <w:vAlign w:val="bottom"/>
            <w:gridSpan w:val="4"/>
          </w:tcPr>
          <w:p>
            <w:pPr>
              <w:ind w:left="20"/>
              <w:spacing w:after="0"/>
              <w:rPr>
                <w:sz w:val="20"/>
                <w:szCs w:val="20"/>
                <w:color w:val="auto"/>
              </w:rPr>
            </w:pPr>
            <w:r>
              <w:rPr>
                <w:rFonts w:ascii="Arial" w:cs="Arial" w:eastAsia="Arial" w:hAnsi="Arial"/>
                <w:sz w:val="16"/>
                <w:szCs w:val="16"/>
                <w:color w:val="auto"/>
              </w:rPr>
              <w:t>Vested and expected to vest June 30, 2022</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Exercisable at June 30, 2022</w:t>
            </w:r>
          </w:p>
        </w:tc>
        <w:tc>
          <w:tcPr>
            <w:tcW w:w="9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total intrinsic value of options exercised in the three months ended June 30, 2022 and 2021 was $40.0 thousand and $9.1 million respectively.</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June 30, 2022, there was $14.0 thousand of total unrecognized compensation cost related to stock options, which is expected to be recognized over a weighted average period of approximately 0.3 years.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grant any stock options during the three months ended June 30, 2022 and 2021.</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fair value of each of the Company's option grants has been estimated on the date of grant using the Black-Scholes pricing model. No option grants were made in the three months ended June 30, 2022 and 2021.</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Purchase Rights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activities related to stock purchase rights during the three months ended June 30,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there was no unrecognized compensation cost related to stock purchase rights.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60" w:type="dxa"/>
            <w:vAlign w:val="bottom"/>
          </w:tcPr>
          <w:p>
            <w:pPr>
              <w:spacing w:after="0"/>
              <w:rPr>
                <w:sz w:val="20"/>
                <w:szCs w:val="20"/>
                <w:color w:val="auto"/>
              </w:rPr>
            </w:pPr>
            <w:r>
              <w:rPr>
                <w:rFonts w:ascii="Arial" w:cs="Arial" w:eastAsia="Arial" w:hAnsi="Arial"/>
                <w:sz w:val="16"/>
                <w:szCs w:val="16"/>
                <w:b w:val="1"/>
                <w:bCs w:val="1"/>
                <w:i w:val="1"/>
                <w:iCs w:val="1"/>
                <w:color w:val="auto"/>
              </w:rPr>
              <w:t>Restricted Stock Units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6260" w:type="dxa"/>
            <w:vAlign w:val="bottom"/>
          </w:tcPr>
          <w:p>
            <w:pPr>
              <w:spacing w:after="0"/>
              <w:rPr>
                <w:sz w:val="20"/>
                <w:szCs w:val="20"/>
                <w:color w:val="auto"/>
              </w:rPr>
            </w:pPr>
            <w:r>
              <w:rPr>
                <w:rFonts w:ascii="Arial" w:cs="Arial" w:eastAsia="Arial" w:hAnsi="Arial"/>
                <w:sz w:val="16"/>
                <w:szCs w:val="16"/>
                <w:color w:val="auto"/>
              </w:rPr>
              <w:t>The following table presents the RSU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6260" w:type="dxa"/>
            <w:vAlign w:val="bottom"/>
          </w:tcPr>
          <w:p>
            <w:pPr>
              <w:spacing w:after="0"/>
              <w:rPr>
                <w:sz w:val="24"/>
                <w:szCs w:val="24"/>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Date Fair Value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8,528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2022, there was $130.7 million of total unrecognized compensation cost related to RSUs.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PSUs are issued to a group of executives with vesting that is contingent on both market performance and continued service. The PSUs generally vest over periods ranging from one to three years based on Total Shareholder Return ("TSR"), as measured relative to specified market indices during the period from grant date through vesting date. A 2x multiplier will be applied for each percentage point of positive or negative relative TSR,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All PSU awards vest at the end of the respective performance periods, for those executives with continued service.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20"/>
                <w:szCs w:val="20"/>
                <w:color w:val="auto"/>
              </w:rPr>
            </w:pPr>
            <w:r>
              <w:rPr>
                <w:rFonts w:ascii="Arial" w:cs="Arial" w:eastAsia="Arial" w:hAnsi="Arial"/>
                <w:sz w:val="16"/>
                <w:szCs w:val="16"/>
                <w:color w:val="auto"/>
              </w:rPr>
              <w:t xml:space="preserve">The following table presents the PSU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260" w:type="dxa"/>
            <w:vAlign w:val="bottom"/>
          </w:tcPr>
          <w:p>
            <w:pPr>
              <w:spacing w:after="0"/>
              <w:rPr>
                <w:sz w:val="24"/>
                <w:szCs w:val="24"/>
                <w:color w:val="auto"/>
              </w:rPr>
            </w:pPr>
          </w:p>
        </w:tc>
        <w:tc>
          <w:tcPr>
            <w:tcW w:w="14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 Grant</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Date Fair Value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9"/>
              </w:rPr>
              <w:t>Term (in Years)</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CEEFF"/>
          </w:tcPr>
          <w:p>
            <w:pPr>
              <w:ind w:left="220"/>
              <w:spacing w:after="0" w:line="217"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4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Arial" w:cs="Arial" w:eastAsia="Arial" w:hAnsi="Arial"/>
                <w:sz w:val="16"/>
                <w:szCs w:val="16"/>
                <w:color w:val="auto"/>
              </w:rPr>
              <w:t>Balance at June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2060" w:firstLine="8"/>
        <w:spacing w:after="0" w:line="371" w:lineRule="auto"/>
        <w:tabs>
          <w:tab w:leader="none" w:pos="103" w:val="left"/>
        </w:tabs>
        <w:numPr>
          <w:ilvl w:val="0"/>
          <w:numId w:val="10"/>
        </w:numPr>
        <w:rPr>
          <w:rFonts w:ascii="Arial" w:cs="Arial" w:eastAsia="Arial" w:hAnsi="Arial"/>
          <w:sz w:val="21"/>
          <w:szCs w:val="21"/>
          <w:color w:val="auto"/>
          <w:vertAlign w:val="superscript"/>
        </w:rPr>
      </w:pPr>
      <w:r>
        <w:rPr>
          <w:rFonts w:ascii="Arial" w:cs="Arial" w:eastAsia="Arial" w:hAnsi="Arial"/>
          <w:sz w:val="14"/>
          <w:szCs w:val="14"/>
          <w:color w:val="auto"/>
        </w:rPr>
        <w:t>Represents additional PSUs awarded as a result of the achievement of performance goals above the performance targets established at grant. As of June 30, 2022, th</w:t>
      </w:r>
      <w:r>
        <w:rPr>
          <w:rFonts w:ascii="Arial" w:cs="Arial" w:eastAsia="Arial" w:hAnsi="Arial"/>
          <w:sz w:val="16"/>
          <w:szCs w:val="16"/>
          <w:color w:val="auto"/>
        </w:rPr>
        <w:t>ere was $32.1 million of total unrecognized compensation cost related to PSUs.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2022, there was approximately $1.7 million of unrecognized compensation cost related to employee stock purchases. This cost is expected to be recognized over a weighted average period of 0.3 years. As of June 30, 2022, a total of 1.0 million shares were available for issuance under the ESPP.</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stock repurchases during the three months ended June 30, 2022 and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INCOME TAXES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effective tax rate was (1.6)% and (0.6)% for the three months ended June 30, 2022 and 2021, respectively. The difference in the effective tax rate and the U.S. federal statutory rate was primarily due to the full valuation allowance the Company maintains against its deferred tax assets. The effective tax rate is calculated by dividing the Provision for income taxes by the Loss before provision for income taxes.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NET LOSS PER SHARE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is a reconciliation of the weighted average number of common shares outstanding used in calculating basic and diluted net loss per share (</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37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r>
      <w:tr>
        <w:trPr>
          <w:trHeight w:val="217"/>
        </w:trPr>
        <w:tc>
          <w:tcPr>
            <w:tcW w:w="66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9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(26,043)</w:t>
            </w:r>
          </w:p>
        </w:tc>
        <w:tc>
          <w:tcPr>
            <w:tcW w:w="116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(43,906)</w:t>
            </w: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 and diluted (in thousands)</w:t>
            </w:r>
          </w:p>
        </w:tc>
        <w:tc>
          <w:tcPr>
            <w:tcW w:w="19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119,721</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109,925</w:t>
            </w:r>
          </w:p>
        </w:tc>
      </w:tr>
      <w:tr>
        <w:trPr>
          <w:trHeight w:val="257"/>
        </w:trPr>
        <w:tc>
          <w:tcPr>
            <w:tcW w:w="668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Net loss per share - basic and diluted</w:t>
            </w:r>
          </w:p>
        </w:tc>
        <w:tc>
          <w:tcPr>
            <w:tcW w:w="19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(0.22)</w:t>
            </w:r>
          </w:p>
        </w:tc>
        <w:tc>
          <w:tcPr>
            <w:tcW w:w="116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(0.40)</w:t>
            </w:r>
          </w:p>
        </w:tc>
      </w:tr>
    </w:tbl>
    <w:p>
      <w:pPr>
        <w:spacing w:after="0" w:line="21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potentially dilutive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40" w:type="dxa"/>
            <w:vAlign w:val="bottom"/>
            <w:gridSpan w:val="8"/>
          </w:tcPr>
          <w:p>
            <w:pPr>
              <w:ind w:left="660"/>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17"/>
        </w:trPr>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6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2022</w:t>
            </w:r>
          </w:p>
        </w:tc>
        <w:tc>
          <w:tcPr>
            <w:tcW w:w="18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Restricted stock units and Performance stock units</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16,731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220"/>
              <w:spacing w:after="0"/>
              <w:rPr>
                <w:sz w:val="20"/>
                <w:szCs w:val="20"/>
                <w:color w:val="auto"/>
              </w:rPr>
            </w:pPr>
            <w:r>
              <w:rPr>
                <w:rFonts w:ascii="Arial" w:cs="Arial" w:eastAsia="Arial" w:hAnsi="Arial"/>
                <w:sz w:val="16"/>
                <w:szCs w:val="16"/>
                <w:color w:val="auto"/>
              </w:rPr>
              <w:t>Total anti-dilutive shares</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18,632</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b w:val="1"/>
                <w:bCs w:val="1"/>
                <w:color w:val="auto"/>
              </w:rPr>
              <w:t>11. GEOGRAPHICAL INFORMATION</w:t>
            </w: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3"/>
        </w:trPr>
        <w:tc>
          <w:tcPr>
            <w:tcW w:w="5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580" w:type="dxa"/>
            <w:vAlign w:val="bottom"/>
            <w:gridSpan w:val="5"/>
          </w:tcPr>
          <w:p>
            <w:pPr>
              <w:spacing w:after="0"/>
              <w:rPr>
                <w:sz w:val="20"/>
                <w:szCs w:val="20"/>
                <w:color w:val="auto"/>
              </w:rPr>
            </w:pPr>
            <w:r>
              <w:rPr>
                <w:rFonts w:ascii="Arial" w:cs="Arial" w:eastAsia="Arial" w:hAnsi="Arial"/>
                <w:sz w:val="16"/>
                <w:szCs w:val="16"/>
                <w:color w:val="auto"/>
              </w:rPr>
              <w:t>The following tables set forth the geographic information for each period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60" w:type="dxa"/>
            <w:vAlign w:val="bottom"/>
            <w:gridSpan w:val="7"/>
          </w:tcPr>
          <w:p>
            <w:pPr>
              <w:ind w:left="1100"/>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4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51,500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187,620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4"/>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60" w:type="dxa"/>
            <w:vAlign w:val="bottom"/>
            <w:gridSpan w:val="7"/>
          </w:tcPr>
          <w:p>
            <w:pPr>
              <w:ind w:left="1100"/>
              <w:spacing w:after="0"/>
              <w:rPr>
                <w:sz w:val="20"/>
                <w:szCs w:val="20"/>
                <w:color w:val="auto"/>
              </w:rPr>
            </w:pPr>
            <w:r>
              <w:rPr>
                <w:rFonts w:ascii="Arial" w:cs="Arial" w:eastAsia="Arial" w:hAnsi="Arial"/>
                <w:sz w:val="16"/>
                <w:szCs w:val="16"/>
                <w:b w:val="1"/>
                <w:bCs w:val="1"/>
                <w:color w:val="auto"/>
              </w:rPr>
              <w:t>Property and Equipment as of</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8"/>
                <w:szCs w:val="18"/>
                <w:color w:val="auto"/>
              </w:rPr>
            </w:pPr>
          </w:p>
        </w:tc>
        <w:tc>
          <w:tcPr>
            <w:tcW w:w="180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March 31, 2022</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69,469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4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4,407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73,876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ACQUISITIONS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Fuze</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222222"/>
        </w:rPr>
        <w:t xml:space="preserve">On January 18, 2022, the Company acquired 100% of the outstanding shares of common stock of Fuze, Inc. for a total consideration of $213.8 million, which consisted of $132.9 million in cash and $80.9 million in shares of common stock of the Company, of which, approximately $1.3 million in cash and up to 1,153,523 shares were held back as part of the merger agreement, and 346,053 shares were held back (pursuant to indemnity obligations) and reserved for later issuance. Subsequently, in May 2022, the approximately $1.3 million in cash held back was released as part of the working capital adjustment. The results of Fuze, Inc.’s operations have been included in the Company's consolidated financial statements, including </w:t>
      </w:r>
      <w:r>
        <w:rPr>
          <w:rFonts w:ascii="Arial" w:cs="Arial" w:eastAsia="Arial" w:hAnsi="Arial"/>
          <w:sz w:val="16"/>
          <w:szCs w:val="16"/>
          <w:color w:val="000000"/>
        </w:rPr>
        <w:t>$29.5 million of revenue in the first</w:t>
      </w:r>
      <w:r>
        <w:rPr>
          <w:rFonts w:ascii="Arial" w:cs="Arial" w:eastAsia="Arial" w:hAnsi="Arial"/>
          <w:sz w:val="16"/>
          <w:szCs w:val="16"/>
          <w:color w:val="222222"/>
        </w:rPr>
        <w:t xml:space="preserve"> </w:t>
      </w:r>
      <w:r>
        <w:rPr>
          <w:rFonts w:ascii="Arial" w:cs="Arial" w:eastAsia="Arial" w:hAnsi="Arial"/>
          <w:sz w:val="16"/>
          <w:szCs w:val="16"/>
          <w:color w:val="000000"/>
        </w:rPr>
        <w:t>quarter of fiscal 2023.</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the Form 10-K.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 leading SaaS provider of voice, video, contact center, and communication APIs powered by a global cloud communications platform. From our proprietary cloud technology platform, organizations across all their locations and employees have access to unified communications, team collaboration, video conferencing, contact center, data and analytics, communication APIs, and other services, enabling them to be more productive and responsive to their customers.</w:t>
      </w:r>
    </w:p>
    <w:p>
      <w:pPr>
        <w:spacing w:after="0" w:line="1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customers range from small businesses to large enterprises and their users are spread across more than 170 countries. In recent years, we have increased our focus on the mid-market and enterprise customer sectors.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 portfolio of cloud-based offerings that are subscription-based, made available at different rates, varying by the specific functionalities, services, and number of users. We generate service revenue from communications services subscriptions and platform usage.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Our flagship service is our 8x8 XCaaS platform, which is a unified, cloud-based technology platform that includes a range of enterprise-grade Unified Communications-as-a-Service (UCaaS) and Contact Center-as-a-Service (CCaaS) solutions. Our customers purchase service plans with increasing functionality designated as X1, X2, etc., through X8, based on the specific communication needs and customer engagement profile of each user. Because XCaaS serves as a single integration framework for communications across an organization, customers can reduce costs associated with provisioning and management, increase customization based on use cases, and ensure compliance with security and data privacy requirements on a global scale. XCaaS also includes integrations with more than 50 third party applications, including Microsoft Teams.</w:t>
      </w:r>
    </w:p>
    <w:p>
      <w:pPr>
        <w:spacing w:after="0" w:line="219"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In January 2022, we acquired Fuze, Inc., a competitor in UCaaS for the enterprise, for approximately $213.8 million in stock and cash. The acquisition of Fuze, Inc. increased our installed base of enterprise customers and accelerated innovation on the XCaaS platform.</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3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the first quarter of fiscal 2023, our total revenue grew $39.3 million or approximately 26% year-over-year to $187.6 million. Excluding $29.5 million from the Fuze customer base, total revenue increased 7% from the first quarter of 2022.</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Annualized Recurring Subscriptions and Usage Revenue (ARR) from strategic mid-market and enterprise customers represented 77% of total ARR and increased 45% compared to the same period in fiscal 2022. ARR associated with Small Business customers declined 7% year-over-year and accounted for 23% of total ARR, compared to 32% of ARR a year ago. We have focused our sales and marketing resources on increasing our enterprise ARR as a long-term strategy due to enterprise customers' longer commitments, higher retention and better efficiency ratios. Enterprise customers are also more likely to need the advanced capabilities of our contact center solutions and realize the advantages of our unified XCaaS platform. See "Key Business Metrics" section below for further discussion on how we define ARR.</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At the end of the first quarter of fiscal 2023, enterprise customers accounted for 59% of total ARR and more than 35% of our ARR was derived from customers deploying the UCaaS and CCaaS capabilities of our XCaaS platform.</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part of our long-term strategy to increase profitability and cash flow, we continue to focus on reducing the cost of delivering our services and improving our operating efficiency, while increasing our revenue and ARR from XCaaS and enterprise customers. Continued innovation to meet the evolving needs of today’s workforce is a critical factor attracting and retaining high value enterprise customers. Our acquisition of Fuze, Inc. increased our engineering resources dedicated to innovation on our XCaaS platform.</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fiscal 2023, we remain committed to increasing our investment in research and development compared to fiscal 2022 because we believe innovation drives competitive advantage and is an important variable in achieving sustainable growth. We plan to continue our efforts to reduce our unit costs to improve our gross profit margin as our business scales. Additionally, we plan to reduce our investments in sales and marketing as a percentage of revenue as we focus on driving improved efficiencies in our customer acquisition and sales operations. We expect our focus on reducing unit costs and improving sales and marketing efficiency will result in improved operating margins and increased cash flow from operations. We believe that this approach of balancing increased investment in innovation with improved efficiency in other areas will enable the Company to achieve sustained growth and increasing profitability and cash flow.</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OF COVID-19</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full extent of the long-term impact of the COVID-19 pandemic on our business, operations and financial results will depend on numerous evolving factors that we may not be able to accurately predict, including those set forth under the section entitled "Risk Factors" in the Form 10-K. In an effort to contain COVID-19 or slow its spread, governments around the world have previously enacted various measures, including orders to close non-essential businesses, isolate residents to their homes, and practice social distancing. To protect the health and safety of our employees, our workforce continues to spend significant time working from home and travel has been curtailed for our employees as well as our customers. While we anticipate that the global health crisis caused by COVID-19 and the measures enacted to slow its spread will continue to negatively impact business activity across the globe, it is not clear what its full potential effects will be on our business, including the effects on our customers, suppliers or vendors, or on our financial results.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BUSINESS METRICS</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management periodically reviews certain key business metrics to evaluate our operations, allocate resources, and drive financial performance in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Revenue</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management reviews Annualized Recurring Subscriptions and Usage Revenue (“ARR”) and believes it may be useful to investors to evaluate trends in future revenues of the Company. Our management believes ARR is an important indicator for measuring the overall performance of the business. Our management uses trends in ARR to assess our ongoing operations, allocate resources, and drive the financial performance of the business. We define ARR as equal to the sum of the most recent month of (i) recurring subscription amounts and (ii) platform usage charges for all CPaaS customers (subject to a minimum billings threshold for a period of at least six consecutive months), multiplied by 12. 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and CPaaS offerings. We plan to continue to invest resources to increase service revenue through a combination of increased sales and marketing efforts, expansion of our global connectivity, innovation in product and technology, and through strategic acquisitions of technologies and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Other revenue consists of revenues from professional services, primarily in support of deployment of our solutions and/or platform, and revenues from sales and rentals of IP telephones in conjunction with our cloud telephony service. Other revenue is dependent on the number and size of customers who choose to purchase or rent an IP telephone in conjunction with our UCaaS service and choose to engage our professional services organization for implementation and deployment of our cloud UCaaS and CCaaS solutions.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capitalized internal-use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other revenue consists primarily of direct and indirect costs associated with the purchasing of IP telephones as well as the scheduling, shipping and handling, personnel costs, expenditures incurred in connection with the professional services associated with the deployment and implementation of our products, and allocated IT and facilities costs.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and allocated IT and facilities costs.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promotional expenses, and allocated IT and facilities costs.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expense, net, consists primarily of interest expense related to the convertible notes, offset by income earned on our cash, cash equivalents, investments, and foreign exchange gains/losses.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(Benefit from) Provision for Income Taxes</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(Benefit from) provision for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discussion should be read in conjunction with our condensed consolidated financial statements and the notes thereto. Our results of operations for the first quarter for fiscal 2023, and the discussion below, includes Fuze, Inc.'s results of operations, while the results of operations for our first quarter of fiscal 2022 did not include Fuze, Inc.’s results of operations, since it was acquired on January 18,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gridSpan w:val="3"/>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26"/>
        </w:trPr>
        <w:tc>
          <w:tcPr>
            <w:tcW w:w="326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Revenue</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58"/>
        </w:trPr>
        <w:tc>
          <w:tcPr>
            <w:tcW w:w="3260" w:type="dxa"/>
            <w:vAlign w:val="bottom"/>
            <w:gridSpan w:val="3"/>
          </w:tcPr>
          <w:p>
            <w:pPr>
              <w:spacing w:after="0"/>
              <w:rPr>
                <w:sz w:val="20"/>
                <w:szCs w:val="20"/>
                <w:color w:val="auto"/>
              </w:rPr>
            </w:pPr>
            <w:r>
              <w:rPr>
                <w:rFonts w:ascii="Arial" w:cs="Arial" w:eastAsia="Arial" w:hAnsi="Arial"/>
                <w:sz w:val="16"/>
                <w:szCs w:val="16"/>
                <w:b w:val="1"/>
                <w:bCs w:val="1"/>
                <w:color w:val="auto"/>
              </w:rPr>
              <w:t>Service revenue</w:t>
            </w: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6"/>
        </w:trPr>
        <w:tc>
          <w:tcPr>
            <w:tcW w:w="6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09"/>
        </w:trPr>
        <w:tc>
          <w:tcPr>
            <w:tcW w:w="32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179,161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137,796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41,365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r>
      <w:tr>
        <w:trPr>
          <w:trHeight w:val="215"/>
        </w:trPr>
        <w:tc>
          <w:tcPr>
            <w:tcW w:w="326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95.5 %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92.9 %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Service revenue increased for the three months ended as of June 30, 2022, as compared to the three months ended as of June 30, 2021, primarily due to a net increase in our installed base of mid-market and enterprise customers, expanded deployments by existing customers, growth in related telecom usage by our customers, and our acquisition of Fuze, Inc., which contributed approximately $29.3 million in service revenue for the three months ended June 30, 2022. During the three months ended June 30, 2022, we also recorded an out of period adjustment of $2.1 million related to a contract with one customer which was deferred in previous years. The increase in service revenue reflected increased sales of our UCaaS and CCaaS solutions, increased adoption of our XCaaS integrated communication and collaboration platform, and growth in sales of our UCaaS direct routing solution for Microsoft Teams users. The increase in service revenue from these sources was partially offset by a decrease in usage revenue generated by our CPaaS products, primarily in the Asia-Pacific region.</w:t>
      </w:r>
    </w:p>
    <w:p>
      <w:pPr>
        <w:spacing w:after="0" w:line="39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We expect our service revenue to grow over time with our diverse platform offering as we increase the features and functionality of our platform and expand the global coverage of our UCaaS services.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Other revenue</w:t>
            </w: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96"/>
        </w:trPr>
        <w:tc>
          <w:tcPr>
            <w:tcW w:w="110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32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1"/>
        </w:trPr>
        <w:tc>
          <w:tcPr>
            <w:tcW w:w="1100" w:type="dxa"/>
            <w:vAlign w:val="bottom"/>
            <w:tcBorders>
              <w:bottom w:val="single" w:sz="8" w:color="CCEEFF"/>
            </w:tcBorders>
          </w:tcPr>
          <w:p>
            <w:pPr>
              <w:spacing w:after="0"/>
              <w:rPr>
                <w:sz w:val="21"/>
                <w:szCs w:val="21"/>
                <w:color w:val="auto"/>
              </w:rPr>
            </w:pPr>
          </w:p>
        </w:tc>
        <w:tc>
          <w:tcPr>
            <w:tcW w:w="21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1"/>
                <w:szCs w:val="21"/>
                <w:color w:val="auto"/>
              </w:rPr>
            </w:pPr>
          </w:p>
        </w:tc>
      </w:tr>
      <w:tr>
        <w:trPr>
          <w:trHeight w:val="20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8,459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10,531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(2,072)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5"/>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4.5 %</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color w:val="auto"/>
        </w:rPr>
        <w:t>Other revenue decreased for the three months ended as of June 30, 2022 as compared to the three months ended as of June 30, 2021, due to a decrease in product revenue due to current supply chain issues for hardware and a decrease in professional services revenue.</w:t>
      </w:r>
    </w:p>
    <w:p>
      <w:pPr>
        <w:spacing w:after="0" w:line="102"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No single customer represented more than 10% of our total revenues for the three months ended as of June 30, 2022 or the three months ended as of June 30,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3280" w:type="dxa"/>
            <w:vAlign w:val="bottom"/>
            <w:gridSpan w:val="4"/>
          </w:tcPr>
          <w:p>
            <w:pPr>
              <w:spacing w:after="0"/>
              <w:rPr>
                <w:sz w:val="20"/>
                <w:szCs w:val="20"/>
                <w:color w:val="auto"/>
              </w:rPr>
            </w:pPr>
            <w:r>
              <w:rPr>
                <w:rFonts w:ascii="Arial" w:cs="Arial" w:eastAsia="Arial" w:hAnsi="Arial"/>
                <w:sz w:val="16"/>
                <w:szCs w:val="16"/>
                <w:color w:val="0000FF"/>
              </w:rPr>
              <w:t>Table of Contents</w:t>
            </w: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98"/>
        </w:trPr>
        <w:tc>
          <w:tcPr>
            <w:tcW w:w="3280" w:type="dxa"/>
            <w:vAlign w:val="bottom"/>
            <w:gridSpan w:val="4"/>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12"/>
        </w:trPr>
        <w:tc>
          <w:tcPr>
            <w:tcW w:w="3280" w:type="dxa"/>
            <w:vAlign w:val="bottom"/>
            <w:gridSpan w:val="4"/>
          </w:tcPr>
          <w:p>
            <w:pPr>
              <w:spacing w:after="0"/>
              <w:rPr>
                <w:sz w:val="20"/>
                <w:szCs w:val="20"/>
                <w:color w:val="auto"/>
              </w:rPr>
            </w:pPr>
            <w:r>
              <w:rPr>
                <w:rFonts w:ascii="Arial" w:cs="Arial" w:eastAsia="Arial" w:hAnsi="Arial"/>
                <w:sz w:val="16"/>
                <w:szCs w:val="16"/>
                <w:b w:val="1"/>
                <w:bCs w:val="1"/>
                <w:color w:val="auto"/>
              </w:rPr>
              <w:t>Cost of service revenue</w:t>
            </w: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5"/>
        </w:trPr>
        <w:tc>
          <w:tcPr>
            <w:tcW w:w="1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32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1"/>
        </w:trPr>
        <w:tc>
          <w:tcPr>
            <w:tcW w:w="12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09"/>
        </w:trPr>
        <w:tc>
          <w:tcPr>
            <w:tcW w:w="32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53,547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46,010</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7,537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15"/>
        </w:trPr>
        <w:tc>
          <w:tcPr>
            <w:tcW w:w="3280" w:type="dxa"/>
            <w:vAlign w:val="bottom"/>
            <w:gridSpan w:val="4"/>
          </w:tcPr>
          <w:p>
            <w:pPr>
              <w:ind w:left="20"/>
              <w:spacing w:after="0"/>
              <w:rPr>
                <w:sz w:val="20"/>
                <w:szCs w:val="20"/>
                <w:color w:val="auto"/>
              </w:rPr>
            </w:pPr>
            <w:r>
              <w:rPr>
                <w:rFonts w:ascii="Arial" w:cs="Arial" w:eastAsia="Arial" w:hAnsi="Arial"/>
                <w:sz w:val="16"/>
                <w:szCs w:val="16"/>
                <w:color w:val="auto"/>
              </w:rPr>
              <w:t>Percentage of service revenue</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33.4 %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26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Cost of service revenue increased for the three months ended as of June 30, 2022 as compared to the three months ended as of June 30, 2021, due to an increase in sales of our services, resulting in an increase of $9.1 million in communication infrastructure costs incurred to deliver our services, including those in connection with CPaaS, a $1.8 million increase in employee and consulting related costs, and a $1.0 million increase in depreciation and amortization of intangibles costs. These increases were partially offset by a $4.3 million decrease in stock-based compensation and amortization of intangibles.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We expect cost of service revenue will increase in absolute dollars, but decrease as a percentage of revenue in future periods.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gridSpan w:val="2"/>
          </w:tcPr>
          <w:p>
            <w:pPr>
              <w:spacing w:after="0"/>
              <w:rPr>
                <w:sz w:val="20"/>
                <w:szCs w:val="20"/>
                <w:color w:val="auto"/>
              </w:rPr>
            </w:pPr>
            <w:r>
              <w:rPr>
                <w:rFonts w:ascii="Arial" w:cs="Arial" w:eastAsia="Arial" w:hAnsi="Arial"/>
                <w:sz w:val="16"/>
                <w:szCs w:val="16"/>
                <w:b w:val="1"/>
                <w:bCs w:val="1"/>
                <w:color w:val="auto"/>
              </w:rPr>
              <w:t>Cost of other revenue</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97"/>
        </w:trPr>
        <w:tc>
          <w:tcPr>
            <w:tcW w:w="16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32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168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1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other revenue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13,126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(620)</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3260" w:type="dxa"/>
            <w:vAlign w:val="bottom"/>
            <w:gridSpan w:val="2"/>
          </w:tcPr>
          <w:p>
            <w:pPr>
              <w:ind w:left="20"/>
              <w:spacing w:after="0"/>
              <w:rPr>
                <w:sz w:val="20"/>
                <w:szCs w:val="20"/>
                <w:color w:val="auto"/>
              </w:rPr>
            </w:pPr>
            <w:r>
              <w:rPr>
                <w:rFonts w:ascii="Arial" w:cs="Arial" w:eastAsia="Arial" w:hAnsi="Arial"/>
                <w:sz w:val="16"/>
                <w:szCs w:val="16"/>
                <w:color w:val="auto"/>
              </w:rPr>
              <w:t>Percentage of other revenue</w:t>
            </w:r>
          </w:p>
        </w:tc>
        <w:tc>
          <w:tcPr>
            <w:tcW w:w="122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6"/>
                <w:szCs w:val="16"/>
                <w:color w:val="auto"/>
              </w:rPr>
              <w:t>155.2 %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130.5 %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Cost of other revenue decreased for the three months ended as of June 30, 2022 as compared to the three months ended as of June 30, 2021, primarily due to decreased product costs associated with lower product shipments, partially offset by an increase in personnel and related costs to deliver our professional services.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18"/>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Research and development</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0"/>
        </w:trPr>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20" w:type="dxa"/>
            <w:vAlign w:val="bottom"/>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21"/>
                <w:szCs w:val="21"/>
                <w:color w:val="auto"/>
              </w:rPr>
            </w:pPr>
          </w:p>
        </w:tc>
      </w:tr>
      <w:tr>
        <w:trPr>
          <w:trHeight w:val="210"/>
        </w:trPr>
        <w:tc>
          <w:tcPr>
            <w:tcW w:w="2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34,955</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25,392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9,563</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37.7 %</w:t>
            </w:r>
          </w:p>
        </w:tc>
      </w:tr>
      <w:tr>
        <w:trPr>
          <w:trHeight w:val="21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Research and development expenses increased for the three months ended as of June 30, 2022 as compared to the three months ended as of June 30, 2021 primarily due to a $4.5 million increase in personnel-related and consulting costs, a $3.2 million reduction in capitalized internal-use software costs, and a $1.6 million increase in software license and amortization. These increases were partially offset by a $0.5 million decrease in allocated facilities costs. Research and development as a percentage of revenue increased for the three months ended as of June 30, 2022 as compared to the three months ended as of June 30, 2021 primarily due to increased investment in developing our XCaaS platform, and the acquisition of Fuze, Inc., which increased engineering personnel.</w:t>
      </w:r>
    </w:p>
    <w:p>
      <w:pPr>
        <w:spacing w:after="0" w:line="3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plan to continue to invest in research and development to support our efforts to expand the capabilities and scope of our XCaaS platform to enhance our users'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color w:val="auto"/>
              </w:rPr>
              <w:t>Sales and marketing</w:t>
            </w: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10"/>
        </w:trPr>
        <w:tc>
          <w:tcPr>
            <w:tcW w:w="158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32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158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0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83,527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75,915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7,612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15"/>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44.5 %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51.2 %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Sales and marketing expenses increased for the three months ended as of June 30, 2022 as compared to the three months ended as of June 30, 2021, primarily due to a $8.6 million increase in channel commissions, a $2.9 million increase in amortization of intangibles, and a $1.0 million increase in amortization of deferred sales commission costs. These increases were partially offset by a decrease of $6.4 million in personnel-related and consulting expenditures, including a $6.2 million decrease in stock-based compensation expense. Sales and marketing decreased as a percentage of revenue for the three months ended as of June 30, 2022 as compared to the three months ended as of June 30, 2021 as a result of increased revenue, including revenue from the Fuze, Inc. acquisition.</w:t>
      </w:r>
    </w:p>
    <w:p>
      <w:pPr>
        <w:spacing w:after="0" w:line="1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expect sales and marketing costs as a percent of revenue to decrease over time as we focus on improving our cost structure and achieving operational efficiencies.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and administrative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2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4"/>
        </w:trPr>
        <w:tc>
          <w:tcPr>
            <w:tcW w:w="32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22"/>
                <w:szCs w:val="22"/>
                <w:color w:val="auto"/>
              </w:rPr>
            </w:pPr>
          </w:p>
        </w:tc>
      </w:tr>
      <w:tr>
        <w:trPr>
          <w:trHeight w:val="20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2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29,219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26,091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3,128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r>
    </w:tbl>
    <w:p>
      <w:pPr>
        <w:spacing w:after="0" w:line="200" w:lineRule="exact"/>
        <w:rPr>
          <w:sz w:val="20"/>
          <w:szCs w:val="20"/>
          <w:color w:val="auto"/>
        </w:rPr>
      </w:pP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and administrative expenses increased for the three months ended as of June 30, 2022 as compared to the three months ended as of June 30, 2021, primarily due to an increase of $1.9 million in legal and regulatory costs and $1.6 million in facilities costs. These increases were partially offset by a $1.1 million decrease in personnel-related and consulting expenditures, including a $2.6 million decrease in stock-based compensation expense. General and administrative as a percentage of revenue decreased for the three months ended as of June 30, 2022 compared to the three months ended as of June 30, 2021 primarily as a result of higher revenue, lower stock based compensation, and increased operational efficiency.</w:t>
      </w:r>
    </w:p>
    <w:p>
      <w:pPr>
        <w:spacing w:after="0" w:line="110"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expect to continue improving our cost structure and achieve operational efficiencies, and therefore, also expect that general and administrative expenses as a percentage of total revenue will decline over time.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Other income (expense), net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32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32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Change</w:t>
            </w:r>
          </w:p>
        </w:tc>
        <w:tc>
          <w:tcPr>
            <w:tcW w:w="1120" w:type="dxa"/>
            <w:vAlign w:val="bottom"/>
            <w:tcBorders>
              <w:bottom w:val="single" w:sz="8" w:color="auto"/>
            </w:tcBorders>
          </w:tcPr>
          <w:p>
            <w:pPr>
              <w:spacing w:after="0"/>
              <w:rPr>
                <w:sz w:val="21"/>
                <w:szCs w:val="2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1,116</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5,939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123.1 %</w:t>
            </w: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9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income (expense), net increased for the three months ended as of June 30, 2022 as compared to 2021 primarily due to a $3.4 million decrease in debt amortization costs as a result of adoption of ASU 2020-06 and $2.8 million related to foreign currency gains year over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10"/>
        </w:trPr>
        <w:tc>
          <w:tcPr>
            <w:tcW w:w="208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3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1"/>
        </w:trPr>
        <w:tc>
          <w:tcPr>
            <w:tcW w:w="20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1"/>
                <w:szCs w:val="21"/>
                <w:color w:val="auto"/>
              </w:rPr>
            </w:pPr>
          </w:p>
        </w:tc>
      </w:tr>
      <w:tr>
        <w:trPr>
          <w:trHeight w:val="20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149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58.2 %</w:t>
            </w:r>
          </w:p>
        </w:tc>
      </w:tr>
      <w:tr>
        <w:trPr>
          <w:trHeight w:val="215"/>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0.2 %</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1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There was no material change to our provision for income taxes for the three months ended June 30, 2022, and no material changes are currently anticipated for the remainder of fiscal year 2023.</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June 30, 2022, we had $143.0 million of cash and cash equivalents and investments, including $1.4 million in restricted cash in support of letters of credit securing leases for office facilities and certain equipment.</w:t>
      </w:r>
    </w:p>
    <w:p>
      <w:pPr>
        <w:spacing w:after="0" w:line="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believe that our existing cash, cash equivalents and investment balances and our anticipated cash flows from operations will be sufficient to meet our working capital, expenditure, and contractual obligation requirements for the next 12 months and the foreseeable future, although we expect to refinance our $500 million of convertible senior notes prior to maturity on February 1, 2024. Although we believe we have adequate sources of liquidity for the next 12 months and the foreseeable future, subject to such refinancing, the success of our operations, the global economic outlook, and the pace of sustainable growth in our markets,as well as uncertainty as a result of the COVID-19 pandemic and Russia's invasion of Ukraine, among other factors, could impact our business and liquidity.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Period-over-Period Changes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for the three months ended June 30, 2022 was $5.8 million, as compared to $4.0 million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2021. Cash used in or provided by operating activities is primarily affected by:</w:t>
      </w:r>
    </w:p>
    <w:p>
      <w:pPr>
        <w:spacing w:after="0" w:line="138"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net income or loss;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non-cash expense items, such as depreciation, amortization, and impairments;</w:t>
      </w:r>
    </w:p>
    <w:p>
      <w:pPr>
        <w:spacing w:after="0" w:line="15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non-cash expense associated with stock options and stock-based compensation and awards; and</w:t>
      </w:r>
    </w:p>
    <w:p>
      <w:pPr>
        <w:spacing w:after="0" w:line="15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working capital accounts, particularly related to the timing of collections from receivables and payments of obligations, such as commissions.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For the three months ended June 30, 2022, net cash provided in operating activities was a result of an adjustment to net loss of $56.3 million in non-cash charges, such as stock-based compensation expense of $27.8 million, depreciation and amortization expenses of $14.2 million, amortization of deferred sales commission costs of $9.2 million, and operating lease expenses of $3.1 million. These adjustments for non-cash charges were partially offset by $24.4 million of working capital adjustments driven by $13.8 million in accounts payable and accruals, and $9.2 million in deferred sales commission costs.</w:t>
      </w:r>
    </w:p>
    <w:p>
      <w:pPr>
        <w:spacing w:after="0" w:line="1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cash used in investing activities was $5.8 million for the three months ended June 30, 2022, as compared to $11.1 million in the three months ended June 30, 2021. The cash used in investing activities during the three months ended June 30, 2022 primarily related to $2.3 million of internally developed software capitalization, $1.3 million of investments purchased, net of proceeds from sales and maturities of investments, and $1.3 million payout of the cash holdback related to the Fuze, Inc. acquisition.</w:t>
      </w:r>
    </w:p>
    <w:p>
      <w:pPr>
        <w:spacing w:after="0" w:line="10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was $0.1 million for the three months ended June 30, 2022, as compared to $3.4 million for the three months ended June 30, 2021. The cash provided by financing activities for the three months ended June 30, 2022 was due to the issuance of common stock of $0.1 million from employee stock purchase plans and employee option exercises.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3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consolidated financial statements are prepared in accordance with U.S. GAAP. Refer to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and Significant Accounting Policies</w:t>
      </w:r>
      <w:r>
        <w:rPr>
          <w:rFonts w:ascii="Arial" w:cs="Arial" w:eastAsia="Arial" w:hAnsi="Arial"/>
          <w:sz w:val="16"/>
          <w:szCs w:val="16"/>
          <w:color w:val="auto"/>
        </w:rPr>
        <w:t xml:space="preserve">, in the Notes to Consolidated Financial Statements included in this Quarterly Report, which describes the significant accounting policies and methods used in the preparation of our consolidated financial statements. Other than the adoption of ASU 2020-06 as discussed in Note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in the Notes to the Condensed Consolidated Financial Statements included in this Quarterly Report, there have been no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during the three months ended June 30, 2022 to our critical accounting policies and estimates previously disclosed in the Form 10-K.</w:t>
      </w:r>
    </w:p>
    <w:p>
      <w:pPr>
        <w:spacing w:after="0" w:line="105" w:lineRule="exact"/>
        <w:rPr>
          <w:sz w:val="20"/>
          <w:szCs w:val="20"/>
          <w:color w:val="auto"/>
        </w:rPr>
      </w:pPr>
    </w:p>
    <w:p>
      <w:pPr>
        <w:ind w:right="4940"/>
        <w:spacing w:after="0" w:line="44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Fluctuation Risk</w:t>
      </w:r>
    </w:p>
    <w:p>
      <w:pPr>
        <w:jc w:val="both"/>
        <w:spacing w:after="0" w:line="261" w:lineRule="auto"/>
        <w:rPr>
          <w:sz w:val="20"/>
          <w:szCs w:val="20"/>
          <w:color w:val="auto"/>
        </w:rPr>
      </w:pPr>
      <w:r>
        <w:rPr>
          <w:rFonts w:ascii="Arial" w:cs="Arial" w:eastAsia="Arial" w:hAnsi="Arial"/>
          <w:sz w:val="16"/>
          <w:szCs w:val="16"/>
          <w:color w:val="auto"/>
        </w:rPr>
        <w:t>We had cash, cash equivalents, and investments totaling $143.0 million as of June 30, 2022. Cash equivalents and investments were invested primarily in money market funds, United States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United States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1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June 30, 2022, the Company has issued $500.0 million aggregate principal amount of convertible senior notes. The fair value of the convertible senior notes is subject to interest rate risk, market risk, and other factors due to the conversion feature. The fair value of the convertible senior notes will generally increase as the Company's common stock price increases and will generally decrease as its common stock price declines. The interest and market value changes affect the fair value of the convertible senior notes but do not impact our financial position, cash flows, or results 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foreign currency risks related to our revenue and operating expenses denominated in currencies other than the United States dollar, primarily the British Pound and Euro, causing both our revenue and our operating results to be impacted by fluctuations in the exchange rates.</w:t>
      </w:r>
    </w:p>
    <w:p>
      <w:pPr>
        <w:spacing w:after="0" w:line="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Gains or losses from the revaluation of certain cash balances, accounts receivable balances and intercompany balances that are denominated in these currencies impact our net income (loss). A hypothetical decrease in all foreign currencies against the United States dollar of 10% would not result in a material foreign currency loss on foreign-denominated balances as of June 30, 2022. As our foreign operations expand, our results may be more impacted by fluctuations in the exchange rates of the currencies in which we do business.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At this time, we do not, but we may in the future, enter into financial instruments to hedge our foreign currency exchange risk.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Exchange Act, as of June 30, 2022. As permitted by SEC guidance for newly acquired businesses, this evaluation did not include an assessment of those disclosure controls and procedures that are subsumed by and did not include an assessment of internal control over financial reporting as it relates to Fuze, Inc., which was acquired on January 18, 2022. The Company has excluded Fuze from its assessment of the effectiveness of its internal control over financial reporting as of June 30, 2022. Based on such evaluation, our Chief Executive Officer and Chief Financial Officer have concluded that, as of June 30, 2022, our disclosure controls and procedures were effective at the reasonable assurance level.</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June 30, 2022, there was no change in our internal control over financial reporting that has materially affected, or is reasonably likely to materially affect, our internal control over financial reporting.</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Information with respect to this item may be found in Note 6,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under the heading “Legal Proceedings” in the Notes to Unaudited Condensed Consolidated Financial Statements included in this Quarterly Report is incorporated by reference in response to this item.</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which are incorporated by reference in this Quarterly Report. Additional risks and uncertainties not presently known to us or that we currently deem immaterial may also affect our operations.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reduction in spending may not achieve the desired result or may result in a reduction in revenue.</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increased emphasis on profitability and cash flow generation may not be successful. We intend to reduce our total costs as a percentage of revenue, primarily impacting our sales and marketing expenses. There can be no assurances that our cost reduction initiatives will result in the cost savings that we anticipate as percentage of our revenue and will not have unintended or unforeseen consequences, including a reduction in revenue.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None.</w:t>
      </w:r>
    </w:p>
    <w:p>
      <w:pPr>
        <w:spacing w:after="0" w:line="126"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(c) None.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0139"/>
          </w:cols>
          <w:pgMar w:left="320" w:top="125" w:right="1440" w:bottom="2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231"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80" w:type="dxa"/>
            <w:vAlign w:val="bottom"/>
            <w:gridSpan w:val="11"/>
          </w:tcPr>
          <w:p>
            <w:pPr>
              <w:spacing w:after="0"/>
              <w:rPr>
                <w:sz w:val="20"/>
                <w:szCs w:val="20"/>
                <w:color w:val="auto"/>
              </w:rPr>
            </w:pPr>
            <w:r>
              <w:rPr>
                <w:rFonts w:ascii="Arial" w:cs="Arial" w:eastAsia="Arial" w:hAnsi="Arial"/>
                <w:sz w:val="16"/>
                <w:szCs w:val="16"/>
                <w:b w:val="1"/>
                <w:bCs w:val="1"/>
                <w:color w:val="auto"/>
              </w:rPr>
              <w:t>ITEM 6. EXHIBITS</w:t>
            </w: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2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Incorporated by Reference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1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Exhibit</w:t>
            </w:r>
          </w:p>
        </w:tc>
        <w:tc>
          <w:tcPr>
            <w:tcW w:w="180" w:type="dxa"/>
            <w:vAlign w:val="bottom"/>
          </w:tcPr>
          <w:p>
            <w:pPr>
              <w:spacing w:after="0"/>
              <w:rPr>
                <w:sz w:val="13"/>
                <w:szCs w:val="13"/>
                <w:color w:val="auto"/>
              </w:rPr>
            </w:pPr>
          </w:p>
        </w:tc>
        <w:tc>
          <w:tcPr>
            <w:tcW w:w="5560" w:type="dxa"/>
            <w:vAlign w:val="bottom"/>
            <w:gridSpan w:val="9"/>
            <w:vMerge w:val="restart"/>
          </w:tcPr>
          <w:p>
            <w:pPr>
              <w:ind w:left="1940"/>
              <w:spacing w:after="0"/>
              <w:rPr>
                <w:sz w:val="20"/>
                <w:szCs w:val="20"/>
                <w:color w:val="auto"/>
              </w:rPr>
            </w:pPr>
            <w:r>
              <w:rPr>
                <w:rFonts w:ascii="Arial" w:cs="Arial" w:eastAsia="Arial" w:hAnsi="Arial"/>
                <w:sz w:val="16"/>
                <w:szCs w:val="16"/>
                <w:b w:val="1"/>
                <w:bCs w:val="1"/>
                <w:color w:val="auto"/>
              </w:rPr>
              <w:t>Exhibit Description</w:t>
            </w:r>
          </w:p>
        </w:tc>
        <w:tc>
          <w:tcPr>
            <w:tcW w:w="10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Company</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Filing Date</w:t>
            </w:r>
          </w:p>
        </w:tc>
        <w:tc>
          <w:tcPr>
            <w:tcW w:w="10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Exhibit</w:t>
            </w:r>
          </w:p>
        </w:tc>
        <w:tc>
          <w:tcPr>
            <w:tcW w:w="860" w:type="dxa"/>
            <w:vAlign w:val="bottom"/>
          </w:tcPr>
          <w:p>
            <w:pPr>
              <w:jc w:val="center"/>
              <w:ind w:left="99"/>
              <w:spacing w:after="0" w:line="155" w:lineRule="exact"/>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8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gridSpan w:val="9"/>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1180" w:type="dxa"/>
            <w:vAlign w:val="bottom"/>
            <w:vMerge w:val="continue"/>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860" w:type="dxa"/>
            <w:vAlign w:val="bottom"/>
          </w:tcPr>
          <w:p>
            <w:pPr>
              <w:jc w:val="center"/>
              <w:ind w:left="99"/>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69"/>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5740" w:type="dxa"/>
            <w:vAlign w:val="bottom"/>
            <w:gridSpan w:val="10"/>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Certificate of Amendment to the Restated Certificate of Incorporation of</w:t>
              </w:r>
            </w:hyperlink>
          </w:p>
        </w:tc>
        <w:tc>
          <w:tcPr>
            <w:tcW w:w="1060" w:type="dxa"/>
            <w:vAlign w:val="bottom"/>
            <w:vMerge w:val="restart"/>
          </w:tcPr>
          <w:p>
            <w:pPr>
              <w:jc w:val="center"/>
              <w:spacing w:after="0"/>
              <w:rPr>
                <w:sz w:val="20"/>
                <w:szCs w:val="20"/>
                <w:color w:val="auto"/>
              </w:rPr>
            </w:pPr>
            <w:r>
              <w:rPr>
                <w:rFonts w:ascii="Arial" w:cs="Arial" w:eastAsia="Arial" w:hAnsi="Arial"/>
                <w:sz w:val="16"/>
                <w:szCs w:val="16"/>
                <w:color w:val="auto"/>
              </w:rPr>
              <w:t>8-K</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rPr>
              <w:t>7/13/2022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8"/>
              </w:rPr>
              <w:t>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22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Registrant, dated July 12, 2022</w:t>
              </w:r>
            </w:hyperlink>
          </w:p>
        </w:tc>
        <w:tc>
          <w:tcPr>
            <w:tcW w:w="2840" w:type="dxa"/>
            <w:vAlign w:val="bottom"/>
            <w:tcBorders>
              <w:top w:val="single" w:sz="8" w:color="0000FF"/>
            </w:tcBorders>
            <w:gridSpan w:val="2"/>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3.2</w:t>
            </w:r>
          </w:p>
        </w:tc>
        <w:tc>
          <w:tcPr>
            <w:tcW w:w="3200" w:type="dxa"/>
            <w:vAlign w:val="bottom"/>
            <w:tcBorders>
              <w:bottom w:val="single" w:sz="8" w:color="0000FF"/>
            </w:tcBorders>
            <w:gridSpan w:val="3"/>
          </w:tcPr>
          <w:p>
            <w:pPr>
              <w:spacing w:after="0"/>
              <w:rPr>
                <w:rFonts w:ascii="Arial" w:cs="Arial" w:eastAsia="Arial" w:hAnsi="Arial"/>
                <w:sz w:val="16"/>
                <w:szCs w:val="16"/>
                <w:color w:val="0000FF"/>
              </w:rPr>
            </w:pPr>
            <w:hyperlink r:id="rId55">
              <w:r>
                <w:rPr>
                  <w:rFonts w:ascii="Arial" w:cs="Arial" w:eastAsia="Arial" w:hAnsi="Arial"/>
                  <w:sz w:val="16"/>
                  <w:szCs w:val="16"/>
                  <w:color w:val="0000FF"/>
                </w:rPr>
                <w:t>Amended and Restated By-Laws of 8x8, Inc.</w:t>
              </w:r>
            </w:hyperlink>
          </w:p>
        </w:tc>
        <w:tc>
          <w:tcPr>
            <w:tcW w:w="2540" w:type="dxa"/>
            <w:vAlign w:val="bottom"/>
            <w:gridSpan w:val="7"/>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rPr>
              <w:t>7/28/2015</w:t>
            </w: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5740" w:type="dxa"/>
            <w:vAlign w:val="bottom"/>
            <w:gridSpan w:val="10"/>
          </w:tcPr>
          <w:p>
            <w:pPr>
              <w:spacing w:after="0"/>
              <w:rPr>
                <w:sz w:val="20"/>
                <w:szCs w:val="20"/>
                <w:color w:val="auto"/>
              </w:rPr>
            </w:pPr>
            <w:r>
              <w:rPr>
                <w:rFonts w:ascii="Arial" w:cs="Arial" w:eastAsia="Arial" w:hAnsi="Arial"/>
                <w:sz w:val="16"/>
                <w:szCs w:val="16"/>
                <w:color w:val="0000FF"/>
              </w:rPr>
              <w:t>Certification of Chief Executive Officer of the Registrant pursuant to Rule 13a-</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18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89"/>
              </w:rPr>
              <w:t>14</w:t>
            </w:r>
          </w:p>
        </w:tc>
        <w:tc>
          <w:tcPr>
            <w:tcW w:w="206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8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rPr>
                <w:sz w:val="20"/>
                <w:szCs w:val="20"/>
                <w:color w:val="auto"/>
              </w:rPr>
            </w:pPr>
            <w:r>
              <w:rPr>
                <w:rFonts w:ascii="Arial" w:cs="Arial" w:eastAsia="Arial" w:hAnsi="Arial"/>
                <w:sz w:val="16"/>
                <w:szCs w:val="16"/>
                <w:color w:val="auto"/>
              </w:rPr>
              <w:t>31.2</w:t>
            </w:r>
          </w:p>
        </w:tc>
        <w:tc>
          <w:tcPr>
            <w:tcW w:w="5740" w:type="dxa"/>
            <w:vAlign w:val="bottom"/>
            <w:gridSpan w:val="10"/>
          </w:tcPr>
          <w:p>
            <w:pPr>
              <w:spacing w:after="0"/>
              <w:rPr>
                <w:sz w:val="20"/>
                <w:szCs w:val="20"/>
                <w:color w:val="auto"/>
              </w:rPr>
            </w:pPr>
            <w:r>
              <w:rPr>
                <w:rFonts w:ascii="Arial" w:cs="Arial" w:eastAsia="Arial" w:hAnsi="Arial"/>
                <w:sz w:val="16"/>
                <w:szCs w:val="16"/>
                <w:color w:val="0000FF"/>
              </w:rPr>
              <w:t>Certification of Chief Financial Officer of the Registrant pursuant to Rule 13a-14</w:t>
            </w: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32.1</w:t>
            </w:r>
          </w:p>
        </w:tc>
        <w:tc>
          <w:tcPr>
            <w:tcW w:w="568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Certification of Chief Executive Officer of the Registrant pursuant to 18 U.S.C.</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556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1350, as adopted pursuant to Section 906 of the Sarbanes-Oxley Act of 2002</w:t>
            </w:r>
          </w:p>
        </w:tc>
        <w:tc>
          <w:tcPr>
            <w:tcW w:w="180" w:type="dxa"/>
            <w:vAlign w:val="bottom"/>
            <w:gridSpan w:val="3"/>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32.2</w:t>
            </w:r>
          </w:p>
        </w:tc>
        <w:tc>
          <w:tcPr>
            <w:tcW w:w="552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Certification of Chief Financial Officer of the Registrant pursuant to 18 U.S.C.</w:t>
            </w:r>
          </w:p>
        </w:tc>
        <w:tc>
          <w:tcPr>
            <w:tcW w:w="220" w:type="dxa"/>
            <w:vAlign w:val="bottom"/>
            <w:gridSpan w:val="4"/>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42"/>
        </w:trPr>
        <w:tc>
          <w:tcPr>
            <w:tcW w:w="1140" w:type="dxa"/>
            <w:vAlign w:val="bottom"/>
            <w:vMerge w:val="continue"/>
          </w:tcPr>
          <w:p>
            <w:pPr>
              <w:spacing w:after="0"/>
              <w:rPr>
                <w:sz w:val="12"/>
                <w:szCs w:val="12"/>
                <w:color w:val="auto"/>
              </w:rPr>
            </w:pPr>
          </w:p>
        </w:tc>
        <w:tc>
          <w:tcPr>
            <w:tcW w:w="550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1350, as adopted pursuant to Section 906 of the Sarbanes-Oxley Act of 2002</w:t>
            </w:r>
          </w:p>
        </w:tc>
        <w:tc>
          <w:tcPr>
            <w:tcW w:w="20" w:type="dxa"/>
            <w:vAlign w:val="bottom"/>
            <w:tcBorders>
              <w:bottom w:val="single" w:sz="8" w:color="0000FF"/>
            </w:tcBorders>
          </w:tcPr>
          <w:p>
            <w:pPr>
              <w:spacing w:after="0"/>
              <w:rPr>
                <w:sz w:val="12"/>
                <w:szCs w:val="12"/>
                <w:color w:val="auto"/>
              </w:rPr>
            </w:pPr>
          </w:p>
        </w:tc>
        <w:tc>
          <w:tcPr>
            <w:tcW w:w="220" w:type="dxa"/>
            <w:vAlign w:val="bottom"/>
            <w:gridSpan w:val="4"/>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740" w:type="dxa"/>
            <w:vAlign w:val="bottom"/>
            <w:gridSpan w:val="10"/>
          </w:tcPr>
          <w:p>
            <w:pPr>
              <w:spacing w:after="0" w:line="183" w:lineRule="exact"/>
              <w:rPr>
                <w:sz w:val="20"/>
                <w:szCs w:val="20"/>
                <w:color w:val="auto"/>
              </w:rPr>
            </w:pPr>
            <w:r>
              <w:rPr>
                <w:rFonts w:ascii="Arial" w:cs="Arial" w:eastAsia="Arial" w:hAnsi="Arial"/>
                <w:sz w:val="16"/>
                <w:szCs w:val="16"/>
                <w:color w:val="auto"/>
              </w:rPr>
              <w:t>The following materials from 8x8, Inc.'s Quarterly Report on Form 10-Q for the</w:t>
            </w: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three months ended June 30, 2022, formatted in Inline XBRL: (i) Consolidated</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Balance Sheets, (ii) Consolidated Statements of Operations for the three</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months ended June 30, 2022 and 2021, (iii) Consolidated Statements of</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Comprehensive Loss for the three months ended June 30, 2022 and 2021, (iv)</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Consolidated Statements of Stockholders’ Equity for the three months ended</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June 30, 2022 and 2021, (v) Consolidated Statements of Cash Flows for the</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three months ended June 30, 2022 and 2021 and (vi) Notes to Consolidated</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vMerge w:val="restart"/>
          </w:tcPr>
          <w:p>
            <w:pPr>
              <w:jc w:val="center"/>
              <w:spacing w:after="0"/>
              <w:rPr>
                <w:sz w:val="20"/>
                <w:szCs w:val="20"/>
                <w:color w:val="auto"/>
              </w:rPr>
            </w:pPr>
            <w:r>
              <w:rPr>
                <w:rFonts w:ascii="Arial" w:cs="Arial" w:eastAsia="Arial" w:hAnsi="Arial"/>
                <w:sz w:val="16"/>
                <w:szCs w:val="16"/>
                <w:color w:val="auto"/>
              </w:rPr>
              <w:t>101</w:t>
            </w:r>
          </w:p>
        </w:tc>
        <w:tc>
          <w:tcPr>
            <w:tcW w:w="5740" w:type="dxa"/>
            <w:vAlign w:val="bottom"/>
            <w:gridSpan w:val="10"/>
          </w:tcPr>
          <w:p>
            <w:pPr>
              <w:spacing w:after="0" w:line="162" w:lineRule="exact"/>
              <w:rPr>
                <w:sz w:val="20"/>
                <w:szCs w:val="20"/>
                <w:color w:val="auto"/>
              </w:rPr>
            </w:pPr>
            <w:r>
              <w:rPr>
                <w:rFonts w:ascii="Arial" w:cs="Arial" w:eastAsia="Arial" w:hAnsi="Arial"/>
                <w:sz w:val="16"/>
                <w:szCs w:val="16"/>
                <w:color w:val="auto"/>
              </w:rPr>
              <w:t>Financial Statements, tagged as blocks of text and including detailed tags</w:t>
            </w: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vMerge w:val="restart"/>
          </w:tcPr>
          <w:p>
            <w:pPr>
              <w:jc w:val="center"/>
              <w:ind w:left="9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740" w:type="dxa"/>
            <w:vAlign w:val="bottom"/>
            <w:gridSpan w:val="10"/>
          </w:tcPr>
          <w:p>
            <w:pPr>
              <w:spacing w:after="0"/>
              <w:rPr>
                <w:sz w:val="20"/>
                <w:szCs w:val="20"/>
                <w:color w:val="auto"/>
              </w:rPr>
            </w:pPr>
            <w:r>
              <w:rPr>
                <w:rFonts w:ascii="Arial" w:cs="Arial" w:eastAsia="Arial" w:hAnsi="Arial"/>
                <w:sz w:val="16"/>
                <w:szCs w:val="16"/>
                <w:color w:val="auto"/>
              </w:rPr>
              <w:t>XBRL Instance Document</w:t>
            </w: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July 29, 2022.</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8x8, Inc.</w:t>
      </w:r>
    </w:p>
    <w:p>
      <w:pPr>
        <w:spacing w:after="0" w:line="289"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By: /s/ SUZY SEANDEL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20955</wp:posOffset>
            </wp:positionV>
            <wp:extent cx="43802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26"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Suzy Seandel</w:t>
      </w:r>
    </w:p>
    <w:p>
      <w:pPr>
        <w:spacing w:after="0" w:line="34" w:lineRule="exact"/>
        <w:rPr>
          <w:sz w:val="20"/>
          <w:szCs w:val="20"/>
          <w:color w:val="auto"/>
        </w:rPr>
      </w:pPr>
    </w:p>
    <w:p>
      <w:pPr>
        <w:ind w:left="4580"/>
        <w:spacing w:after="0"/>
        <w:rPr>
          <w:sz w:val="20"/>
          <w:szCs w:val="20"/>
          <w:color w:val="auto"/>
        </w:rPr>
      </w:pPr>
      <w:r>
        <w:rPr>
          <w:rFonts w:ascii="Arial" w:cs="Arial" w:eastAsia="Arial" w:hAnsi="Arial"/>
          <w:sz w:val="16"/>
          <w:szCs w:val="16"/>
          <w:i w:val="1"/>
          <w:iCs w:val="1"/>
          <w:color w:val="auto"/>
        </w:rPr>
        <w:t>(Principal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color w:val="auto"/>
        </w:rPr>
        <w:t>Exhibit 31.1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David Sipes, certify that:</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right="120" w:hanging="328"/>
        <w:spacing w:after="0" w:line="26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right="240" w:hanging="328"/>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60" w:right="240" w:hanging="328"/>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ind w:left="1300" w:right="240" w:hanging="320"/>
        <w:spacing w:after="0" w:line="275"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ind w:left="1300" w:right="160" w:hanging="320"/>
        <w:spacing w:after="0" w:line="266"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jc w:val="both"/>
        <w:ind w:left="1300" w:right="220" w:hanging="320"/>
        <w:spacing w:after="0" w:line="304" w:lineRule="auto"/>
        <w:tabs>
          <w:tab w:leader="none" w:pos="12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ind w:left="1300" w:right="20" w:hanging="320"/>
        <w:spacing w:after="0" w:line="275"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right="180" w:hanging="328"/>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right="640" w:hanging="320"/>
        <w:spacing w:after="0" w:line="304"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right="280" w:hanging="320"/>
        <w:spacing w:after="0" w:line="286"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July 29,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David Sipes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David Sipes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240"/>
          </w:cols>
          <w:pgMar w:left="320" w:top="104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color w:val="auto"/>
        </w:rPr>
        <w:t>Exhibit 31.2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RULES 13a-14(a) AND 15d-14(a) UNDER THE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302 OF THE SARBANES-OXLEY ACT OF 2002</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 Samuel Wilson, certify that:</w:t>
      </w:r>
    </w:p>
    <w:p>
      <w:pPr>
        <w:spacing w:after="0" w:line="1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8x8, Inc.;</w:t>
      </w:r>
    </w:p>
    <w:p>
      <w:pPr>
        <w:spacing w:after="0" w:line="153" w:lineRule="exact"/>
        <w:rPr>
          <w:rFonts w:ascii="Arial" w:cs="Arial" w:eastAsia="Arial" w:hAnsi="Arial"/>
          <w:sz w:val="16"/>
          <w:szCs w:val="16"/>
          <w:color w:val="auto"/>
        </w:rPr>
      </w:pPr>
    </w:p>
    <w:p>
      <w:pPr>
        <w:jc w:val="both"/>
        <w:ind w:left="660" w:right="120" w:hanging="328"/>
        <w:spacing w:after="0" w:line="26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6"/>
          <w:szCs w:val="16"/>
          <w:color w:val="auto"/>
        </w:rPr>
      </w:pPr>
    </w:p>
    <w:p>
      <w:pPr>
        <w:ind w:left="660" w:right="240" w:hanging="328"/>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Arial" w:cs="Arial" w:eastAsia="Arial" w:hAnsi="Arial"/>
          <w:sz w:val="16"/>
          <w:szCs w:val="16"/>
          <w:color w:val="auto"/>
        </w:rPr>
      </w:pPr>
    </w:p>
    <w:p>
      <w:pPr>
        <w:ind w:left="660" w:right="240" w:hanging="328"/>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6"/>
          <w:szCs w:val="16"/>
          <w:color w:val="auto"/>
        </w:rPr>
      </w:pPr>
    </w:p>
    <w:p>
      <w:pPr>
        <w:ind w:left="1300" w:right="240" w:hanging="320"/>
        <w:spacing w:after="0" w:line="275"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6"/>
          <w:szCs w:val="16"/>
          <w:color w:val="auto"/>
        </w:rPr>
      </w:pPr>
    </w:p>
    <w:p>
      <w:pPr>
        <w:ind w:left="1300" w:right="160" w:hanging="320"/>
        <w:spacing w:after="0" w:line="266"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6"/>
          <w:szCs w:val="16"/>
          <w:color w:val="auto"/>
        </w:rPr>
      </w:pPr>
    </w:p>
    <w:p>
      <w:pPr>
        <w:jc w:val="both"/>
        <w:ind w:left="1300" w:right="220" w:hanging="320"/>
        <w:spacing w:after="0" w:line="304" w:lineRule="auto"/>
        <w:tabs>
          <w:tab w:leader="none" w:pos="129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ind w:left="1300" w:right="20" w:hanging="320"/>
        <w:spacing w:after="0" w:line="275"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6"/>
          <w:szCs w:val="16"/>
          <w:color w:val="auto"/>
        </w:rPr>
      </w:pPr>
    </w:p>
    <w:p>
      <w:pPr>
        <w:ind w:left="660" w:right="180" w:hanging="328"/>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6"/>
          <w:szCs w:val="16"/>
          <w:color w:val="auto"/>
        </w:rPr>
      </w:pPr>
    </w:p>
    <w:p>
      <w:pPr>
        <w:ind w:left="1300" w:right="640" w:hanging="320"/>
        <w:spacing w:after="0" w:line="304"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6"/>
          <w:szCs w:val="16"/>
          <w:color w:val="auto"/>
        </w:rPr>
      </w:pPr>
    </w:p>
    <w:p>
      <w:pPr>
        <w:ind w:left="1300" w:right="280" w:hanging="320"/>
        <w:spacing w:after="0" w:line="286"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July 29,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240"/>
          </w:cols>
          <w:pgMar w:left="320" w:top="104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color w:val="auto"/>
        </w:rPr>
        <w:t>Exhibit 32.1</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June 30, 2022, as filed with the Securities and Exchange Commission on the date hereof (the "Report"), I, David Sipes, Chief Executive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David Sipes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David Sipes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July 29, 2022</w:t>
      </w:r>
    </w:p>
    <w:p>
      <w:pPr>
        <w:spacing w:after="0" w:line="15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104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color w:val="auto"/>
        </w:rPr>
        <w:t>Exhibit 32.2</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CERTIFICATION PURSUANT TO</w:t>
      </w:r>
    </w:p>
    <w:p>
      <w:pPr>
        <w:spacing w:after="0" w:line="154"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18 U.S. 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14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In connection with the Quarterly Report on Form 10-Q of 8x8, Inc. (the "Company") for the period ended June 30, 2022,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10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Samuel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Samuel Wilson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July 29, 2022</w:t>
      </w:r>
    </w:p>
    <w:p>
      <w:pPr>
        <w:spacing w:after="0" w:line="154"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4" Type="http://schemas.openxmlformats.org/officeDocument/2006/relationships/hyperlink" Target="https://www.sec.gov/Archives/edgar/data/1023731/000102373122000124/exhibit31certificateofamen.htm" TargetMode="External"/><Relationship Id="rId55" Type="http://schemas.openxmlformats.org/officeDocument/2006/relationships/hyperlink" Target="http://www.sec.gov/Archives/edgar/data/1023731/000113626115000219/exh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2022-08-01T05:25:21Z</dcterms:created>
  <dcterms:modified xsi:type="dcterms:W3CDTF">2022-08-01T05:25:21Z</dcterms:modified>
</cp:coreProperties>
</file>