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791845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FORM10-Q</w:t>
      </w:r>
    </w:p>
    <w:p>
      <w:pPr>
        <w:spacing w:after="0" w:line="377" w:lineRule="exact"/>
        <w:rPr>
          <w:sz w:val="24"/>
          <w:szCs w:val="24"/>
          <w:color w:val="auto"/>
        </w:rPr>
      </w:pPr>
    </w:p>
    <w:p>
      <w:pPr>
        <w:ind w:left="3680" w:right="2720" w:hanging="3672"/>
        <w:spacing w:after="0" w:line="438" w:lineRule="auto"/>
        <w:tabs>
          <w:tab w:leader="none" w:pos="22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2021</w:t>
      </w:r>
    </w:p>
    <w:p>
      <w:pPr>
        <w:spacing w:after="0" w:line="238" w:lineRule="exact"/>
        <w:rPr>
          <w:sz w:val="24"/>
          <w:szCs w:val="24"/>
          <w:color w:val="auto"/>
        </w:rPr>
      </w:pPr>
    </w:p>
    <w:p>
      <w:pPr>
        <w:ind w:left="3600" w:right="2720" w:hanging="3592"/>
        <w:spacing w:after="0" w:line="391" w:lineRule="auto"/>
        <w:tabs>
          <w:tab w:leader="none" w:pos="21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48895</wp:posOffset>
            </wp:positionV>
            <wp:extent cx="145732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Delaware</w:t>
            </w:r>
          </w:p>
        </w:tc>
        <w:tc>
          <w:tcPr>
            <w:tcW w:w="2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77-0142404</w:t>
            </w:r>
          </w:p>
        </w:tc>
        <w:tc>
          <w:tcPr>
            <w:tcW w:w="960" w:type="dxa"/>
            <w:vAlign w:val="bottom"/>
          </w:tcPr>
          <w:p>
            <w:pPr>
              <w:spacing w:after="0"/>
              <w:rPr>
                <w:sz w:val="16"/>
                <w:szCs w:val="16"/>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840" w:type="dxa"/>
            <w:vAlign w:val="bottom"/>
            <w:gridSpan w:val="3"/>
          </w:tcPr>
          <w:p>
            <w:pPr>
              <w:jc w:val="center"/>
              <w:ind w:left="939"/>
              <w:spacing w:after="0"/>
              <w:rPr>
                <w:sz w:val="20"/>
                <w:szCs w:val="20"/>
                <w:color w:val="auto"/>
              </w:rPr>
            </w:pPr>
            <w:r>
              <w:rPr>
                <w:rFonts w:ascii="Arial" w:cs="Arial" w:eastAsia="Arial" w:hAnsi="Arial"/>
                <w:sz w:val="16"/>
                <w:szCs w:val="16"/>
                <w:color w:val="auto"/>
              </w:rPr>
              <w:t>(I.R.S. Employer Identification Number)</w:t>
            </w:r>
          </w:p>
        </w:tc>
      </w:tr>
    </w:tbl>
    <w:p>
      <w:pPr>
        <w:spacing w:after="0" w:line="1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9" w:lineRule="exact"/>
        <w:rPr>
          <w:sz w:val="24"/>
          <w:szCs w:val="24"/>
          <w:color w:val="auto"/>
        </w:rPr>
      </w:pPr>
    </w:p>
    <w:tbl>
      <w:tblPr>
        <w:tblLayout w:type="fixed"/>
        <w:tblInd w:w="30" w:type="dxa"/>
        <w:tblCellMar>
          <w:top w:w="0" w:type="dxa"/>
          <w:left w:w="0" w:type="dxa"/>
          <w:bottom w:w="0" w:type="dxa"/>
          <w:right w:w="0" w:type="dxa"/>
        </w:tblCellMar>
      </w:tblPr>
      <w:tr>
        <w:trPr>
          <w:trHeight w:val="229"/>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40" w:lineRule="exact"/>
        <w:rPr>
          <w:sz w:val="24"/>
          <w:szCs w:val="24"/>
          <w:color w:val="auto"/>
        </w:rPr>
      </w:pPr>
    </w:p>
    <w:p>
      <w:pPr>
        <w:ind w:right="200" w:firstLine="283"/>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96" w:lineRule="exact"/>
        <w:rPr>
          <w:sz w:val="24"/>
          <w:szCs w:val="24"/>
          <w:color w:val="auto"/>
        </w:rPr>
      </w:pPr>
    </w:p>
    <w:p>
      <w:pPr>
        <w:ind w:right="400" w:firstLine="283"/>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283"/>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88" w:lineRule="exact"/>
        <w:rPr>
          <w:sz w:val="24"/>
          <w:szCs w:val="24"/>
          <w:color w:val="auto"/>
        </w:rPr>
      </w:pPr>
    </w:p>
    <w:tbl>
      <w:tblPr>
        <w:tblLayout w:type="fixed"/>
        <w:tblInd w:w="800" w:type="dxa"/>
        <w:tblCellMar>
          <w:top w:w="0" w:type="dxa"/>
          <w:left w:w="0" w:type="dxa"/>
          <w:bottom w:w="0" w:type="dxa"/>
          <w:right w:w="0" w:type="dxa"/>
        </w:tblCellMar>
      </w:tblP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20" w:type="dxa"/>
            <w:vAlign w:val="bottom"/>
          </w:tcPr>
          <w:p>
            <w:pPr>
              <w:ind w:left="1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9" w:lineRule="exact"/>
        <w:rPr>
          <w:sz w:val="24"/>
          <w:szCs w:val="24"/>
          <w:color w:val="auto"/>
        </w:rPr>
      </w:pPr>
    </w:p>
    <w:p>
      <w:pPr>
        <w:ind w:right="20" w:firstLine="283"/>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right="2300"/>
        <w:spacing w:after="0" w:line="22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November 1, 2021 was 113,949,810.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jc w:val="center"/>
              <w:ind w:right="3960"/>
              <w:spacing w:after="0"/>
              <w:rPr>
                <w:sz w:val="20"/>
                <w:szCs w:val="20"/>
                <w:color w:val="auto"/>
              </w:rPr>
            </w:pPr>
            <w:r>
              <w:rPr>
                <w:rFonts w:ascii="Arial" w:cs="Arial" w:eastAsia="Arial" w:hAnsi="Arial"/>
                <w:sz w:val="16"/>
                <w:szCs w:val="16"/>
                <w:b w:val="1"/>
                <w:bCs w:val="1"/>
                <w:color w:val="auto"/>
              </w:rPr>
              <w:t>8X8, INC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60" w:type="dxa"/>
            <w:vAlign w:val="bottom"/>
            <w:gridSpan w:val="8"/>
          </w:tcPr>
          <w:p>
            <w:pPr>
              <w:jc w:val="center"/>
              <w:ind w:right="2540"/>
              <w:spacing w:after="0"/>
              <w:rPr>
                <w:sz w:val="20"/>
                <w:szCs w:val="20"/>
                <w:color w:val="auto"/>
              </w:rPr>
            </w:pPr>
            <w:r>
              <w:rPr>
                <w:rFonts w:ascii="Arial" w:cs="Arial" w:eastAsia="Arial" w:hAnsi="Arial"/>
                <w:sz w:val="16"/>
                <w:szCs w:val="16"/>
                <w:b w:val="1"/>
                <w:bCs w:val="1"/>
                <w:color w:val="auto"/>
              </w:rPr>
              <w:t>INDEX TO QUARTERLY REPORT ON FORM 10-Q</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60" w:type="dxa"/>
            <w:vAlign w:val="bottom"/>
            <w:gridSpan w:val="8"/>
          </w:tcPr>
          <w:p>
            <w:pPr>
              <w:jc w:val="center"/>
              <w:ind w:right="2540"/>
              <w:spacing w:after="0"/>
              <w:rPr>
                <w:sz w:val="20"/>
                <w:szCs w:val="20"/>
                <w:color w:val="auto"/>
              </w:rPr>
            </w:pPr>
            <w:r>
              <w:rPr>
                <w:rFonts w:ascii="Arial" w:cs="Arial" w:eastAsia="Arial" w:hAnsi="Arial"/>
                <w:sz w:val="16"/>
                <w:szCs w:val="16"/>
                <w:b w:val="1"/>
                <w:bCs w:val="1"/>
                <w:color w:val="auto"/>
              </w:rPr>
              <w:t>FOR THE QUARTER ENDED SEPTEMBER 30, 2021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Page</w:t>
            </w:r>
          </w:p>
        </w:tc>
      </w:tr>
      <w:tr>
        <w:trPr>
          <w:trHeight w:val="195"/>
        </w:trPr>
        <w:tc>
          <w:tcPr>
            <w:tcW w:w="20" w:type="dxa"/>
            <w:vAlign w:val="bottom"/>
          </w:tcPr>
          <w:p>
            <w:pPr>
              <w:spacing w:after="0"/>
              <w:rPr>
                <w:sz w:val="16"/>
                <w:szCs w:val="16"/>
                <w:color w:val="auto"/>
              </w:rPr>
            </w:pPr>
          </w:p>
        </w:tc>
        <w:tc>
          <w:tcPr>
            <w:tcW w:w="3600" w:type="dxa"/>
            <w:vAlign w:val="bottom"/>
            <w:tcBorders>
              <w:bottom w:val="single" w:sz="8" w:color="0000FF"/>
            </w:tcBorders>
            <w:gridSpan w:val="13"/>
          </w:tcPr>
          <w:p>
            <w:pPr>
              <w:spacing w:after="0" w:line="155" w:lineRule="exact"/>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Forward-Looking Statements and Risk Factors</w:t>
              </w:r>
            </w:hyperlink>
          </w:p>
        </w:tc>
        <w:tc>
          <w:tcPr>
            <w:tcW w:w="656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55" w:lineRule="exact"/>
              <w:rPr>
                <w:rFonts w:ascii="Arial" w:cs="Arial" w:eastAsia="Arial" w:hAnsi="Arial"/>
                <w:sz w:val="16"/>
                <w:szCs w:val="16"/>
                <w:color w:val="0000FF"/>
              </w:rPr>
            </w:pPr>
            <w:hyperlink w:anchor="page2">
              <w:r>
                <w:rPr>
                  <w:rFonts w:ascii="Arial" w:cs="Arial" w:eastAsia="Arial" w:hAnsi="Arial"/>
                  <w:sz w:val="16"/>
                  <w:szCs w:val="16"/>
                  <w:color w:val="0000FF"/>
                </w:rPr>
                <w:t>2</w:t>
              </w:r>
            </w:hyperlink>
          </w:p>
        </w:tc>
        <w:tc>
          <w:tcPr>
            <w:tcW w:w="48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0160" w:type="dxa"/>
            <w:vAlign w:val="bottom"/>
            <w:gridSpan w:val="21"/>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4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 Financial Statements (unaudited)</w:t>
              </w:r>
            </w:hyperlink>
            <w:r>
              <w:rPr>
                <w:rFonts w:ascii="Arial" w:cs="Arial" w:eastAsia="Arial" w:hAnsi="Arial"/>
                <w:sz w:val="16"/>
                <w:szCs w:val="16"/>
                <w:color w:val="000000"/>
              </w:rPr>
              <w:t>:</w:t>
            </w:r>
          </w:p>
        </w:tc>
        <w:tc>
          <w:tcPr>
            <w:tcW w:w="580" w:type="dxa"/>
            <w:vAlign w:val="bottom"/>
            <w:gridSpan w:val="2"/>
          </w:tcPr>
          <w:p>
            <w:pPr>
              <w:jc w:val="center"/>
              <w:ind w:left="39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6920" w:type="dxa"/>
            <w:vAlign w:val="bottom"/>
            <w:gridSpan w:val="9"/>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0000FF"/>
            </w:tcBorders>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w:t>
              </w:r>
            </w:hyperlink>
          </w:p>
        </w:tc>
        <w:tc>
          <w:tcPr>
            <w:tcW w:w="6220" w:type="dxa"/>
            <w:vAlign w:val="bottom"/>
            <w:gridSpan w:val="7"/>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Loss</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top w:val="single" w:sz="8" w:color="0000FF"/>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Stockholders' Equity</w:t>
              </w:r>
            </w:hyperlink>
          </w:p>
        </w:tc>
        <w:tc>
          <w:tcPr>
            <w:tcW w:w="5500" w:type="dxa"/>
            <w:vAlign w:val="bottom"/>
            <w:gridSpan w:val="4"/>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FF"/>
            </w:tcBorders>
          </w:tcPr>
          <w:p>
            <w:pPr>
              <w:jc w:val="center"/>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Cash Flows</w:t>
              </w:r>
            </w:hyperlink>
          </w:p>
        </w:tc>
        <w:tc>
          <w:tcPr>
            <w:tcW w:w="600" w:type="dxa"/>
            <w:vAlign w:val="bottom"/>
            <w:tcBorders>
              <w:top w:val="single" w:sz="8" w:color="0000FF"/>
            </w:tcBorders>
          </w:tcPr>
          <w:p>
            <w:pPr>
              <w:spacing w:after="0"/>
              <w:rPr>
                <w:sz w:val="19"/>
                <w:szCs w:val="19"/>
                <w:color w:val="auto"/>
              </w:rPr>
            </w:pPr>
          </w:p>
        </w:tc>
        <w:tc>
          <w:tcPr>
            <w:tcW w:w="55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Item 2. Management's Discussion and Analysis of Financial Condition and Results of Operations</w:t>
              </w:r>
            </w:hyperlink>
          </w:p>
        </w:tc>
        <w:tc>
          <w:tcPr>
            <w:tcW w:w="1060" w:type="dxa"/>
            <w:vAlign w:val="bottom"/>
            <w:gridSpan w:val="3"/>
          </w:tcPr>
          <w:p>
            <w:pPr>
              <w:jc w:val="center"/>
              <w:spacing w:after="0"/>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17"/>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3. Quantitative and Qualitative Disclosures About Market Risk</w:t>
              </w:r>
            </w:hyperlink>
          </w:p>
        </w:tc>
        <w:tc>
          <w:tcPr>
            <w:tcW w:w="2120" w:type="dxa"/>
            <w:vAlign w:val="bottom"/>
            <w:gridSpan w:val="2"/>
          </w:tcPr>
          <w:p>
            <w:pPr>
              <w:spacing w:after="0"/>
              <w:rPr>
                <w:sz w:val="19"/>
                <w:szCs w:val="19"/>
                <w:color w:val="auto"/>
              </w:rPr>
            </w:pPr>
          </w:p>
        </w:tc>
        <w:tc>
          <w:tcPr>
            <w:tcW w:w="3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7">
              <w:r>
                <w:rPr>
                  <w:rFonts w:ascii="Arial" w:cs="Arial" w:eastAsia="Arial" w:hAnsi="Arial"/>
                  <w:sz w:val="16"/>
                  <w:szCs w:val="16"/>
                  <w:color w:val="0000FF"/>
                  <w:w w:val="78"/>
                </w:rPr>
                <w:t>26</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17"/>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4. Controls and Procedures</w:t>
              </w:r>
            </w:hyperlink>
          </w:p>
        </w:tc>
        <w:tc>
          <w:tcPr>
            <w:tcW w:w="5260" w:type="dxa"/>
            <w:vAlign w:val="bottom"/>
            <w:gridSpan w:val="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7">
              <w:r>
                <w:rPr>
                  <w:rFonts w:ascii="Arial" w:cs="Arial" w:eastAsia="Arial" w:hAnsi="Arial"/>
                  <w:sz w:val="16"/>
                  <w:szCs w:val="16"/>
                  <w:color w:val="0000FF"/>
                  <w:w w:val="78"/>
                </w:rPr>
                <w:t>26</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8"/>
          </w:tcPr>
          <w:p>
            <w:pPr>
              <w:spacing w:after="0"/>
              <w:rPr>
                <w:rFonts w:ascii="Arial" w:cs="Arial" w:eastAsia="Arial" w:hAnsi="Arial"/>
                <w:sz w:val="16"/>
                <w:szCs w:val="16"/>
                <w:b w:val="1"/>
                <w:bCs w:val="1"/>
                <w:color w:val="0000FF"/>
                <w:w w:val="98"/>
              </w:rPr>
            </w:pPr>
            <w:hyperlink w:anchor="page28">
              <w:r>
                <w:rPr>
                  <w:rFonts w:ascii="Arial" w:cs="Arial" w:eastAsia="Arial" w:hAnsi="Arial"/>
                  <w:sz w:val="16"/>
                  <w:szCs w:val="16"/>
                  <w:b w:val="1"/>
                  <w:bCs w:val="1"/>
                  <w:color w:val="0000FF"/>
                  <w:w w:val="98"/>
                </w:rPr>
                <w:t>PART II. OTHER INFORMATION</w:t>
              </w:r>
            </w:hyperlink>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8">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6"/>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1. Legal Proceedings</w:t>
              </w:r>
            </w:hyperlink>
          </w:p>
        </w:tc>
        <w:tc>
          <w:tcPr>
            <w:tcW w:w="400" w:type="dxa"/>
            <w:vAlign w:val="bottom"/>
          </w:tcPr>
          <w:p>
            <w:pPr>
              <w:spacing w:after="0"/>
              <w:rPr>
                <w:sz w:val="19"/>
                <w:szCs w:val="19"/>
                <w:color w:val="auto"/>
              </w:rPr>
            </w:pPr>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6"/>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1A. Risk Factors</w:t>
              </w:r>
            </w:hyperlink>
          </w:p>
        </w:tc>
        <w:tc>
          <w:tcPr>
            <w:tcW w:w="8160" w:type="dxa"/>
            <w:vAlign w:val="bottom"/>
            <w:gridSpan w:val="14"/>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2. Unregistered Sales of Equity Securities and Use of Proceeds</w:t>
              </w:r>
            </w:hyperlink>
          </w:p>
        </w:tc>
        <w:tc>
          <w:tcPr>
            <w:tcW w:w="1060" w:type="dxa"/>
            <w:vAlign w:val="bottom"/>
            <w:gridSpan w:val="3"/>
          </w:tcPr>
          <w:p>
            <w:pPr>
              <w:jc w:val="center"/>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9"/>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3. Defaults Upon Senior Securities</w:t>
              </w:r>
            </w:hyperlink>
          </w:p>
        </w:tc>
        <w:tc>
          <w:tcPr>
            <w:tcW w:w="2060" w:type="dxa"/>
            <w:vAlign w:val="bottom"/>
            <w:gridSpan w:val="9"/>
          </w:tcPr>
          <w:p>
            <w:pPr>
              <w:spacing w:after="0"/>
              <w:rPr>
                <w:sz w:val="19"/>
                <w:szCs w:val="19"/>
                <w:color w:val="auto"/>
              </w:rPr>
            </w:pPr>
          </w:p>
        </w:tc>
        <w:tc>
          <w:tcPr>
            <w:tcW w:w="514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7"/>
          </w:tcPr>
          <w:p>
            <w:pPr>
              <w:spacing w:after="0"/>
              <w:rPr>
                <w:rFonts w:ascii="Arial" w:cs="Arial" w:eastAsia="Arial" w:hAnsi="Arial"/>
                <w:sz w:val="16"/>
                <w:szCs w:val="16"/>
                <w:color w:val="0000FF"/>
                <w:w w:val="99"/>
              </w:rPr>
            </w:pPr>
            <w:hyperlink w:anchor="page29">
              <w:r>
                <w:rPr>
                  <w:rFonts w:ascii="Arial" w:cs="Arial" w:eastAsia="Arial" w:hAnsi="Arial"/>
                  <w:sz w:val="16"/>
                  <w:szCs w:val="16"/>
                  <w:color w:val="0000FF"/>
                  <w:w w:val="99"/>
                </w:rPr>
                <w:t>Item 4. Mine Safety Disclosures</w:t>
              </w:r>
            </w:hyperlink>
          </w:p>
        </w:tc>
        <w:tc>
          <w:tcPr>
            <w:tcW w:w="560" w:type="dxa"/>
            <w:vAlign w:val="bottom"/>
            <w:gridSpan w:val="2"/>
          </w:tcPr>
          <w:p>
            <w:pPr>
              <w:spacing w:after="0"/>
              <w:rPr>
                <w:sz w:val="19"/>
                <w:szCs w:val="19"/>
                <w:color w:val="auto"/>
              </w:rPr>
            </w:pPr>
          </w:p>
        </w:tc>
        <w:tc>
          <w:tcPr>
            <w:tcW w:w="7200" w:type="dxa"/>
            <w:vAlign w:val="bottom"/>
            <w:gridSpan w:val="11"/>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5. Other Information</w:t>
              </w:r>
            </w:hyperlink>
          </w:p>
        </w:tc>
        <w:tc>
          <w:tcPr>
            <w:tcW w:w="480" w:type="dxa"/>
            <w:vAlign w:val="bottom"/>
            <w:gridSpan w:val="2"/>
          </w:tcPr>
          <w:p>
            <w:pPr>
              <w:spacing w:after="0"/>
              <w:rPr>
                <w:sz w:val="19"/>
                <w:szCs w:val="19"/>
                <w:color w:val="auto"/>
              </w:rPr>
            </w:pPr>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6. Exhibits</w:t>
              </w:r>
            </w:hyperlink>
          </w:p>
        </w:tc>
        <w:tc>
          <w:tcPr>
            <w:tcW w:w="8240" w:type="dxa"/>
            <w:vAlign w:val="bottom"/>
            <w:gridSpan w:val="15"/>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940" w:type="dxa"/>
            <w:vAlign w:val="bottom"/>
            <w:gridSpan w:val="1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gridSpan w:val="3"/>
          </w:tcPr>
          <w:p>
            <w:pPr>
              <w:spacing w:after="0"/>
              <w:rPr>
                <w:rFonts w:ascii="Arial" w:cs="Arial" w:eastAsia="Arial" w:hAnsi="Arial"/>
                <w:sz w:val="16"/>
                <w:szCs w:val="16"/>
                <w:color w:val="0000FF"/>
                <w:w w:val="99"/>
              </w:rPr>
            </w:pPr>
            <w:hyperlink w:anchor="page30">
              <w:r>
                <w:rPr>
                  <w:rFonts w:ascii="Arial" w:cs="Arial" w:eastAsia="Arial" w:hAnsi="Arial"/>
                  <w:sz w:val="16"/>
                  <w:szCs w:val="16"/>
                  <w:color w:val="0000FF"/>
                  <w:w w:val="99"/>
                </w:rPr>
                <w:t>Signature</w:t>
              </w:r>
            </w:hyperlink>
          </w:p>
        </w:tc>
        <w:tc>
          <w:tcPr>
            <w:tcW w:w="9460" w:type="dxa"/>
            <w:vAlign w:val="bottom"/>
            <w:gridSpan w:val="18"/>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30">
              <w:r>
                <w:rPr>
                  <w:rFonts w:ascii="Arial" w:cs="Arial" w:eastAsia="Arial" w:hAnsi="Arial"/>
                  <w:sz w:val="16"/>
                  <w:szCs w:val="16"/>
                  <w:color w:val="0000FF"/>
                  <w:w w:val="78"/>
                </w:rPr>
                <w:t>30</w:t>
              </w:r>
            </w:hyperlink>
          </w:p>
        </w:tc>
      </w:tr>
      <w:tr>
        <w:trPr>
          <w:trHeight w:val="784"/>
        </w:trPr>
        <w:tc>
          <w:tcPr>
            <w:tcW w:w="2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6320" w:type="dxa"/>
            <w:vAlign w:val="bottom"/>
            <w:gridSpan w:val="17"/>
          </w:tcPr>
          <w:p>
            <w:pPr>
              <w:jc w:val="center"/>
              <w:ind w:left="3399"/>
              <w:spacing w:after="0"/>
              <w:rPr>
                <w:sz w:val="20"/>
                <w:szCs w:val="20"/>
                <w:color w:val="auto"/>
              </w:rPr>
            </w:pPr>
            <w:r>
              <w:rPr>
                <w:rFonts w:ascii="Arial" w:cs="Arial" w:eastAsia="Arial" w:hAnsi="Arial"/>
                <w:sz w:val="16"/>
                <w:szCs w:val="16"/>
                <w:color w:val="auto"/>
                <w:w w:val="89"/>
              </w:rPr>
              <w:t>1</w:t>
            </w:r>
          </w:p>
        </w:tc>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20"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growth in future service and other revenues; cost of service revenue; research and development expenses; hiring of employees; sales and marketing expenses; general and administrative expenses;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 customer adoption and demand for our products may be lower than we anticipate; the impact of economic downturns on us and our customers, including from the COVID-19 pandemic; competitive dynamics of the cloud communication and collaboration markets, including voice, contact center, video, messaging, and communication application programming interfaces ("APIs"), in which we compete may change in ways we are not anticipating; impact of supply chain disruptions; third parties may assert ownership rights in our IP, which may limit or prevent our continued use of the core technologies behind our solutions; our customer churn rate may be higher than we anticipate; our Investments we make in marketing, channel and value-added resellers (VARs), e-commerce, new products, may not result in revenue growth; and we may not achieve our target service revenue growth, or the revenue, earnings, or other amounts we forecast in our guidance, for a particular quarter or for the full fiscal year.</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2021,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2022 refers to the fiscal year ending on March 31, 2022). Unless the context requires otherwise, references to "we," "us," "our," "8x8" and the "Company" refer to 8x8, Inc. and its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Quarterly Report are in thousands of U.S.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2021</w:t>
            </w:r>
          </w:p>
        </w:tc>
      </w:tr>
      <w:tr>
        <w:trPr>
          <w:trHeight w:val="207"/>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color w:val="auto"/>
              </w:rPr>
              <w:t>(unaudited)</w:t>
            </w:r>
          </w:p>
        </w:tc>
        <w:tc>
          <w:tcPr>
            <w:tcW w:w="280" w:type="dxa"/>
            <w:vAlign w:val="bottom"/>
          </w:tcPr>
          <w:p>
            <w:pPr>
              <w:spacing w:after="0"/>
              <w:rPr>
                <w:sz w:val="18"/>
                <w:szCs w:val="18"/>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color w:val="auto"/>
                <w:w w:val="98"/>
              </w:rPr>
              <w:t>(audited)</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112,531</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Restricted cash, current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51,150</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sales commission costs, 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30,241</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34,095</w:t>
            </w:r>
          </w:p>
        </w:tc>
      </w:tr>
      <w:tr>
        <w:trPr>
          <w:trHeight w:val="213"/>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276,533</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86,860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93,076</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66,664</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17,130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75,668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72,427</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20,597</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29,618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31,236</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29,879</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12,129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22,362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09"/>
        </w:trPr>
        <w:tc>
          <w:tcPr>
            <w:tcW w:w="782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121,378</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82,456</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Convertible senior notes,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317,291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308,435</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w:t>
            </w:r>
          </w:p>
        </w:tc>
      </w:tr>
      <w:tr>
        <w:trPr>
          <w:trHeight w:val="209"/>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520,291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517,905</w:t>
            </w:r>
          </w:p>
        </w:tc>
      </w:tr>
      <w:tr>
        <w:trPr>
          <w:trHeight w:val="19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835,830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755,643</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(677,285)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(591,055)</w:t>
            </w:r>
          </w:p>
        </w:tc>
      </w:tr>
      <w:tr>
        <w:trPr>
          <w:trHeight w:val="209"/>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672,842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82"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and shares in thousands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5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235,125</w:t>
            </w: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15,815</w:t>
            </w:r>
          </w:p>
        </w:tc>
      </w:tr>
      <w:tr>
        <w:trPr>
          <w:trHeight w:val="212"/>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299,884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250,940</w:t>
            </w:r>
          </w:p>
        </w:tc>
      </w:tr>
      <w:tr>
        <w:trPr>
          <w:trHeight w:val="193"/>
        </w:trPr>
        <w:tc>
          <w:tcPr>
            <w:tcW w:w="5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85,799</w:t>
            </w:r>
          </w:p>
        </w:tc>
      </w:tr>
      <w:tr>
        <w:trPr>
          <w:trHeight w:val="213"/>
        </w:trPr>
        <w:tc>
          <w:tcPr>
            <w:tcW w:w="5460" w:type="dxa"/>
            <w:vAlign w:val="bottom"/>
          </w:tcPr>
          <w:p>
            <w:pPr>
              <w:ind w:left="220"/>
              <w:spacing w:after="0"/>
              <w:rPr>
                <w:sz w:val="20"/>
                <w:szCs w:val="20"/>
                <w:color w:val="auto"/>
              </w:rPr>
            </w:pPr>
            <w:r>
              <w:rPr>
                <w:rFonts w:ascii="Arial" w:cs="Arial" w:eastAsia="Arial" w:hAnsi="Arial"/>
                <w:sz w:val="16"/>
                <w:szCs w:val="16"/>
                <w:color w:val="auto"/>
              </w:rPr>
              <w:t>Cost of other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22,830</w:t>
            </w:r>
          </w:p>
        </w:tc>
      </w:tr>
      <w:tr>
        <w:trPr>
          <w:trHeight w:val="219"/>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43,061</w:t>
            </w:r>
          </w:p>
        </w:tc>
      </w:tr>
      <w:tr>
        <w:trPr>
          <w:trHeight w:val="213"/>
        </w:trPr>
        <w:tc>
          <w:tcPr>
            <w:tcW w:w="546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76,726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152,641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121,549</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50,114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48,559</w:t>
            </w:r>
          </w:p>
        </w:tc>
      </w:tr>
      <w:tr>
        <w:trPr>
          <w:trHeight w:val="210"/>
        </w:trPr>
        <w:tc>
          <w:tcPr>
            <w:tcW w:w="54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375,868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321,798</w:t>
            </w:r>
          </w:p>
        </w:tc>
      </w:tr>
      <w:tr>
        <w:trPr>
          <w:trHeight w:val="212"/>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(70,858)</w:t>
            </w:r>
          </w:p>
        </w:tc>
      </w:tr>
      <w:tr>
        <w:trPr>
          <w:trHeight w:val="213"/>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(9,103)</w:t>
            </w:r>
          </w:p>
        </w:tc>
      </w:tr>
      <w:tr>
        <w:trPr>
          <w:trHeight w:val="21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(79,961)</w:t>
            </w:r>
          </w:p>
        </w:tc>
      </w:tr>
      <w:tr>
        <w:trPr>
          <w:trHeight w:val="213"/>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(80,326)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46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(0.77)</w:t>
            </w: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0"/>
        </w:trPr>
        <w:tc>
          <w:tcPr>
            <w:tcW w:w="546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112,422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111,180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104,116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5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(80,326)</w:t>
            </w: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gain on investments in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3"/>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w:t>
            </w: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and shares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920" w:type="dxa"/>
            <w:vAlign w:val="bottom"/>
          </w:tcPr>
          <w:p>
            <w:pPr>
              <w:spacing w:after="0"/>
              <w:rPr>
                <w:sz w:val="8"/>
                <w:szCs w:val="8"/>
                <w:color w:val="auto"/>
              </w:rPr>
            </w:pPr>
          </w:p>
        </w:tc>
        <w:tc>
          <w:tcPr>
            <w:tcW w:w="20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8"/>
                <w:szCs w:val="8"/>
                <w:color w:val="auto"/>
              </w:rPr>
            </w:pPr>
          </w:p>
        </w:tc>
        <w:tc>
          <w:tcPr>
            <w:tcW w:w="14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9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(591,055)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Unrealized investment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(43,906)</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156,796</w:t>
            </w:r>
          </w:p>
        </w:tc>
        <w:tc>
          <w:tcPr>
            <w:tcW w:w="0" w:type="dxa"/>
            <w:vAlign w:val="bottom"/>
          </w:tcPr>
          <w:p>
            <w:pPr>
              <w:spacing w:after="0"/>
              <w:rPr>
                <w:sz w:val="1"/>
                <w:szCs w:val="1"/>
                <w:color w:val="auto"/>
              </w:rPr>
            </w:pPr>
          </w:p>
        </w:tc>
      </w:tr>
      <w:tr>
        <w:trPr>
          <w:trHeight w:val="209"/>
        </w:trPr>
        <w:tc>
          <w:tcPr>
            <w:tcW w:w="3920" w:type="dxa"/>
            <w:vAlign w:val="bottom"/>
          </w:tcPr>
          <w:p>
            <w:pPr>
              <w:ind w:left="24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2,721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33,483</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Issuance of common stock related to acquisition</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investment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0" w:type="dxa"/>
            <w:vAlign w:val="bottom"/>
          </w:tcPr>
          <w:p>
            <w:pPr>
              <w:spacing w:after="0"/>
              <w:rPr>
                <w:sz w:val="1"/>
                <w:szCs w:val="1"/>
                <w:color w:val="auto"/>
              </w:rPr>
            </w:pPr>
          </w:p>
        </w:tc>
      </w:tr>
      <w:tr>
        <w:trPr>
          <w:trHeight w:val="213"/>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113,416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835,830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(677,285)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152,551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920" w:type="dxa"/>
            <w:vAlign w:val="bottom"/>
          </w:tcPr>
          <w:p>
            <w:pPr>
              <w:spacing w:after="0"/>
              <w:rPr>
                <w:sz w:val="8"/>
                <w:szCs w:val="8"/>
                <w:color w:val="auto"/>
              </w:rPr>
            </w:pPr>
          </w:p>
        </w:tc>
        <w:tc>
          <w:tcPr>
            <w:tcW w:w="20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8"/>
                <w:szCs w:val="8"/>
                <w:color w:val="auto"/>
              </w:rPr>
            </w:pPr>
          </w:p>
        </w:tc>
        <w:tc>
          <w:tcPr>
            <w:tcW w:w="14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9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625,474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190,731</w:t>
            </w:r>
          </w:p>
        </w:tc>
        <w:tc>
          <w:tcPr>
            <w:tcW w:w="0" w:type="dxa"/>
            <w:vAlign w:val="bottom"/>
          </w:tcPr>
          <w:p>
            <w:pPr>
              <w:spacing w:after="0"/>
              <w:rPr>
                <w:sz w:val="1"/>
                <w:szCs w:val="1"/>
                <w:color w:val="auto"/>
              </w:rPr>
            </w:pPr>
          </w:p>
        </w:tc>
      </w:tr>
      <w:tr>
        <w:trPr>
          <w:trHeight w:val="177"/>
        </w:trPr>
        <w:tc>
          <w:tcPr>
            <w:tcW w:w="3920" w:type="dxa"/>
            <w:vAlign w:val="bottom"/>
          </w:tcPr>
          <w:p>
            <w:pPr>
              <w:ind w:left="220"/>
              <w:spacing w:after="0" w:line="178" w:lineRule="exact"/>
              <w:rPr>
                <w:sz w:val="20"/>
                <w:szCs w:val="20"/>
                <w:color w:val="auto"/>
              </w:rPr>
            </w:pPr>
            <w:r>
              <w:rPr>
                <w:rFonts w:ascii="Arial" w:cs="Arial" w:eastAsia="Arial" w:hAnsi="Arial"/>
                <w:sz w:val="16"/>
                <w:szCs w:val="16"/>
                <w:color w:val="auto"/>
              </w:rPr>
              <w:t>Adjustment to opening balance for change in</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20" w:type="dxa"/>
            <w:vAlign w:val="bottom"/>
          </w:tcPr>
          <w:p>
            <w:pPr>
              <w:ind w:left="220"/>
              <w:spacing w:after="0"/>
              <w:rPr>
                <w:sz w:val="20"/>
                <w:szCs w:val="20"/>
                <w:color w:val="auto"/>
              </w:rPr>
            </w:pPr>
            <w:r>
              <w:rPr>
                <w:rFonts w:ascii="Arial" w:cs="Arial" w:eastAsia="Arial" w:hAnsi="Arial"/>
                <w:sz w:val="16"/>
                <w:szCs w:val="16"/>
                <w:color w:val="auto"/>
              </w:rPr>
              <w:t>accounting principle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23,118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related to acquisition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Unrealized investment gain</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(41,913)</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(467,383)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178,866</w:t>
            </w:r>
          </w:p>
        </w:tc>
        <w:tc>
          <w:tcPr>
            <w:tcW w:w="0" w:type="dxa"/>
            <w:vAlign w:val="bottom"/>
          </w:tcPr>
          <w:p>
            <w:pPr>
              <w:spacing w:after="0"/>
              <w:rPr>
                <w:sz w:val="1"/>
                <w:szCs w:val="1"/>
                <w:color w:val="auto"/>
              </w:rPr>
            </w:pPr>
          </w:p>
        </w:tc>
      </w:tr>
      <w:tr>
        <w:trPr>
          <w:trHeight w:val="210"/>
        </w:trPr>
        <w:tc>
          <w:tcPr>
            <w:tcW w:w="3920" w:type="dxa"/>
            <w:vAlign w:val="bottom"/>
          </w:tcPr>
          <w:p>
            <w:pPr>
              <w:ind w:left="220"/>
              <w:spacing w:after="0"/>
              <w:rPr>
                <w:sz w:val="20"/>
                <w:szCs w:val="20"/>
                <w:color w:val="auto"/>
              </w:rPr>
            </w:pPr>
            <w:r>
              <w:rPr>
                <w:rFonts w:ascii="Arial" w:cs="Arial" w:eastAsia="Arial" w:hAnsi="Arial"/>
                <w:sz w:val="16"/>
                <w:szCs w:val="16"/>
                <w:color w:val="auto"/>
              </w:rPr>
              <w:t>Issuance of common stock under stock plans</w:t>
            </w:r>
          </w:p>
        </w:tc>
        <w:tc>
          <w:tcPr>
            <w:tcW w:w="1040" w:type="dxa"/>
            <w:vAlign w:val="bottom"/>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26,396</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Unrealized investment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213"/>
        </w:trPr>
        <w:tc>
          <w:tcPr>
            <w:tcW w:w="39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(38,413)</w:t>
            </w:r>
          </w:p>
        </w:tc>
        <w:tc>
          <w:tcPr>
            <w:tcW w:w="0" w:type="dxa"/>
            <w:vAlign w:val="bottom"/>
          </w:tcPr>
          <w:p>
            <w:pPr>
              <w:spacing w:after="0"/>
              <w:rPr>
                <w:sz w:val="1"/>
                <w:szCs w:val="1"/>
                <w:color w:val="auto"/>
              </w:rPr>
            </w:pPr>
          </w:p>
        </w:tc>
      </w:tr>
      <w:tr>
        <w:trPr>
          <w:trHeight w:val="23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(505,796)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174,459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78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(86,230)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(80,326)</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5,690</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Amortization of capitalized internal-use software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12,893</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8,317</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Amortization of deferred sales commission costs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16,857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12,764</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Operating lease expense, net of accretion</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7,585</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48,101</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(6,290)</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Other current and non-current assets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(7,532)</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accruals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w:t>
            </w:r>
          </w:p>
        </w:tc>
      </w:tr>
      <w:tr>
        <w:trPr>
          <w:trHeight w:val="20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(13,068)</w:t>
            </w:r>
          </w:p>
        </w:tc>
      </w:tr>
      <w:tr>
        <w:trPr>
          <w:trHeight w:val="145"/>
        </w:trPr>
        <w:tc>
          <w:tcPr>
            <w:tcW w:w="7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(4,171)</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internal-use software costs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(16,158)</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(56,049)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(17,968)</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of investments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maturities of investments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30,071</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r>
      <w:tr>
        <w:trPr>
          <w:trHeight w:val="207"/>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(28,754)</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(11,466)</w:t>
            </w:r>
          </w:p>
        </w:tc>
      </w:tr>
      <w:tr>
        <w:trPr>
          <w:trHeight w:val="145"/>
        </w:trPr>
        <w:tc>
          <w:tcPr>
            <w:tcW w:w="7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payments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Tax-related withholding of common stock</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w:t>
            </w:r>
          </w:p>
        </w:tc>
      </w:tr>
      <w:tr>
        <w:trPr>
          <w:trHeight w:val="206"/>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w:t>
            </w:r>
          </w:p>
        </w:tc>
      </w:tr>
      <w:tr>
        <w:trPr>
          <w:trHeight w:val="145"/>
        </w:trPr>
        <w:tc>
          <w:tcPr>
            <w:tcW w:w="7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13"/>
        </w:trPr>
        <w:tc>
          <w:tcPr>
            <w:tcW w:w="7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Effects of currency exchange rates on cash, cash equivalent, and restricted cash</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(19,005)</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156,411</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137,406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162"/>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at the end of the period:</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102,989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121,848</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6,917</w:t>
            </w:r>
          </w:p>
        </w:tc>
      </w:tr>
      <w:tr>
        <w:trPr>
          <w:trHeight w:val="21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non-current</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8,641</w:t>
            </w:r>
          </w:p>
        </w:tc>
      </w:tr>
      <w:tr>
        <w:trPr>
          <w:trHeight w:val="238"/>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cash, cash equivalents, and restricted cash</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137,406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82"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is a leading Software-as-a-Service ("SaaS") provider of contact center, voice, video, chat, and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our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complement the delivery of our integrated technology platform.</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("GAAP") and regulations of the Securities and Exchange Commission ("SEC") regarding interim financial reporting. Accordingly, certain information and disclosures normally included in our annual consolidated financial statements prepared in accordance with GAAP have been condensed or omitted. These condensed consolidated financial statements should be read in conjunction with the Company's audited consolidated financial statements as of and for the fiscal year ended March 31, 2021, and notes thereto included in the Company's fiscal 2021 Annual Report on Form 10-K ("Form 10-K"). There were no material changes during the three and six months ended September 30, 2021, to our significant accounting policies as described in the Company's Form 10-K for the fiscal year ended March 31, 2021.</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reported amounts of assets, liabilities and equity, and disclosure of contingent assets and liabilities at the reporting date. On an ongoing basis, the Company evaluates its estimates, including, but not limited to, those related to allowance for credit losses, reserve for expected customer credits or cancellations, fair value of and/or evaluation for impairment of goodwill and other long-lived assets, capitalization of internally developed software, benefit period for deferred sales commission costs, stock-based compensation expense, discount rate used to calculate operating lease liabilities, income and sales tax liabilities, fair value of convertible senior notes,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which enhanced and simplified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was effective for public companies with fiscal years beginning after December 15, 2020, which is fiscal 2022 for the Company. The adoption of this guidance in the first quarter of the Company's fiscal 2022 did not have a material impact on the Company's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w:t>
      </w:r>
      <w:r>
        <w:rPr>
          <w:rFonts w:ascii="Arial" w:cs="Arial" w:eastAsia="Arial" w:hAnsi="Arial"/>
          <w:sz w:val="16"/>
          <w:szCs w:val="16"/>
          <w:i w:val="1"/>
          <w:iCs w:val="1"/>
          <w:color w:val="auto"/>
        </w:rPr>
        <w:t>Derivatives and Hedging—Contracts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Entity’s Own Equity </w:t>
      </w:r>
      <w:r>
        <w:rPr>
          <w:rFonts w:ascii="Arial" w:cs="Arial" w:eastAsia="Arial" w:hAnsi="Arial"/>
          <w:sz w:val="16"/>
          <w:szCs w:val="16"/>
          <w:color w:val="auto"/>
        </w:rPr>
        <w:t>(Subtopic 815-40), which simplifies accounting for convertible instruments by eliminating two of the three accounting models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convertible debt instruments and convertible preferred stock. The guidance also addresses how convertible instruments are accounted for in the diluted earnings per share calculation. The guidance is effective for fiscal years beginning after December 15, 2021, which is fiscal 2023 for the Company. The Company is currently assessing the impact of this pronouncement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12. </w:t>
      </w:r>
      <w:r>
        <w:rPr>
          <w:rFonts w:ascii="Arial" w:cs="Arial" w:eastAsia="Arial" w:hAnsi="Arial"/>
          <w:sz w:val="16"/>
          <w:szCs w:val="16"/>
          <w:i w:val="1"/>
          <w:iCs w:val="1"/>
          <w:color w:val="auto"/>
        </w:rPr>
        <w:t>Geographical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revenues from contracts with customers: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7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11,714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12,840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17,987</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22,362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r>
    </w:tbl>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Contract assets, current, contract assets, non-current, and deferred revenue, non-current are recorded on the Condensed Consolidated Balance Sheets in </w:t>
      </w:r>
      <w:r>
        <w:rPr>
          <w:rFonts w:ascii="Arial" w:cs="Arial" w:eastAsia="Arial" w:hAnsi="Arial"/>
          <w:sz w:val="16"/>
          <w:szCs w:val="16"/>
          <w:i w:val="1"/>
          <w:iCs w:val="1"/>
          <w:color w:val="auto"/>
        </w:rPr>
        <w:t>Other current assets</w:t>
      </w:r>
      <w:r>
        <w:rPr>
          <w:rFonts w:ascii="Arial" w:cs="Arial" w:eastAsia="Arial" w:hAnsi="Arial"/>
          <w:sz w:val="16"/>
          <w:szCs w:val="16"/>
          <w:color w:val="auto"/>
        </w:rPr>
        <w:t>,</w:t>
      </w:r>
      <w:r>
        <w:rPr>
          <w:rFonts w:ascii="Arial" w:cs="Arial" w:eastAsia="Arial" w:hAnsi="Arial"/>
          <w:sz w:val="16"/>
          <w:szCs w:val="16"/>
          <w:i w:val="1"/>
          <w:iCs w:val="1"/>
          <w:color w:val="auto"/>
        </w:rPr>
        <w:t xml:space="preserve"> Other assets</w:t>
      </w:r>
      <w:r>
        <w:rPr>
          <w:rFonts w:ascii="Arial" w:cs="Arial" w:eastAsia="Arial" w:hAnsi="Arial"/>
          <w:sz w:val="16"/>
          <w:szCs w:val="16"/>
          <w:color w:val="auto"/>
        </w:rPr>
        <w:t>, and</w:t>
      </w:r>
      <w:r>
        <w:rPr>
          <w:rFonts w:ascii="Arial" w:cs="Arial" w:eastAsia="Arial" w:hAnsi="Arial"/>
          <w:sz w:val="16"/>
          <w:szCs w:val="16"/>
          <w:i w:val="1"/>
          <w:iCs w:val="1"/>
          <w:color w:val="auto"/>
        </w:rPr>
        <w:t xml:space="preserve"> Other liabilities, non-current</w:t>
      </w:r>
      <w:r>
        <w:rPr>
          <w:rFonts w:ascii="Arial" w:cs="Arial" w:eastAsia="Arial" w:hAnsi="Arial"/>
          <w:sz w:val="16"/>
          <w:szCs w:val="16"/>
          <w:color w:val="auto"/>
        </w:rPr>
        <w:t>, respectively.</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Contract assets represent recognition of revenue, for fulfillment of performance obligations, that has not yet been billed; the net decrease in contract assets was primarily driven by the billing of revenue previously recognized. The net increase in deferred revenue was due to billings in advance of performance obligations being satisfied. During the six months ended September 30, 2021, the Company recognized revenues of approximately $12.2 million, which was included in the deferred revenue balance at the beginning of the period.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subscription terms typically range from one to five years. Contract revenue from remaining performance obligations that had not yet been recognized as of September 30, 2021, was approximately $550.0 million. This amount excludes contracts with an original expected length of less than one year. The Company expects to recognize revenue on approximately 75% of the remaining performance obligations over the next 36 months and approximately 25% thereafter.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six months ended September 30, 2021 was $8.6 million and $16.9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deferred sales commission costs for the three and six months ended September 30, 2020 was $6.7 million and $12.8 million,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write-offs of deferred sales commission costs during the three and six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presents estimated fair values of cash, cash equivalents, restricted cash, and available-for-sale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Cash</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(Current &amp;</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58,458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58,458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101,589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101,589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101,589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Level 2:</w:t>
            </w: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Certificate of deposit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Corporate debt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18,595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10,245</w:t>
            </w:r>
          </w:p>
        </w:tc>
        <w:tc>
          <w:tcPr>
            <w:tcW w:w="0" w:type="dxa"/>
            <w:vAlign w:val="bottom"/>
          </w:tcPr>
          <w:p>
            <w:pPr>
              <w:spacing w:after="0"/>
              <w:rPr>
                <w:sz w:val="1"/>
                <w:szCs w:val="1"/>
                <w:color w:val="auto"/>
              </w:rPr>
            </w:pPr>
          </w:p>
        </w:tc>
      </w:tr>
      <w:tr>
        <w:trPr>
          <w:trHeight w:val="183"/>
        </w:trPr>
        <w:tc>
          <w:tcPr>
            <w:tcW w:w="210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64,881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64,893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44,607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10,245</w:t>
            </w:r>
          </w:p>
        </w:tc>
        <w:tc>
          <w:tcPr>
            <w:tcW w:w="0" w:type="dxa"/>
            <w:vAlign w:val="bottom"/>
          </w:tcPr>
          <w:p>
            <w:pPr>
              <w:spacing w:after="0"/>
              <w:rPr>
                <w:sz w:val="1"/>
                <w:szCs w:val="1"/>
                <w:color w:val="auto"/>
              </w:rPr>
            </w:pPr>
          </w:p>
        </w:tc>
      </w:tr>
      <w:tr>
        <w:trPr>
          <w:trHeight w:val="183"/>
        </w:trPr>
        <w:tc>
          <w:tcPr>
            <w:tcW w:w="2100" w:type="dxa"/>
            <w:vAlign w:val="bottom"/>
            <w:gridSpan w:val="2"/>
          </w:tcPr>
          <w:p>
            <w:pPr>
              <w:ind w:left="36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166,470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166,482</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102,989</w:t>
            </w:r>
          </w:p>
        </w:tc>
        <w:tc>
          <w:tcPr>
            <w:tcW w:w="10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44,607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10,245</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Cash</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(Current &amp;</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Treasury securities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17,656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16,998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Corporate debt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48,490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48,533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161,449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Certificates of deposit represent the Company's letters of credit securing leases for office facilities, the balances of which are included in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w:t>
      </w:r>
      <w:r>
        <w:rPr>
          <w:rFonts w:ascii="Arial" w:cs="Arial" w:eastAsia="Arial" w:hAnsi="Arial"/>
          <w:sz w:val="16"/>
          <w:szCs w:val="16"/>
          <w:color w:val="auto"/>
        </w:rPr>
        <w:t>and</w:t>
      </w:r>
      <w:r>
        <w:rPr>
          <w:rFonts w:ascii="Arial" w:cs="Arial" w:eastAsia="Arial" w:hAnsi="Arial"/>
          <w:sz w:val="16"/>
          <w:szCs w:val="16"/>
          <w:i w:val="1"/>
          <w:iCs w:val="1"/>
          <w:color w:val="auto"/>
        </w:rPr>
        <w:t xml:space="preserve"> Restricted cash, non-current </w:t>
      </w:r>
      <w:r>
        <w:rPr>
          <w:rFonts w:ascii="Arial" w:cs="Arial" w:eastAsia="Arial" w:hAnsi="Arial"/>
          <w:sz w:val="16"/>
          <w:szCs w:val="16"/>
          <w:color w:val="auto"/>
        </w:rPr>
        <w:t>on the Company's Condensed Consolidated Balance Sheets.</w:t>
      </w:r>
    </w:p>
    <w:p>
      <w:pPr>
        <w:spacing w:after="0" w:line="7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all investments as available-for-sale securities. The Company does not intend to sell any of its investments that are in unrealized loss positions and, as of September 30, 2021, has determined that it is not more likely than not that it will be required to sell any of these investments before recovery of the entire amortized cost bases.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September 30, 2021, the Company did not have any risk of expected credit losses on its investments.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September 30, 2021 and March 31, 2021, the estimated fair value of the Company's outstanding convertible senior notes ("Notes") was $407.9 million and $502.9 million, respectively, which was determined based on the closing price for the Notes on the last trading day of the reporting period and is categorized within Level 2 of the fair value hierarchy due to limited trading activity of the Notes. See Note 8, </w:t>
      </w:r>
      <w:r>
        <w:rPr>
          <w:rFonts w:ascii="Arial" w:cs="Arial" w:eastAsia="Arial" w:hAnsi="Arial"/>
          <w:sz w:val="16"/>
          <w:szCs w:val="16"/>
          <w:i w:val="1"/>
          <w:iCs w:val="1"/>
          <w:color w:val="auto"/>
        </w:rPr>
        <w:t>Convertible Senior Notes and Capped Call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2021</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98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0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12,502</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domain names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3200" w:type="dxa"/>
            <w:vAlign w:val="bottom"/>
          </w:tcPr>
          <w:p>
            <w:pPr>
              <w:ind w:left="240"/>
              <w:spacing w:after="0" w:line="158" w:lineRule="exact"/>
              <w:rPr>
                <w:sz w:val="20"/>
                <w:szCs w:val="20"/>
                <w:color w:val="auto"/>
              </w:rPr>
            </w:pPr>
            <w:r>
              <w:rPr>
                <w:rFonts w:ascii="Arial" w:cs="Arial" w:eastAsia="Arial" w:hAnsi="Arial"/>
                <w:sz w:val="16"/>
                <w:szCs w:val="16"/>
                <w:color w:val="auto"/>
              </w:rPr>
              <w:t>Total acquired identifiable intangible</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33,733</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(19,153)</w:t>
            </w: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14,580</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46,917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(29,787)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17,130</w:t>
            </w:r>
          </w:p>
        </w:tc>
        <w:tc>
          <w:tcPr>
            <w:tcW w:w="0" w:type="dxa"/>
            <w:vAlign w:val="bottom"/>
          </w:tcPr>
          <w:p>
            <w:pPr>
              <w:spacing w:after="0"/>
              <w:rPr>
                <w:sz w:val="1"/>
                <w:szCs w:val="1"/>
                <w:color w:val="auto"/>
              </w:rPr>
            </w:pPr>
          </w:p>
        </w:tc>
      </w:tr>
      <w:tr>
        <w:trPr>
          <w:trHeight w:val="174"/>
        </w:trPr>
        <w:tc>
          <w:tcPr>
            <w:tcW w:w="3200" w:type="dxa"/>
            <w:vAlign w:val="bottom"/>
          </w:tcPr>
          <w:p>
            <w:pPr>
              <w:ind w:left="240"/>
              <w:spacing w:after="0" w:line="174" w:lineRule="exact"/>
              <w:rPr>
                <w:sz w:val="20"/>
                <w:szCs w:val="20"/>
                <w:color w:val="auto"/>
              </w:rPr>
            </w:pPr>
            <w:r>
              <w:rPr>
                <w:rFonts w:ascii="Arial" w:cs="Arial" w:eastAsia="Arial" w:hAnsi="Arial"/>
                <w:sz w:val="16"/>
                <w:szCs w:val="16"/>
                <w:color w:val="auto"/>
              </w:rPr>
              <w:t>assets</w:t>
            </w: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During the six months ended September 30, 2021, the Company determined certain of its fully amortized intangible assets were no longer in use. As a result, the Company wrote off $6.7 million in gross carrying value of developed technology, $5.5 million of customer relationships, and $0.9 million of trade and domain names. Such intangibles had been fully amortized in prior periods, thus there was no net impact to the Company's consolidated financial statements.</w:t>
      </w:r>
    </w:p>
    <w:p>
      <w:pPr>
        <w:spacing w:after="0" w:line="3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2021, the weighted average remaining useful life of developed technology and customer relationships was 4.4 years and 4.7 years,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the expected future amortization expense of the intangible assets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Goodwill</w:t>
            </w: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20" w:type="dxa"/>
            <w:vAlign w:val="bottom"/>
          </w:tcPr>
          <w:p>
            <w:pPr>
              <w:spacing w:after="0"/>
              <w:rPr>
                <w:sz w:val="20"/>
                <w:szCs w:val="20"/>
                <w:color w:val="auto"/>
              </w:rPr>
            </w:pPr>
            <w:r>
              <w:rPr>
                <w:rFonts w:ascii="Arial" w:cs="Arial" w:eastAsia="Arial" w:hAnsi="Arial"/>
                <w:sz w:val="16"/>
                <w:szCs w:val="16"/>
                <w:color w:val="auto"/>
              </w:rPr>
              <w:t>The following table provides a summary of the change in the carrying amount of goodwill:</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130,869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6. LEASES</w:t>
            </w: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Arial" w:cs="Arial" w:eastAsia="Arial" w:hAnsi="Arial"/>
                <w:sz w:val="16"/>
                <w:szCs w:val="16"/>
                <w:b w:val="1"/>
                <w:bCs w:val="1"/>
                <w:i w:val="1"/>
                <w:iCs w:val="1"/>
                <w:color w:val="auto"/>
              </w:rPr>
              <w:t>Operating Leases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20" w:type="dxa"/>
            <w:vAlign w:val="bottom"/>
          </w:tcPr>
          <w:p>
            <w:pPr>
              <w:spacing w:after="0"/>
              <w:rPr>
                <w:sz w:val="20"/>
                <w:szCs w:val="20"/>
                <w:color w:val="auto"/>
              </w:rPr>
            </w:pPr>
            <w:r>
              <w:rPr>
                <w:rFonts w:ascii="Arial" w:cs="Arial" w:eastAsia="Arial" w:hAnsi="Arial"/>
                <w:sz w:val="16"/>
                <w:szCs w:val="16"/>
                <w:color w:val="auto"/>
              </w:rPr>
              <w:t>The following table provides balance sheet information related to the Company's operating leases: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62,379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66,664</w:t>
            </w:r>
          </w:p>
        </w:tc>
        <w:tc>
          <w:tcPr>
            <w:tcW w:w="0" w:type="dxa"/>
            <w:vAlign w:val="bottom"/>
          </w:tcPr>
          <w:p>
            <w:pPr>
              <w:spacing w:after="0"/>
              <w:rPr>
                <w:sz w:val="1"/>
                <w:szCs w:val="1"/>
                <w:color w:val="auto"/>
              </w:rPr>
            </w:pPr>
          </w:p>
        </w:tc>
      </w:tr>
      <w:tr>
        <w:trPr>
          <w:trHeight w:val="273"/>
        </w:trPr>
        <w:tc>
          <w:tcPr>
            <w:tcW w:w="7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82,456</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95,398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gridSpan w:val="5"/>
          </w:tcPr>
          <w:p>
            <w:pPr>
              <w:spacing w:after="0"/>
              <w:rPr>
                <w:sz w:val="20"/>
                <w:szCs w:val="20"/>
                <w:color w:val="auto"/>
              </w:rPr>
            </w:pPr>
            <w:r>
              <w:rPr>
                <w:rFonts w:ascii="Arial" w:cs="Arial" w:eastAsia="Arial" w:hAnsi="Arial"/>
                <w:sz w:val="16"/>
                <w:szCs w:val="16"/>
                <w:color w:val="auto"/>
              </w:rPr>
              <w:t>The following table presents the components of lease expense and cash outflows from operating leases:</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40"/>
        </w:trPr>
        <w:tc>
          <w:tcPr>
            <w:tcW w:w="5500" w:type="dxa"/>
            <w:vAlign w:val="bottom"/>
          </w:tcPr>
          <w:p>
            <w:pPr>
              <w:spacing w:after="0"/>
              <w:rPr>
                <w:sz w:val="24"/>
                <w:szCs w:val="24"/>
                <w:color w:val="auto"/>
              </w:rPr>
            </w:pPr>
          </w:p>
        </w:tc>
        <w:tc>
          <w:tcPr>
            <w:tcW w:w="28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820" w:type="dxa"/>
            <w:vAlign w:val="bottom"/>
            <w:tcBorders>
              <w:bottom w:val="single" w:sz="8" w:color="auto"/>
            </w:tcBorders>
            <w:gridSpan w:val="7"/>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55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3,336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3,834</w:t>
            </w: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6,795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7,585</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w w:val="99"/>
              </w:rPr>
              <w:t>1,507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1,639</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4,254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2,100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8,454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r>
      <w:tr>
        <w:trPr>
          <w:trHeight w:val="399"/>
        </w:trPr>
        <w:tc>
          <w:tcPr>
            <w:tcW w:w="7840" w:type="dxa"/>
            <w:vAlign w:val="bottom"/>
            <w:gridSpan w:val="5"/>
          </w:tcPr>
          <w:p>
            <w:pPr>
              <w:spacing w:after="0"/>
              <w:rPr>
                <w:sz w:val="20"/>
                <w:szCs w:val="20"/>
                <w:color w:val="auto"/>
              </w:rPr>
            </w:pPr>
            <w:r>
              <w:rPr>
                <w:rFonts w:ascii="Arial" w:cs="Arial" w:eastAsia="Arial" w:hAnsi="Arial"/>
                <w:sz w:val="16"/>
                <w:szCs w:val="16"/>
                <w:color w:val="auto"/>
              </w:rPr>
              <w:t>Short-term lease expense was immaterial for the three and six months ended September 30, 2021 and 2020.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5500" w:type="dxa"/>
            <w:vAlign w:val="bottom"/>
          </w:tcPr>
          <w:p>
            <w:pPr>
              <w:spacing w:after="0"/>
              <w:rPr>
                <w:sz w:val="20"/>
                <w:szCs w:val="20"/>
                <w:color w:val="auto"/>
              </w:rPr>
            </w:pPr>
            <w:r>
              <w:rPr>
                <w:rFonts w:ascii="Arial" w:cs="Arial" w:eastAsia="Arial" w:hAnsi="Arial"/>
                <w:sz w:val="16"/>
                <w:szCs w:val="16"/>
                <w:color w:val="auto"/>
              </w:rPr>
              <w:t>The following table presents supplemental lease information:</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9"/>
        </w:trPr>
        <w:tc>
          <w:tcPr>
            <w:tcW w:w="5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339"/>
              <w:spacing w:after="0"/>
              <w:rPr>
                <w:sz w:val="20"/>
                <w:szCs w:val="20"/>
                <w:color w:val="auto"/>
              </w:rPr>
            </w:pPr>
            <w:r>
              <w:rPr>
                <w:rFonts w:ascii="Arial" w:cs="Arial" w:eastAsia="Arial" w:hAnsi="Arial"/>
                <w:sz w:val="16"/>
                <w:szCs w:val="16"/>
                <w:b w:val="1"/>
                <w:bCs w:val="1"/>
                <w:color w:val="auto"/>
              </w:rPr>
              <w:t>March 31,</w:t>
            </w:r>
          </w:p>
        </w:tc>
      </w:tr>
      <w:tr>
        <w:trPr>
          <w:trHeight w:val="215"/>
        </w:trPr>
        <w:tc>
          <w:tcPr>
            <w:tcW w:w="5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2021</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99"/>
              <w:spacing w:after="0"/>
              <w:rPr>
                <w:sz w:val="20"/>
                <w:szCs w:val="20"/>
                <w:color w:val="auto"/>
              </w:rPr>
            </w:pPr>
            <w:r>
              <w:rPr>
                <w:rFonts w:ascii="Arial" w:cs="Arial" w:eastAsia="Arial" w:hAnsi="Arial"/>
                <w:sz w:val="16"/>
                <w:szCs w:val="16"/>
                <w:color w:val="auto"/>
              </w:rPr>
              <w:t>8.0 years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359"/>
              <w:spacing w:after="0"/>
              <w:rPr>
                <w:sz w:val="20"/>
                <w:szCs w:val="20"/>
                <w:color w:val="auto"/>
              </w:rPr>
            </w:pPr>
            <w:r>
              <w:rPr>
                <w:rFonts w:ascii="Arial" w:cs="Arial" w:eastAsia="Arial" w:hAnsi="Arial"/>
                <w:sz w:val="16"/>
                <w:szCs w:val="16"/>
                <w:color w:val="auto"/>
              </w:rPr>
              <w:t>8.4 years</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center"/>
              <w:ind w:right="179"/>
              <w:spacing w:after="0"/>
              <w:rPr>
                <w:sz w:val="20"/>
                <w:szCs w:val="20"/>
                <w:color w:val="auto"/>
              </w:rPr>
            </w:pPr>
            <w:r>
              <w:rPr>
                <w:rFonts w:ascii="Arial" w:cs="Arial" w:eastAsia="Arial" w:hAnsi="Arial"/>
                <w:sz w:val="16"/>
                <w:szCs w:val="16"/>
                <w:color w:val="auto"/>
                <w:w w:val="98"/>
              </w:rPr>
              <w:t>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39"/>
              <w:spacing w:after="0"/>
              <w:rPr>
                <w:sz w:val="20"/>
                <w:szCs w:val="20"/>
                <w:color w:val="auto"/>
              </w:rPr>
            </w:pPr>
            <w:r>
              <w:rPr>
                <w:rFonts w:ascii="Arial" w:cs="Arial" w:eastAsia="Arial" w:hAnsi="Arial"/>
                <w:sz w:val="16"/>
                <w:szCs w:val="16"/>
                <w:color w:val="auto"/>
                <w:w w:val="98"/>
              </w:rPr>
              <w:t>4.0%</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8,448</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15,511</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12,175</w:t>
            </w: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11,703</w:t>
            </w: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10,681</w:t>
            </w:r>
          </w:p>
        </w:tc>
      </w:tr>
      <w:tr>
        <w:trPr>
          <w:trHeight w:val="213"/>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47,818</w:t>
            </w:r>
          </w:p>
        </w:tc>
      </w:tr>
      <w:tr>
        <w:trPr>
          <w:trHeight w:val="213"/>
        </w:trPr>
        <w:tc>
          <w:tcPr>
            <w:tcW w:w="9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lease payments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106,336</w:t>
            </w:r>
          </w:p>
        </w:tc>
      </w:tr>
      <w:tr>
        <w:trPr>
          <w:trHeight w:val="213"/>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(15,909)</w:t>
            </w:r>
          </w:p>
        </w:tc>
      </w:tr>
      <w:tr>
        <w:trPr>
          <w:trHeight w:val="238"/>
        </w:trPr>
        <w:tc>
          <w:tcPr>
            <w:tcW w:w="9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Present value of lease liabilities</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90,427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September 30, 2021.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Wage and Hour Litigation</w:t>
      </w:r>
      <w:r>
        <w:rPr>
          <w:rFonts w:ascii="Arial" w:cs="Arial" w:eastAsia="Arial" w:hAnsi="Arial"/>
          <w:sz w:val="16"/>
          <w:szCs w:val="16"/>
          <w:color w:val="auto"/>
        </w:rPr>
        <w:t>. On September 21, 2020, the Company received a copy of a letter filed by a former employee, Plaintiff Denise Rivas,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(“PAGA Complaint”) in Santa Clara County Superior Court against the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Company, in which she alleges 6 violations of California state wage and hour practices for all of the Company's current and former non-exempt employees based in California from September 16, 2019 to the present. The PAGA Complaint was served on the Company on December 11, 2020. On January 26, 2021, the Company filed a general denial of all claims and asserted various affirmative defenses to the PAGA Complaint. A joint mediation for both actions was held in September 2021 and the parties reached a preliminary settlement of all claims. Discovery is stayed in both actions pending completion of the settlement.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Commitments, Indemnifications, and Contingencies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State and Local Taxes and Surcharges. </w:t>
      </w:r>
      <w:r>
        <w:rPr>
          <w:rFonts w:ascii="Arial" w:cs="Arial" w:eastAsia="Arial" w:hAnsi="Arial"/>
          <w:sz w:val="16"/>
          <w:szCs w:val="16"/>
          <w:color w:val="auto"/>
        </w:rPr>
        <w:t>From time to time, the Company has received inquiries from a number of state and local taxing agencies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Accordingly, the Company recorded contingent indirect tax liabilities. As of September 30, 2021 and March 31, 2021, the Company had accrued contingent indirect tax liabilities of $2.5 million and $3.1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CAPPED CALLS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"Additional Notes" and together with the Initial Notes, the "Notes") due 2024 in a registered offering under the same indenture as the Initial Notes. The total net proceeds from the Additional Notes, after deducting underwriting discounts, debt issuance costs and costs of the capped call transactions described below, were approximately $64.6 million. The Additional Notes constitute a further issuance of, and form a single series with, the Initial Notes. Immediately after giving effect to the issuance of the Additional Notes, the Company had $362.5 million aggregate principal amount of convertible senior notes.</w:t>
      </w:r>
    </w:p>
    <w:p>
      <w:pPr>
        <w:spacing w:after="0" w:line="1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2023, the Notes will be convertible only under the following circumstances:</w:t>
      </w:r>
    </w:p>
    <w:p>
      <w:pPr>
        <w:spacing w:after="0" w:line="128" w:lineRule="exact"/>
        <w:rPr>
          <w:sz w:val="20"/>
          <w:szCs w:val="20"/>
          <w:color w:val="auto"/>
        </w:rPr>
      </w:pPr>
    </w:p>
    <w:p>
      <w:pPr>
        <w:jc w:val="both"/>
        <w:ind w:left="660" w:hanging="328"/>
        <w:spacing w:after="0" w:line="25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21" w:lineRule="exact"/>
        <w:rPr>
          <w:rFonts w:ascii="Arial" w:cs="Arial" w:eastAsia="Arial" w:hAnsi="Arial"/>
          <w:sz w:val="16"/>
          <w:szCs w:val="16"/>
          <w:color w:val="auto"/>
        </w:rPr>
      </w:pPr>
    </w:p>
    <w:p>
      <w:pPr>
        <w:jc w:val="both"/>
        <w:ind w:left="660" w:right="20" w:hanging="328"/>
        <w:spacing w:after="0" w:line="25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13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127"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Notes).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three months ended September 30, 2021, the conditions allowing holders of the Notes to convert were not met.</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of the liability component of the Notes: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(44,589)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(53,323)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317,291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308,435</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color w:val="auto"/>
              </w:rPr>
              <w:t>The following table presents interest expense related to the Notes:</w:t>
            </w: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54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8,201</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5480" w:type="dxa"/>
            <w:vAlign w:val="bottom"/>
          </w:tcPr>
          <w:p>
            <w:pPr>
              <w:ind w:left="220"/>
              <w:spacing w:after="0"/>
              <w:rPr>
                <w:sz w:val="20"/>
                <w:szCs w:val="20"/>
                <w:color w:val="auto"/>
              </w:rPr>
            </w:pPr>
            <w:r>
              <w:rPr>
                <w:rFonts w:ascii="Arial" w:cs="Arial" w:eastAsia="Arial" w:hAnsi="Arial"/>
                <w:sz w:val="16"/>
                <w:szCs w:val="16"/>
                <w:color w:val="auto"/>
              </w:rPr>
              <w:t>Total interest expense</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4,916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9,222</w:t>
            </w:r>
          </w:p>
        </w:tc>
      </w:tr>
      <w:tr>
        <w:trPr>
          <w:trHeight w:val="20"/>
        </w:trPr>
        <w:tc>
          <w:tcPr>
            <w:tcW w:w="5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pricing of the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20"/>
                <w:szCs w:val="20"/>
                <w:color w:val="auto"/>
              </w:rPr>
            </w:pPr>
            <w:r>
              <w:rPr>
                <w:rFonts w:ascii="Arial" w:cs="Arial" w:eastAsia="Arial" w:hAnsi="Arial"/>
                <w:sz w:val="16"/>
                <w:szCs w:val="16"/>
                <w:b w:val="1"/>
                <w:bCs w:val="1"/>
                <w:color w:val="auto"/>
              </w:rPr>
              <w:t>9. STOCK-BASED COMPENSATION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8"/>
        </w:trPr>
        <w:tc>
          <w:tcPr>
            <w:tcW w:w="5500" w:type="dxa"/>
            <w:vAlign w:val="bottom"/>
          </w:tcPr>
          <w:p>
            <w:pPr>
              <w:spacing w:after="0"/>
              <w:rPr>
                <w:sz w:val="20"/>
                <w:szCs w:val="20"/>
                <w:color w:val="auto"/>
              </w:rPr>
            </w:pPr>
            <w:r>
              <w:rPr>
                <w:rFonts w:ascii="Arial" w:cs="Arial" w:eastAsia="Arial" w:hAnsi="Arial"/>
                <w:sz w:val="16"/>
                <w:szCs w:val="16"/>
                <w:color w:val="auto"/>
              </w:rPr>
              <w:t>The following table presents stock-based compensation expense: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40"/>
        </w:trPr>
        <w:tc>
          <w:tcPr>
            <w:tcW w:w="5500" w:type="dxa"/>
            <w:vAlign w:val="bottom"/>
          </w:tcPr>
          <w:p>
            <w:pPr>
              <w:spacing w:after="0"/>
              <w:rPr>
                <w:sz w:val="24"/>
                <w:szCs w:val="24"/>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24"/>
                <w:szCs w:val="24"/>
                <w:color w:val="auto"/>
              </w:rPr>
            </w:pPr>
          </w:p>
        </w:tc>
        <w:tc>
          <w:tcPr>
            <w:tcW w:w="27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5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14,800</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12,793</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14,384</w:t>
            </w:r>
          </w:p>
        </w:tc>
      </w:tr>
      <w:tr>
        <w:trPr>
          <w:trHeight w:val="212"/>
        </w:trPr>
        <w:tc>
          <w:tcPr>
            <w:tcW w:w="550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48,101</w:t>
            </w:r>
          </w:p>
        </w:tc>
      </w:tr>
      <w:tr>
        <w:trPr>
          <w:trHeight w:val="21"/>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020" w:type="dxa"/>
            <w:vAlign w:val="bottom"/>
            <w:gridSpan w:val="2"/>
          </w:tcPr>
          <w:p>
            <w:pPr>
              <w:spacing w:after="0"/>
              <w:rPr>
                <w:sz w:val="20"/>
                <w:szCs w:val="20"/>
                <w:color w:val="auto"/>
              </w:rPr>
            </w:pPr>
            <w:r>
              <w:rPr>
                <w:rFonts w:ascii="Arial" w:cs="Arial" w:eastAsia="Arial" w:hAnsi="Arial"/>
                <w:sz w:val="16"/>
                <w:szCs w:val="16"/>
                <w:color w:val="auto"/>
              </w:rPr>
              <w:t>The following table presents stock option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Exercise Price Per</w:t>
            </w: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2.86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41,673</w:t>
            </w: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21.94</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2.70 years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15,770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at September 30,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2.70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15,766</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Exercisable at September 30, 2021</w:t>
            </w:r>
          </w:p>
        </w:tc>
        <w:tc>
          <w:tcPr>
            <w:tcW w:w="1620" w:type="dxa"/>
            <w:vAlign w:val="bottom"/>
          </w:tcPr>
          <w:p>
            <w:pPr>
              <w:jc w:val="right"/>
              <w:spacing w:after="0"/>
              <w:rPr>
                <w:sz w:val="20"/>
                <w:szCs w:val="20"/>
                <w:color w:val="auto"/>
              </w:rPr>
            </w:pPr>
            <w:r>
              <w:rPr>
                <w:rFonts w:ascii="Arial" w:cs="Arial" w:eastAsia="Arial" w:hAnsi="Arial"/>
                <w:sz w:val="16"/>
                <w:szCs w:val="16"/>
                <w:color w:val="auto"/>
              </w:rPr>
              <w:t>1,136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18"/>
                <w:szCs w:val="18"/>
                <w:color w:val="auto"/>
              </w:rPr>
            </w:pPr>
          </w:p>
        </w:tc>
        <w:tc>
          <w:tcPr>
            <w:tcW w:w="1740" w:type="dxa"/>
            <w:vAlign w:val="bottom"/>
            <w:gridSpan w:val="2"/>
          </w:tcPr>
          <w:p>
            <w:pPr>
              <w:ind w:left="860"/>
              <w:spacing w:after="0"/>
              <w:rPr>
                <w:sz w:val="20"/>
                <w:szCs w:val="20"/>
                <w:color w:val="auto"/>
              </w:rPr>
            </w:pPr>
            <w:r>
              <w:rPr>
                <w:rFonts w:ascii="Arial" w:cs="Arial" w:eastAsia="Arial" w:hAnsi="Arial"/>
                <w:sz w:val="16"/>
                <w:szCs w:val="16"/>
                <w:color w:val="auto"/>
              </w:rPr>
              <w:t>2.63 years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15,697</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during the six months ended September 30, 2021 and 2020, was $13.3 million and $0.3 million, respectively.</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September 30, 2021, there was $0.1 million of total unrecognized compensation cost related to stock options, which is expected to be recognized over a weighted average period of approximately 0.74 years.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 (RSUs)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2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Grant Date Fair</w:t>
            </w: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2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9"/>
              </w:rPr>
              <w:t>8,646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1.85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280,467</w:t>
            </w: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20" w:type="dxa"/>
            <w:vAlign w:val="bottom"/>
          </w:tcPr>
          <w:p>
            <w:pPr>
              <w:jc w:val="center"/>
              <w:ind w:left="1019"/>
              <w:spacing w:after="0"/>
              <w:rPr>
                <w:sz w:val="20"/>
                <w:szCs w:val="20"/>
                <w:color w:val="auto"/>
              </w:rPr>
            </w:pPr>
            <w:r>
              <w:rPr>
                <w:rFonts w:ascii="Arial" w:cs="Arial" w:eastAsia="Arial" w:hAnsi="Arial"/>
                <w:sz w:val="16"/>
                <w:szCs w:val="16"/>
                <w:color w:val="auto"/>
                <w:w w:val="99"/>
              </w:rPr>
              <w:t>4,119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26.07</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6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62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color w:val="auto"/>
              </w:rPr>
              <w:t>(1,126)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20.13</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2021</w:t>
            </w:r>
          </w:p>
        </w:tc>
        <w:tc>
          <w:tcPr>
            <w:tcW w:w="1620" w:type="dxa"/>
            <w:vAlign w:val="bottom"/>
            <w:tcBorders>
              <w:bottom w:val="single" w:sz="8" w:color="auto"/>
            </w:tcBorders>
            <w:shd w:val="clear" w:color="auto" w:fill="CCEEFF"/>
          </w:tcPr>
          <w:p>
            <w:pPr>
              <w:jc w:val="center"/>
              <w:ind w:left="1019"/>
              <w:spacing w:after="0"/>
              <w:rPr>
                <w:sz w:val="20"/>
                <w:szCs w:val="20"/>
                <w:color w:val="auto"/>
              </w:rPr>
            </w:pPr>
            <w:r>
              <w:rPr>
                <w:rFonts w:ascii="Arial" w:cs="Arial" w:eastAsia="Arial" w:hAnsi="Arial"/>
                <w:sz w:val="16"/>
                <w:szCs w:val="16"/>
                <w:color w:val="auto"/>
                <w:w w:val="99"/>
              </w:rPr>
              <w:t>8,539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1.07 years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199,726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there was $138.7 million of total unrecognized compensation cost related to RSUs.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 (PSUs)</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 has granted PSUs to certain of its executives with vesting that is contingent on continued service and either Company or market performance. PSUs issued during the three and six months ended September 30, 2021, consist of three tranches: the first tranche vests on the 1st anniversary and is based on the Non-GAAP Gross Profit of the Company; the remaining two tranches vest on the 2nd and 3rd anniversaries, respectively, and are based on the Total Shareholder Return ("TSR") of the Company, as measured relative to a specified market index during the specified periods. For the first tranche, a range of 90% to 110% attainment of the target Non-GAAP Gross Profit over the vesting period will result in a range from 0% to 200% of the target number of shares being earned. For the awards based on TSR, a 2x multiplier will be applied for each percentage point of positive or negative relative TSR over the specified vesting periods,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The amount of compensation expense related to the first tranche is based on the estimated grant date fair value and probable attainment of the performance target as of the balance sheet date. The amount of compensation expense related to the second and third tranches is determined based on the estimated fair value per the Monte Carlo simulation performed as of the grant date.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per share fair values of the first tranche based on the closing price of the Company's common stock on the grant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fair values</w:t>
            </w:r>
          </w:p>
        </w:tc>
        <w:tc>
          <w:tcPr>
            <w:tcW w:w="6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$24.21  -  $25.78</w:t>
            </w:r>
          </w:p>
        </w:tc>
      </w:tr>
    </w:tbl>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estimated grant date fair values, and valuation assumptions used in the Monte Carlo pricing model, of the second and third tranches: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tranche per share fair values</w:t>
            </w:r>
          </w:p>
        </w:tc>
        <w:tc>
          <w:tcPr>
            <w:tcW w:w="3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60"/>
              <w:spacing w:after="0"/>
              <w:rPr>
                <w:sz w:val="20"/>
                <w:szCs w:val="20"/>
                <w:color w:val="auto"/>
              </w:rPr>
            </w:pPr>
            <w:r>
              <w:rPr>
                <w:rFonts w:ascii="Arial" w:cs="Arial" w:eastAsia="Arial" w:hAnsi="Arial"/>
                <w:sz w:val="16"/>
                <w:szCs w:val="16"/>
                <w:color w:val="auto"/>
              </w:rPr>
              <w:t>$33.32</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Third tranche per share fair values</w:t>
            </w:r>
          </w:p>
        </w:tc>
        <w:tc>
          <w:tcPr>
            <w:tcW w:w="3700" w:type="dxa"/>
            <w:vAlign w:val="bottom"/>
          </w:tcPr>
          <w:p>
            <w:pPr>
              <w:jc w:val="right"/>
              <w:spacing w:after="0"/>
              <w:rPr>
                <w:sz w:val="20"/>
                <w:szCs w:val="20"/>
                <w:color w:val="auto"/>
              </w:rPr>
            </w:pPr>
            <w:r>
              <w:rPr>
                <w:rFonts w:ascii="Arial" w:cs="Arial" w:eastAsia="Arial" w:hAnsi="Arial"/>
                <w:sz w:val="16"/>
                <w:szCs w:val="16"/>
                <w:color w:val="auto"/>
              </w:rPr>
              <w:t>$29.59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ind w:left="60"/>
              <w:spacing w:after="0"/>
              <w:rPr>
                <w:sz w:val="20"/>
                <w:szCs w:val="20"/>
                <w:color w:val="auto"/>
              </w:rPr>
            </w:pPr>
            <w:r>
              <w:rPr>
                <w:rFonts w:ascii="Arial" w:cs="Arial" w:eastAsia="Arial" w:hAnsi="Arial"/>
                <w:sz w:val="16"/>
                <w:szCs w:val="16"/>
                <w:color w:val="auto"/>
              </w:rPr>
              <w:t>$34.48</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assumptions:</w:t>
            </w:r>
          </w:p>
        </w:tc>
        <w:tc>
          <w:tcPr>
            <w:tcW w:w="3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5800" w:type="dxa"/>
            <w:vAlign w:val="bottom"/>
          </w:tcPr>
          <w:p>
            <w:pPr>
              <w:ind w:left="240"/>
              <w:spacing w:after="0"/>
              <w:rPr>
                <w:sz w:val="20"/>
                <w:szCs w:val="20"/>
                <w:color w:val="auto"/>
              </w:rPr>
            </w:pPr>
            <w:r>
              <w:rPr>
                <w:rFonts w:ascii="Arial" w:cs="Arial" w:eastAsia="Arial" w:hAnsi="Arial"/>
                <w:sz w:val="16"/>
                <w:szCs w:val="16"/>
                <w:color w:val="auto"/>
              </w:rPr>
              <w:t>Expected volatility</w:t>
            </w:r>
          </w:p>
        </w:tc>
        <w:tc>
          <w:tcPr>
            <w:tcW w:w="3700" w:type="dxa"/>
            <w:vAlign w:val="bottom"/>
          </w:tcPr>
          <w:p>
            <w:pPr>
              <w:jc w:val="right"/>
              <w:spacing w:after="0"/>
              <w:rPr>
                <w:sz w:val="20"/>
                <w:szCs w:val="20"/>
                <w:color w:val="auto"/>
              </w:rPr>
            </w:pPr>
            <w:r>
              <w:rPr>
                <w:rFonts w:ascii="Arial" w:cs="Arial" w:eastAsia="Arial" w:hAnsi="Arial"/>
                <w:sz w:val="16"/>
                <w:szCs w:val="16"/>
                <w:color w:val="auto"/>
              </w:rPr>
              <w:t>58.7 %</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ind w:left="60"/>
              <w:spacing w:after="0"/>
              <w:rPr>
                <w:sz w:val="20"/>
                <w:szCs w:val="20"/>
                <w:color w:val="auto"/>
              </w:rPr>
            </w:pPr>
            <w:r>
              <w:rPr>
                <w:rFonts w:ascii="Arial" w:cs="Arial" w:eastAsia="Arial" w:hAnsi="Arial"/>
                <w:sz w:val="16"/>
                <w:szCs w:val="16"/>
                <w:color w:val="auto"/>
              </w:rPr>
              <w:t>59.7%</w:t>
            </w:r>
          </w:p>
        </w:tc>
      </w:tr>
      <w:tr>
        <w:trPr>
          <w:trHeight w:val="219"/>
        </w:trPr>
        <w:tc>
          <w:tcPr>
            <w:tcW w:w="5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Risk-free interest rates</w:t>
            </w:r>
          </w:p>
        </w:tc>
        <w:tc>
          <w:tcPr>
            <w:tcW w:w="5440" w:type="dxa"/>
            <w:vAlign w:val="bottom"/>
            <w:gridSpan w:val="3"/>
            <w:shd w:val="clear" w:color="auto" w:fill="CCEEFF"/>
          </w:tcPr>
          <w:p>
            <w:pPr>
              <w:jc w:val="right"/>
              <w:ind w:right="959"/>
              <w:spacing w:after="0"/>
              <w:rPr>
                <w:sz w:val="20"/>
                <w:szCs w:val="20"/>
                <w:color w:val="auto"/>
              </w:rPr>
            </w:pPr>
            <w:r>
              <w:rPr>
                <w:rFonts w:ascii="Arial" w:cs="Arial" w:eastAsia="Arial" w:hAnsi="Arial"/>
                <w:sz w:val="16"/>
                <w:szCs w:val="16"/>
                <w:color w:val="auto"/>
              </w:rPr>
              <w:t>0.3 %  -  0.4%</w:t>
            </w:r>
          </w:p>
        </w:tc>
      </w:tr>
      <w:tr>
        <w:trPr>
          <w:trHeight w:val="210"/>
        </w:trPr>
        <w:tc>
          <w:tcPr>
            <w:tcW w:w="5800" w:type="dxa"/>
            <w:vAlign w:val="bottom"/>
          </w:tcPr>
          <w:p>
            <w:pPr>
              <w:ind w:left="240"/>
              <w:spacing w:after="0"/>
              <w:rPr>
                <w:sz w:val="20"/>
                <w:szCs w:val="20"/>
                <w:color w:val="auto"/>
              </w:rPr>
            </w:pPr>
            <w:r>
              <w:rPr>
                <w:rFonts w:ascii="Arial" w:cs="Arial" w:eastAsia="Arial" w:hAnsi="Arial"/>
                <w:sz w:val="16"/>
                <w:szCs w:val="16"/>
                <w:color w:val="auto"/>
              </w:rPr>
              <w:t>Dividend rate</w:t>
            </w:r>
          </w:p>
        </w:tc>
        <w:tc>
          <w:tcPr>
            <w:tcW w:w="3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rPr>
              <w:t>Grant Date Fair</w:t>
            </w:r>
          </w:p>
        </w:tc>
        <w:tc>
          <w:tcPr>
            <w:tcW w:w="17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Value</w:t>
            </w:r>
          </w:p>
        </w:tc>
        <w:tc>
          <w:tcPr>
            <w:tcW w:w="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1.24 years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51,116</w:t>
            </w: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30.41</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6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16.12</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Cancelled/Forfeited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Outstanding at September 30,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33.24</w:t>
            </w:r>
          </w:p>
        </w:tc>
        <w:tc>
          <w:tcPr>
            <w:tcW w:w="80" w:type="dxa"/>
            <w:vAlign w:val="bottom"/>
          </w:tcPr>
          <w:p>
            <w:pPr>
              <w:spacing w:after="0"/>
              <w:rPr>
                <w:sz w:val="18"/>
                <w:szCs w:val="18"/>
                <w:color w:val="auto"/>
              </w:rPr>
            </w:pPr>
          </w:p>
        </w:tc>
        <w:tc>
          <w:tcPr>
            <w:tcW w:w="1740" w:type="dxa"/>
            <w:vAlign w:val="bottom"/>
            <w:gridSpan w:val="2"/>
          </w:tcPr>
          <w:p>
            <w:pPr>
              <w:ind w:left="860"/>
              <w:spacing w:after="0"/>
              <w:rPr>
                <w:sz w:val="20"/>
                <w:szCs w:val="20"/>
                <w:color w:val="auto"/>
              </w:rPr>
            </w:pPr>
            <w:r>
              <w:rPr>
                <w:rFonts w:ascii="Arial" w:cs="Arial" w:eastAsia="Arial" w:hAnsi="Arial"/>
                <w:sz w:val="16"/>
                <w:szCs w:val="16"/>
                <w:color w:val="auto"/>
              </w:rPr>
              <w:t>1.32 years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29,986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Represents additional PSUs awarded as a result of the achievement of performance goals above the performance targets established at grant.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there was $24.8 million of total unrecognized compensation cost related to PSUs.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2021, there was approximately $3.6 million of unrecognized cost related to employee stock purchases. This cost is expected to be recognized over a weighted average period of 0.6 years. As of September 30, 2021, a total of 2,522,952 shares were available for issuance under the ESPP.</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Salary and Bonus Stock Program</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March 2021, the Company offered its employees an opportunity to receive a portion of their base cash salary and/or cash bonus for fiscal 2022 in shares of the Company's common stock. Participants that choose to receive stock in place of base cash salary will be subject to reduced cash payroll starting July 2021 through March 2022. The number of shares received by the employee is based on the lower of the closing price of the common stock as of one of two specified look-back dates.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estimated fair value of the shares issued has two components: 1) the value of the base cash salary and/or cash bonus opted to be received as shares, and 2) the grant date fair value of the look-back feature. The estimated fair value of the stock awards will be recognized in stock based compensation expense over the requisite service period of the participants, which may differ from the period in which their original cash compensation is earned. The look-back features are valued as options using the Black-Scholes model, applied to the total number of shares would have been granted under the program based on the closing price of our common stock on the grant date.</w:t>
      </w:r>
    </w:p>
    <w:p>
      <w:pPr>
        <w:spacing w:after="0" w:line="1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estimated fair value on the date of grant of each of the look-back features and the assumptions used in the Black-Scholes pricing model:</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look-back options</w:t>
            </w:r>
          </w:p>
        </w:tc>
        <w:tc>
          <w:tcPr>
            <w:tcW w:w="3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$8.24</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Valuation assumptions:</w:t>
            </w: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420" w:type="dxa"/>
            <w:vAlign w:val="bottom"/>
            <w:shd w:val="clear" w:color="auto" w:fill="CCEEFF"/>
          </w:tcPr>
          <w:p>
            <w:pPr>
              <w:spacing w:after="0"/>
              <w:rPr>
                <w:sz w:val="19"/>
                <w:szCs w:val="19"/>
                <w:color w:val="auto"/>
              </w:rPr>
            </w:pPr>
          </w:p>
        </w:tc>
      </w:tr>
      <w:tr>
        <w:trPr>
          <w:trHeight w:val="213"/>
        </w:trPr>
        <w:tc>
          <w:tcPr>
            <w:tcW w:w="5580" w:type="dxa"/>
            <w:vAlign w:val="bottom"/>
          </w:tcPr>
          <w:p>
            <w:pPr>
              <w:ind w:left="240"/>
              <w:spacing w:after="0"/>
              <w:rPr>
                <w:sz w:val="20"/>
                <w:szCs w:val="20"/>
                <w:color w:val="auto"/>
              </w:rPr>
            </w:pPr>
            <w:r>
              <w:rPr>
                <w:rFonts w:ascii="Arial" w:cs="Arial" w:eastAsia="Arial" w:hAnsi="Arial"/>
                <w:sz w:val="16"/>
                <w:szCs w:val="16"/>
                <w:color w:val="auto"/>
              </w:rPr>
              <w:t>Risk-free interest rates</w:t>
            </w:r>
          </w:p>
        </w:tc>
        <w:tc>
          <w:tcPr>
            <w:tcW w:w="3940" w:type="dxa"/>
            <w:vAlign w:val="bottom"/>
          </w:tcPr>
          <w:p>
            <w:pPr>
              <w:jc w:val="right"/>
              <w:ind w:right="19"/>
              <w:spacing w:after="0"/>
              <w:rPr>
                <w:sz w:val="20"/>
                <w:szCs w:val="20"/>
                <w:color w:val="auto"/>
              </w:rPr>
            </w:pPr>
            <w:r>
              <w:rPr>
                <w:rFonts w:ascii="Arial" w:cs="Arial" w:eastAsia="Arial" w:hAnsi="Arial"/>
                <w:sz w:val="16"/>
                <w:szCs w:val="16"/>
                <w:color w:val="auto"/>
              </w:rPr>
              <w:t>0.05 %</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ind w:left="20"/>
              <w:spacing w:after="0"/>
              <w:rPr>
                <w:sz w:val="20"/>
                <w:szCs w:val="20"/>
                <w:color w:val="auto"/>
              </w:rPr>
            </w:pPr>
            <w:r>
              <w:rPr>
                <w:rFonts w:ascii="Arial" w:cs="Arial" w:eastAsia="Arial" w:hAnsi="Arial"/>
                <w:sz w:val="16"/>
                <w:szCs w:val="16"/>
                <w:color w:val="auto"/>
              </w:rPr>
              <w:t>0.07%</w:t>
            </w:r>
          </w:p>
        </w:tc>
      </w:tr>
      <w:tr>
        <w:trPr>
          <w:trHeight w:val="21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terms (in years)</w:t>
            </w:r>
          </w:p>
        </w:tc>
        <w:tc>
          <w:tcPr>
            <w:tcW w:w="3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w:t>
            </w:r>
          </w:p>
        </w:tc>
      </w:tr>
      <w:tr>
        <w:trPr>
          <w:trHeight w:val="210"/>
        </w:trPr>
        <w:tc>
          <w:tcPr>
            <w:tcW w:w="5580" w:type="dxa"/>
            <w:vAlign w:val="bottom"/>
          </w:tcPr>
          <w:p>
            <w:pPr>
              <w:ind w:left="240"/>
              <w:spacing w:after="0"/>
              <w:rPr>
                <w:sz w:val="20"/>
                <w:szCs w:val="20"/>
                <w:color w:val="auto"/>
              </w:rPr>
            </w:pPr>
            <w:r>
              <w:rPr>
                <w:rFonts w:ascii="Arial" w:cs="Arial" w:eastAsia="Arial" w:hAnsi="Arial"/>
                <w:sz w:val="16"/>
                <w:szCs w:val="16"/>
                <w:color w:val="auto"/>
              </w:rPr>
              <w:t>Dividend rate</w:t>
            </w:r>
          </w:p>
        </w:tc>
        <w:tc>
          <w:tcPr>
            <w:tcW w:w="4240" w:type="dxa"/>
            <w:vAlign w:val="bottom"/>
            <w:gridSpan w:val="2"/>
          </w:tcPr>
          <w:p>
            <w:pPr>
              <w:jc w:val="center"/>
              <w:ind w:left="3659"/>
              <w:spacing w:after="0"/>
              <w:rPr>
                <w:sz w:val="20"/>
                <w:szCs w:val="20"/>
                <w:color w:val="auto"/>
              </w:rPr>
            </w:pPr>
            <w:r>
              <w:rPr>
                <w:rFonts w:ascii="Arial" w:cs="Arial" w:eastAsia="Arial" w:hAnsi="Arial"/>
                <w:sz w:val="16"/>
                <w:szCs w:val="16"/>
                <w:color w:val="auto"/>
                <w:w w:val="99"/>
              </w:rPr>
              <w:t>—%</w:t>
            </w:r>
          </w:p>
        </w:tc>
        <w:tc>
          <w:tcPr>
            <w:tcW w:w="1420" w:type="dxa"/>
            <w:vAlign w:val="bottom"/>
          </w:tcPr>
          <w:p>
            <w:pPr>
              <w:spacing w:after="0"/>
              <w:rPr>
                <w:sz w:val="18"/>
                <w:szCs w:val="18"/>
                <w:color w:val="auto"/>
              </w:rPr>
            </w:pPr>
          </w:p>
        </w:tc>
      </w:tr>
    </w:tbl>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risk-free rates were determined based on published treasury rates over terms consistent with those of the share exchange program. The volatility rate was determined based on historic volatility of the Company's stock and is consistent with the rate used for valuation of the PSU awards granted in June 2021.</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there was $4.5 million of total unrecognized compensation cost related to the salary and bonus stock program.</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stock repurchases during the six months ended September 30, 2021 and September 30,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Company's effective tax rate was (0.6)% and (0.4)% for the three months ended September 30, 2021 and 2020, respectively, and (0.6)% and (0.5)% for the six months ended September 30, 2021 and 2020, respectively. The difference in the effective tax rate and the U.S. federal statutory rate was primarily due to the full valuation allowance the Company maintains against its deferred tax assets. The effective tax rate is calculated by dividing the </w:t>
      </w:r>
      <w:r>
        <w:rPr>
          <w:rFonts w:ascii="Arial" w:cs="Arial" w:eastAsia="Arial" w:hAnsi="Arial"/>
          <w:sz w:val="16"/>
          <w:szCs w:val="16"/>
          <w:i w:val="1"/>
          <w:iCs w:val="1"/>
          <w:color w:val="auto"/>
        </w:rPr>
        <w:t>Provision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by the</w:t>
      </w:r>
      <w:r>
        <w:rPr>
          <w:rFonts w:ascii="Arial" w:cs="Arial" w:eastAsia="Arial" w:hAnsi="Arial"/>
          <w:sz w:val="16"/>
          <w:szCs w:val="16"/>
          <w:i w:val="1"/>
          <w:iCs w:val="1"/>
          <w:color w:val="auto"/>
        </w:rPr>
        <w:t xml:space="preserve"> Loss before provision for income taxes</w:t>
      </w:r>
      <w:r>
        <w:rPr>
          <w:rFonts w:ascii="Arial" w:cs="Arial" w:eastAsia="Arial" w:hAnsi="Arial"/>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table presents the weighted average number of common shares outstanding used in calculating basic and diluted net loss per share (</w:t>
      </w:r>
      <w:r>
        <w:rPr>
          <w:rFonts w:ascii="Arial" w:cs="Arial" w:eastAsia="Arial" w:hAnsi="Arial"/>
          <w:sz w:val="16"/>
          <w:szCs w:val="16"/>
          <w:i w:val="1"/>
          <w:iCs w:val="1"/>
          <w:color w:val="auto"/>
        </w:rPr>
        <w:t>dollars 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 except per share data</w:t>
      </w:r>
      <w:r>
        <w:rPr>
          <w:rFonts w:ascii="Arial" w:cs="Arial" w:eastAsia="Arial" w:hAnsi="Arial"/>
          <w:sz w:val="16"/>
          <w:szCs w:val="16"/>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0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2"/>
        </w:trPr>
        <w:tc>
          <w:tcPr>
            <w:tcW w:w="5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(80,326)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104,620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111,180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104,116</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06"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and Six Months Ended</w:t>
      </w:r>
    </w:p>
    <w:p>
      <w:pPr>
        <w:jc w:val="center"/>
        <w:ind w:left="8380"/>
        <w:spacing w:after="0"/>
        <w:rPr>
          <w:sz w:val="20"/>
          <w:szCs w:val="20"/>
          <w:color w:val="auto"/>
        </w:rPr>
      </w:pPr>
      <w:r>
        <w:rPr>
          <w:rFonts w:ascii="Arial" w:cs="Arial" w:eastAsia="Arial" w:hAnsi="Arial"/>
          <w:sz w:val="16"/>
          <w:szCs w:val="16"/>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360" w:type="dxa"/>
            <w:vAlign w:val="bottom"/>
          </w:tcPr>
          <w:p>
            <w:pPr>
              <w:jc w:val="right"/>
              <w:spacing w:after="0"/>
              <w:rPr>
                <w:sz w:val="20"/>
                <w:szCs w:val="20"/>
                <w:color w:val="auto"/>
              </w:rPr>
            </w:pPr>
            <w:r>
              <w:rPr>
                <w:rFonts w:ascii="Arial" w:cs="Arial" w:eastAsia="Arial" w:hAnsi="Arial"/>
                <w:sz w:val="16"/>
                <w:szCs w:val="16"/>
                <w:color w:val="auto"/>
              </w:rPr>
              <w:t>9,821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11,472</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213"/>
        </w:trPr>
        <w:tc>
          <w:tcPr>
            <w:tcW w:w="8400" w:type="dxa"/>
            <w:vAlign w:val="bottom"/>
          </w:tcPr>
          <w:p>
            <w:pPr>
              <w:ind w:left="220"/>
              <w:spacing w:after="0"/>
              <w:rPr>
                <w:sz w:val="20"/>
                <w:szCs w:val="20"/>
                <w:color w:val="auto"/>
              </w:rPr>
            </w:pPr>
            <w:r>
              <w:rPr>
                <w:rFonts w:ascii="Arial" w:cs="Arial" w:eastAsia="Arial" w:hAnsi="Arial"/>
                <w:sz w:val="16"/>
                <w:szCs w:val="16"/>
                <w:color w:val="auto"/>
              </w:rPr>
              <w:t>Total potential anti-dilutive shares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11,543</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14,211</w:t>
            </w:r>
          </w:p>
        </w:tc>
      </w:tr>
      <w:tr>
        <w:trPr>
          <w:trHeight w:val="21"/>
        </w:trPr>
        <w:tc>
          <w:tcPr>
            <w:tcW w:w="8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GEOGRAPHICAL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by geographic area: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September 30,</w:t>
            </w:r>
          </w:p>
        </w:tc>
      </w:tr>
      <w:tr>
        <w:trPr>
          <w:trHeight w:val="21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 by geographic area:</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189,349</w:t>
            </w:r>
          </w:p>
        </w:tc>
      </w:tr>
      <w:tr>
        <w:trPr>
          <w:trHeight w:val="213"/>
        </w:trPr>
        <w:tc>
          <w:tcPr>
            <w:tcW w:w="5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61,591</w:t>
            </w:r>
          </w:p>
        </w:tc>
      </w:tr>
      <w:tr>
        <w:trPr>
          <w:trHeight w:val="238"/>
        </w:trPr>
        <w:tc>
          <w:tcPr>
            <w:tcW w:w="5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250,940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 and equipment by geographic area:</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93,076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our Annual Report on Form 10-K ("Form 10-K") for the fiscal year ended March 31, 2021.</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OVERVIEW</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 leading software-as-a-service ("SaaS") provider of voice, video, chat, contact center, and application programming interface ("API") solutions powered by one global cloud communications platform. From our proprietary cloud technology platform, organizations across all their locations and employees globally have access to unified communications, team collaboration, video conferencing, contact center, data and analytics, communication APIs, and other services, enabling them to be more productive and responsive to their customers.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customers represent companies ranging from small businesses to large multinational enterprises, and their users are spread across more than 150 countries. In recent years, we have increased our focus on the mid-market (which we define as customers that generate $25K to $100K ARR) and enterprise (which we define as customers that generate more than $100K ARR) customer categories. See “Key Business Metrics” section below for our definition and discussion of ARR.</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 portfolio of SaaS offerings made available at different rates varying by the specific functionalities, services, and number of users. We generate service revenue from subscriptions to our communication services as well as from our customer's usage of certain of our platform services. We generate other revenues from the sales and rentals of office phones and other hardware equipment, and professional services.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flagship service is our 8x8 X Series, a next generation suite of unified communications as a service ("UCaaS") and contact center as a service ("CCaaS") solutions, which consist of service plans of increasing functionality designated X1, X2, etc., through X8. With 8x8 X Series, we provide enterprise-grade voice, unified communications, video meetings, team collaboration, and contact center functionalities from a single platform. The continued increase in demand for an integrated UCaaS and CCaaS solution led us to introduce eXperience Communications as a Service ("XCaaS"), a deployment model that erases boundaries between UCaaS and CCaaS, delivered through our differentiated single platform.</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offer standalone SaaS services for contact center and video meetings as well as APIs for SMS, messaging, voice, fax, and video through our global communications platform as a service ("CPaaS"). We expect to continue developing and enhancing these services on our platform, as we believe in the value of the collective solutions.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second quarter of fiscal 2022, our service revenue grew approximately 18% year-over-year to $142 million. We continued to show an increase in our total ARR, which grew to $553 million in the second quarter of fiscal 2022, from $467 million in the same period in fiscal 2021, driven by the growth in sales to mid-market and enterprise customers. ARR from mid-market and enterprise customers represented 70% of total ARR in the second quarter of fiscal 2022, and grew 27% compared to the same period in fiscal 2021.</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continued business focus is on achieving improved operating efficiencies while delivering revenue growth. We focus on key areas of spend in our go-to-market strategy and improving gross margin and operating margin through increased spend discipline. Additionally, we look to drive improved efficiencies in our customer acquisition and operations, and are focused on expanding our business upmarket with mid-market and enterprise customers. We believe that this approach will enable the Company to grow and capture market share during this phase of industry disruption, in a cost-effective way, and support the Company in pursuit of its path to profitability and operating cashflow improvement.</w:t>
      </w:r>
    </w:p>
    <w:p>
      <w:pPr>
        <w:spacing w:after="0" w:line="13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plan to continue making investments in activities to acquire more customers, including investing in our marketing efforts, internal and field sales capacity, and research and development. We also intend to continue investing in our indirect channel programs to acquire more third-party selling agents to help sell our solutions, including investments in our value added resellers ("VARs") and master agent programs.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IMPACTS OF COVID-19</w:t>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full extent of the impact of the COVID-19 pandemic on our business, operations and financial results continues to depend on numerous evolving factors that we may not be able to accurately predict, including those set forth under the section entitled "Risk Factors" in our Form 10-K for the fiscal year ended March 31, 2021. In an effort to contain the spread of COVID-19 and its variants, governments around the world have enacted various measures, including orders to close at times non-essential businesses, isolate residents to their homes, and practice social distancing. To protect the health and safety of our employees, our workforce has spent significant time working from home and travel has been curtailed for our employees as well as our customers. While we anticipate that the global health crisis caused by COVID-19 and the measures enacted to slow its spread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will negatively impact business activity across the globe, it is not clear what its potential effects, including the availability and effectiveness of vaccines, now and in the future, and current and future variants of the virus, will be on our business, including the effects on our customers, suppliers or vendors, or on our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periodically reviews certain key business metrics in order to evaluate our operations, allocate resources, and drive financial performance in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(“ARR”)</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reviews Annualized Recurring Subscriptions and Usage (“ARR”) and believes it may be useful to investors in order to evaluate trends in future revenues of the Company. Our management believes revenues are an important indicator for measuring the overall performance of the business. Our management uses trends in ARR to assess our on-going operations, allocate resources, and drive the financial performance of the business. We define Annualized Recurring Subscriptions and Usage, or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XCaaS, and CPaaS offerings. We plan to continue driving our business to increase service revenue through a combination of increased sales and marketing efforts, geographic expansion of our customer base outside the United States, innovation in product and technology, and through strategic acquisitions of technologies and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in conjunction with our cloud telephony service.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platform related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expense, net, consists primarily of interest expense related to the convertible notes, offset by income earned on our cash, cash equivalents, investments, and foreign exchange gains/losses.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 for income taxes consists primarily of foreign income taxes and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("NOLs"). We expect to maintain this valuation allowance until it becomes more likely than not that the benefit of our federal and state deferred tax assets will be realized by way of expected future taxable income in the United States.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our condensed consolidated financial statements and the notes thereto.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Revenue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Service revenue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7"/>
        </w:trPr>
        <w:tc>
          <w:tcPr>
            <w:tcW w:w="1260" w:type="dxa"/>
            <w:vAlign w:val="bottom"/>
            <w:tcBorders>
              <w:top w:val="single" w:sz="8" w:color="auto"/>
              <w:bottom w:val="single" w:sz="8" w:color="CCEEFF"/>
            </w:tcBorders>
          </w:tcPr>
          <w:p>
            <w:pPr>
              <w:spacing w:after="0"/>
              <w:rPr>
                <w:sz w:val="21"/>
                <w:szCs w:val="21"/>
                <w:color w:val="auto"/>
              </w:rPr>
            </w:pPr>
          </w:p>
        </w:tc>
        <w:tc>
          <w:tcPr>
            <w:tcW w:w="29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1"/>
                <w:szCs w:val="21"/>
                <w:color w:val="auto"/>
              </w:rPr>
            </w:pPr>
          </w:p>
        </w:tc>
      </w:tr>
      <w:tr>
        <w:trPr>
          <w:trHeight w:val="21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142,376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120,942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21,434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93.9 %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93.7 %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3"/>
        </w:trPr>
        <w:tc>
          <w:tcPr>
            <w:tcW w:w="4200" w:type="dxa"/>
            <w:vAlign w:val="bottom"/>
            <w:gridSpan w:val="2"/>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3"/>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280,172</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235,125</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819"/>
              <w:spacing w:after="0"/>
              <w:rPr>
                <w:sz w:val="20"/>
                <w:szCs w:val="20"/>
                <w:color w:val="auto"/>
              </w:rPr>
            </w:pPr>
            <w:r>
              <w:rPr>
                <w:rFonts w:ascii="Arial" w:cs="Arial" w:eastAsia="Arial" w:hAnsi="Arial"/>
                <w:sz w:val="16"/>
                <w:szCs w:val="16"/>
                <w:color w:val="auto"/>
              </w:rPr>
              <w:t>45,047</w:t>
            </w:r>
          </w:p>
        </w:tc>
        <w:tc>
          <w:tcPr>
            <w:tcW w:w="960" w:type="dxa"/>
            <w:vAlign w:val="bottom"/>
          </w:tcPr>
          <w:p>
            <w:pPr>
              <w:jc w:val="right"/>
              <w:spacing w:after="0"/>
              <w:rPr>
                <w:sz w:val="20"/>
                <w:szCs w:val="20"/>
                <w:color w:val="auto"/>
              </w:rPr>
            </w:pPr>
            <w:r>
              <w:rPr>
                <w:rFonts w:ascii="Arial" w:cs="Arial" w:eastAsia="Arial" w:hAnsi="Arial"/>
                <w:sz w:val="16"/>
                <w:szCs w:val="16"/>
                <w:color w:val="auto"/>
              </w:rPr>
              <w:t>19.2 %</w:t>
            </w:r>
          </w:p>
        </w:tc>
      </w:tr>
      <w:tr>
        <w:trPr>
          <w:trHeight w:val="219"/>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Service revenue increased for the three and six months ended September 30, 2021, as compared to the three and six months ended September 30, 2020, primarily due to a net increase in our customer base, expanded offerings to existing customers, and growth in related usage; service revenue from new customers was primarily driven by global sales of XCaaS, and our standalone UCaaS and CCaaS offerings to our mid-market and enterprise customers. The increase in service revenue was also attributable to growth in usage revenue generated by our CPaaS products.</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total service revenue to grow over time with our diverse platform offering as our business continues to expand globally and deeper into our customer categories.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Other revenue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7"/>
        </w:trPr>
        <w:tc>
          <w:tcPr>
            <w:tcW w:w="1100" w:type="dxa"/>
            <w:vAlign w:val="bottom"/>
            <w:tcBorders>
              <w:top w:val="single" w:sz="8" w:color="auto"/>
              <w:bottom w:val="single" w:sz="8" w:color="CCEEFF"/>
            </w:tcBorders>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1"/>
                <w:szCs w:val="2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9,181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8,191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990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3"/>
        </w:trPr>
        <w:tc>
          <w:tcPr>
            <w:tcW w:w="4160" w:type="dxa"/>
            <w:vAlign w:val="bottom"/>
            <w:gridSpan w:val="2"/>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3"/>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19,712</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15,815</w:t>
            </w:r>
          </w:p>
        </w:tc>
        <w:tc>
          <w:tcPr>
            <w:tcW w:w="100" w:type="dxa"/>
            <w:vAlign w:val="bottom"/>
          </w:tcPr>
          <w:p>
            <w:pPr>
              <w:spacing w:after="0"/>
              <w:rPr>
                <w:sz w:val="18"/>
                <w:szCs w:val="18"/>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839"/>
              <w:spacing w:after="0"/>
              <w:rPr>
                <w:sz w:val="20"/>
                <w:szCs w:val="20"/>
                <w:color w:val="auto"/>
              </w:rPr>
            </w:pPr>
            <w:r>
              <w:rPr>
                <w:rFonts w:ascii="Arial" w:cs="Arial" w:eastAsia="Arial" w:hAnsi="Arial"/>
                <w:sz w:val="16"/>
                <w:szCs w:val="16"/>
                <w:color w:val="auto"/>
              </w:rPr>
              <w:t>3,897</w:t>
            </w:r>
          </w:p>
        </w:tc>
        <w:tc>
          <w:tcPr>
            <w:tcW w:w="960" w:type="dxa"/>
            <w:vAlign w:val="bottom"/>
          </w:tcPr>
          <w:p>
            <w:pPr>
              <w:jc w:val="right"/>
              <w:spacing w:after="0"/>
              <w:rPr>
                <w:sz w:val="20"/>
                <w:szCs w:val="20"/>
                <w:color w:val="auto"/>
              </w:rPr>
            </w:pPr>
            <w:r>
              <w:rPr>
                <w:rFonts w:ascii="Arial" w:cs="Arial" w:eastAsia="Arial" w:hAnsi="Arial"/>
                <w:sz w:val="16"/>
                <w:szCs w:val="16"/>
                <w:color w:val="auto"/>
              </w:rPr>
              <w:t>24.6 %</w:t>
            </w:r>
          </w:p>
        </w:tc>
      </w:tr>
      <w:tr>
        <w:trPr>
          <w:trHeight w:val="21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Other revenue increased for the three and six months ended September 30, 2021, as compared to the six months ended September 30, 2020, primarily due to increased professional services revenue resulting from the overall growth in our business and customer base, partially offset by a decrease in product revenue as a result of a shift toward our hardware rental program and soft phone usage.</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other revenue to grow over time as our customer base grows, particularly in mid-market and enterprise, as we focus on delivering enhanced platform offerings to existing and new customers.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No customer represented greater than 10% of the Company's total revenue for the six months ended September 30, 2021 or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Cost of service revenue</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7"/>
        </w:trPr>
        <w:tc>
          <w:tcPr>
            <w:tcW w:w="1280" w:type="dxa"/>
            <w:vAlign w:val="bottom"/>
            <w:tcBorders>
              <w:top w:val="single" w:sz="8" w:color="auto"/>
              <w:bottom w:val="single" w:sz="8" w:color="CCEEFF"/>
            </w:tcBorders>
          </w:tcPr>
          <w:p>
            <w:pPr>
              <w:spacing w:after="0"/>
              <w:rPr>
                <w:sz w:val="21"/>
                <w:szCs w:val="21"/>
                <w:color w:val="auto"/>
              </w:rPr>
            </w:pPr>
          </w:p>
        </w:tc>
        <w:tc>
          <w:tcPr>
            <w:tcW w:w="560" w:type="dxa"/>
            <w:vAlign w:val="bottom"/>
            <w:tcBorders>
              <w:top w:val="single" w:sz="8" w:color="auto"/>
              <w:bottom w:val="single" w:sz="8" w:color="CCEEFF"/>
            </w:tcBorders>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47,198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44,803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2,395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Percentage of service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37.0 %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3"/>
        </w:trPr>
        <w:tc>
          <w:tcPr>
            <w:tcW w:w="4000" w:type="dxa"/>
            <w:vAlign w:val="bottom"/>
            <w:gridSpan w:val="3"/>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Six Months Ended September 30,</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93,208</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85,799</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59"/>
              <w:spacing w:after="0"/>
              <w:rPr>
                <w:sz w:val="20"/>
                <w:szCs w:val="20"/>
                <w:color w:val="auto"/>
              </w:rPr>
            </w:pPr>
            <w:r>
              <w:rPr>
                <w:rFonts w:ascii="Arial" w:cs="Arial" w:eastAsia="Arial" w:hAnsi="Arial"/>
                <w:sz w:val="16"/>
                <w:szCs w:val="16"/>
                <w:color w:val="auto"/>
              </w:rPr>
              <w:t>7,409</w:t>
            </w:r>
          </w:p>
        </w:tc>
        <w:tc>
          <w:tcPr>
            <w:tcW w:w="80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1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service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service revenue increased for the three months ended September 30, 2021, as compared to the three months ended September 30, 2020, yet decreased as a percentage of service revenue, primarily due to increases of:</w:t>
      </w:r>
    </w:p>
    <w:p>
      <w:pPr>
        <w:spacing w:after="0" w:line="87" w:lineRule="exact"/>
        <w:rPr>
          <w:sz w:val="20"/>
          <w:szCs w:val="20"/>
          <w:color w:val="auto"/>
        </w:rPr>
      </w:pPr>
    </w:p>
    <w:p>
      <w:pPr>
        <w:ind w:left="66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$3.8 million in communication infrastructure costs incurred to deliver our services resulting from growth in usage across our platform including those in connection with CPaaS;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$0.4 million in amortization of capitalized internal-use software.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decreases of:</w:t>
      </w:r>
    </w:p>
    <w:p>
      <w:pPr>
        <w:spacing w:after="0" w:line="11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 million in employee and consulting related expenditures;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$0.4 million in depreciation and amortization of intangible assets.</w:t>
      </w:r>
    </w:p>
    <w:p>
      <w:pPr>
        <w:spacing w:after="0" w:line="1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service revenue increased for the six months ended September 30, 2021, as compared to the six months ended September 30, 2020, yet decreased as a percentage of service revenue, primarily due to increases of:</w:t>
      </w:r>
    </w:p>
    <w:p>
      <w:pPr>
        <w:spacing w:after="0" w:line="87" w:lineRule="exact"/>
        <w:rPr>
          <w:sz w:val="20"/>
          <w:szCs w:val="20"/>
          <w:color w:val="auto"/>
        </w:rPr>
      </w:pPr>
    </w:p>
    <w:p>
      <w:pPr>
        <w:ind w:left="660" w:hanging="328"/>
        <w:spacing w:after="0" w:line="26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$9.6 million in communication infrastructure costs incurred to deliver our services resulting from growth in usage across our platform including those in connection with CPaaS; and</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$1.0 million in amortization of capitalized internal-use software.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decreases of:</w:t>
      </w:r>
    </w:p>
    <w:p>
      <w:pPr>
        <w:spacing w:after="0" w:line="113"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$2.3 million in employee and consulting related expenditures;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$0.8 million in depreciation and amortization of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expect cost of service revenue will increase in absolute dollars in future periods as revenue continues to grow.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Cost of other revenue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1680" w:type="dxa"/>
            <w:vAlign w:val="bottom"/>
            <w:tcBorders>
              <w:top w:val="single" w:sz="8" w:color="auto"/>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11,693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576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other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133.6 %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142.8 %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00" w:type="dxa"/>
            <w:vAlign w:val="bottom"/>
            <w:gridSpan w:val="2"/>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26,015</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22,830</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19"/>
              <w:spacing w:after="0"/>
              <w:rPr>
                <w:sz w:val="20"/>
                <w:szCs w:val="20"/>
                <w:color w:val="auto"/>
              </w:rPr>
            </w:pPr>
            <w:r>
              <w:rPr>
                <w:rFonts w:ascii="Arial" w:cs="Arial" w:eastAsia="Arial" w:hAnsi="Arial"/>
                <w:sz w:val="16"/>
                <w:szCs w:val="16"/>
                <w:color w:val="auto"/>
              </w:rPr>
              <w:t>3,185</w:t>
            </w:r>
          </w:p>
        </w:tc>
        <w:tc>
          <w:tcPr>
            <w:tcW w:w="840" w:type="dxa"/>
            <w:vAlign w:val="bottom"/>
          </w:tcPr>
          <w:p>
            <w:pPr>
              <w:jc w:val="right"/>
              <w:spacing w:after="0"/>
              <w:rPr>
                <w:sz w:val="20"/>
                <w:szCs w:val="20"/>
                <w:color w:val="auto"/>
              </w:rPr>
            </w:pPr>
            <w:r>
              <w:rPr>
                <w:rFonts w:ascii="Arial" w:cs="Arial" w:eastAsia="Arial" w:hAnsi="Arial"/>
                <w:sz w:val="16"/>
                <w:szCs w:val="16"/>
                <w:color w:val="auto"/>
              </w:rPr>
              <w:t>14.0 %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other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Cost of other revenue increased for the three and six months ended September 30, 2021, as compared to the six months ended September 30, 2020, primarily due to an increase in hardware shipment volume.</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Cost of other revenue as a percentage of other revenue decreased, due to improved pricing and an increase in our hardware rental revenue. We expect that Other revenue margin will vary period over period.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42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5"/>
        </w:trPr>
        <w:tc>
          <w:tcPr>
            <w:tcW w:w="15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4"/>
                <w:szCs w:val="24"/>
                <w:color w:val="auto"/>
              </w:rPr>
            </w:pPr>
          </w:p>
        </w:tc>
      </w:tr>
      <w:tr>
        <w:trPr>
          <w:trHeight w:val="21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28,498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6,931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32.1 %</w:t>
            </w: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00" w:type="dxa"/>
            <w:vAlign w:val="bottom"/>
            <w:gridSpan w:val="3"/>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Six Months Ended September 30,</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53,890</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43,061</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19"/>
              <w:spacing w:after="0"/>
              <w:rPr>
                <w:sz w:val="20"/>
                <w:szCs w:val="20"/>
                <w:color w:val="auto"/>
              </w:rPr>
            </w:pPr>
            <w:r>
              <w:rPr>
                <w:rFonts w:ascii="Arial" w:cs="Arial" w:eastAsia="Arial" w:hAnsi="Arial"/>
                <w:sz w:val="16"/>
                <w:szCs w:val="16"/>
                <w:color w:val="auto"/>
              </w:rPr>
              <w:t>10,829</w:t>
            </w:r>
          </w:p>
        </w:tc>
        <w:tc>
          <w:tcPr>
            <w:tcW w:w="840" w:type="dxa"/>
            <w:vAlign w:val="bottom"/>
          </w:tcPr>
          <w:p>
            <w:pPr>
              <w:jc w:val="right"/>
              <w:spacing w:after="0"/>
              <w:rPr>
                <w:sz w:val="20"/>
                <w:szCs w:val="20"/>
                <w:color w:val="auto"/>
              </w:rPr>
            </w:pPr>
            <w:r>
              <w:rPr>
                <w:rFonts w:ascii="Arial" w:cs="Arial" w:eastAsia="Arial" w:hAnsi="Arial"/>
                <w:sz w:val="16"/>
                <w:szCs w:val="16"/>
                <w:color w:val="auto"/>
              </w:rPr>
              <w:t>25.1 %</w:t>
            </w:r>
          </w:p>
        </w:tc>
      </w:tr>
      <w:tr>
        <w:trPr>
          <w:trHeight w:val="219"/>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Research and development expenses increased for the three months ended September 30, 2021, as compared to the three months ended September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$3.5 million from the reduction in the amount of internal-use software costs capitalized and amortization of capitalized internal-use software;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$2.3 million in employee and consulting related expenditures;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$1.2 million in stock-based compensation expense;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$0.8 million in public cloud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a decrease of $1.0 million in facility and overhead costs.</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expenses increased for the six months ended September 30, 2021, as compared to the six months ended September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$5.3 million from the reduction in the amount of internal-use software costs capitalized and amortization of capitalized internal-use software;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$3.4 million in stock-based compensation expense;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$2.4 million in employee and consulting related expenditures;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 million in public cloud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a decrease of $1.6 million in facility and overhead costs.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plan to continue to invest in research and development to support our efforts to expand the capabilities and scope of our platform and to enhance the user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Sales and marketing</w:t>
            </w: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1580" w:type="dxa"/>
            <w:vAlign w:val="bottom"/>
            <w:tcBorders>
              <w:top w:val="single" w:sz="8" w:color="auto"/>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76,726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61,399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15,327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50.6 %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47.5 %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00" w:type="dxa"/>
            <w:vAlign w:val="bottom"/>
            <w:gridSpan w:val="2"/>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152,641</w:t>
            </w:r>
          </w:p>
        </w:tc>
        <w:tc>
          <w:tcPr>
            <w:tcW w:w="100" w:type="dxa"/>
            <w:vAlign w:val="bottom"/>
          </w:tcPr>
          <w:p>
            <w:pPr>
              <w:spacing w:after="0"/>
              <w:rPr>
                <w:sz w:val="18"/>
                <w:szCs w:val="18"/>
                <w:color w:val="auto"/>
              </w:rPr>
            </w:pP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121,549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19"/>
              <w:spacing w:after="0"/>
              <w:rPr>
                <w:sz w:val="20"/>
                <w:szCs w:val="20"/>
                <w:color w:val="auto"/>
              </w:rPr>
            </w:pPr>
            <w:r>
              <w:rPr>
                <w:rFonts w:ascii="Arial" w:cs="Arial" w:eastAsia="Arial" w:hAnsi="Arial"/>
                <w:sz w:val="16"/>
                <w:szCs w:val="16"/>
                <w:color w:val="auto"/>
              </w:rPr>
              <w:t>31,092</w:t>
            </w:r>
          </w:p>
        </w:tc>
        <w:tc>
          <w:tcPr>
            <w:tcW w:w="840" w:type="dxa"/>
            <w:vAlign w:val="bottom"/>
          </w:tcPr>
          <w:p>
            <w:pPr>
              <w:jc w:val="right"/>
              <w:spacing w:after="0"/>
              <w:rPr>
                <w:sz w:val="20"/>
                <w:szCs w:val="20"/>
                <w:color w:val="auto"/>
              </w:rPr>
            </w:pPr>
            <w:r>
              <w:rPr>
                <w:rFonts w:ascii="Arial" w:cs="Arial" w:eastAsia="Arial" w:hAnsi="Arial"/>
                <w:sz w:val="16"/>
                <w:szCs w:val="16"/>
                <w:color w:val="auto"/>
              </w:rPr>
              <w:t>25.6 %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Sales and marketing expenses increased for the three months ended September 30, 2021, as compared to the three months ended September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$6.9 million in internal and external sales commissions;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$5.7 million in stock-based compensation expense; and</w:t>
      </w:r>
    </w:p>
    <w:p>
      <w:pPr>
        <w:spacing w:after="0" w:line="11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$1.6 million in marketing program and public cloud expenses due to gained efficiencies in lead generation and brand awareness, travel related costs, and employee and consulting related expenditures.</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Sales and marketing expenses increased for the six months ended September 30, 2021, as compared to the six months ended September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$14.3 million in stock-based compensation expense;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$13.7 million in internal and external sales commissions; and</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line="26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$1.8 million in marketing program and public cloud expenses due to gained efficiencies in lead generation and brand awareness, travel related costs, and employee and consulting related expenditures.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General and administrative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7"/>
        </w:trPr>
        <w:tc>
          <w:tcPr>
            <w:tcW w:w="2080" w:type="dxa"/>
            <w:vAlign w:val="bottom"/>
            <w:tcBorders>
              <w:top w:val="single" w:sz="8" w:color="auto"/>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24,023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22,769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1,254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4000" w:type="dxa"/>
            <w:vAlign w:val="bottom"/>
            <w:gridSpan w:val="2"/>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50,114</w:t>
            </w:r>
          </w:p>
        </w:tc>
        <w:tc>
          <w:tcPr>
            <w:tcW w:w="100" w:type="dxa"/>
            <w:vAlign w:val="bottom"/>
          </w:tcPr>
          <w:p>
            <w:pPr>
              <w:spacing w:after="0"/>
              <w:rPr>
                <w:sz w:val="18"/>
                <w:szCs w:val="18"/>
                <w:color w:val="auto"/>
              </w:rPr>
            </w:pPr>
          </w:p>
        </w:tc>
        <w:tc>
          <w:tcPr>
            <w:tcW w:w="1260" w:type="dxa"/>
            <w:vAlign w:val="bottom"/>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48,559</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759"/>
              <w:spacing w:after="0"/>
              <w:rPr>
                <w:sz w:val="20"/>
                <w:szCs w:val="20"/>
                <w:color w:val="auto"/>
              </w:rPr>
            </w:pPr>
            <w:r>
              <w:rPr>
                <w:rFonts w:ascii="Arial" w:cs="Arial" w:eastAsia="Arial" w:hAnsi="Arial"/>
                <w:sz w:val="16"/>
                <w:szCs w:val="16"/>
                <w:color w:val="auto"/>
              </w:rPr>
              <w:t>1,555</w:t>
            </w:r>
          </w:p>
        </w:tc>
        <w:tc>
          <w:tcPr>
            <w:tcW w:w="80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General and administrative expenses increased for the three months ended September 30, 2021, as compared to the three months ended September 30, 2020, primarily due to an increase of:</w:t>
      </w:r>
    </w:p>
    <w:p>
      <w:pPr>
        <w:spacing w:after="0" w:line="87" w:lineRule="exact"/>
        <w:rPr>
          <w:sz w:val="20"/>
          <w:szCs w:val="20"/>
          <w:color w:val="auto"/>
        </w:rPr>
      </w:pPr>
    </w:p>
    <w:p>
      <w:pPr>
        <w:ind w:right="6940" w:firstLine="332"/>
        <w:spacing w:after="0" w:line="387" w:lineRule="auto"/>
        <w:tabs>
          <w:tab w:leader="none" w:pos="6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$3.6 million in stock-based compensation expense. This increase was partially offset by decreases of:</w:t>
      </w: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$1.4 million in legal and regulatory costs and contract termination costs;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$1.0 million of lower allowances for credit losses.</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General and administrative expenses increased for the six months ended September 30, 2021, as compared to the six months ended September 30, 2020, primarily due to an increase of:</w:t>
      </w:r>
    </w:p>
    <w:p>
      <w:pPr>
        <w:spacing w:after="0" w:line="87" w:lineRule="exact"/>
        <w:rPr>
          <w:sz w:val="20"/>
          <w:szCs w:val="20"/>
          <w:color w:val="auto"/>
        </w:rPr>
      </w:pPr>
    </w:p>
    <w:p>
      <w:pPr>
        <w:ind w:right="6940" w:firstLine="332"/>
        <w:spacing w:after="0" w:line="387" w:lineRule="auto"/>
        <w:tabs>
          <w:tab w:leader="none" w:pos="6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$6.2 million in stock-based compensation expense. This increase was partially offset by decreases of:</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$2.4 million in legal and regulatory costs and contract termination costs;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$2.3 million of lower allowances for credit losses.</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Other expense, net</w:t>
            </w: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7"/>
        </w:trPr>
        <w:tc>
          <w:tcPr>
            <w:tcW w:w="1460" w:type="dxa"/>
            <w:vAlign w:val="bottom"/>
            <w:tcBorders>
              <w:top w:val="single" w:sz="8" w:color="auto"/>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Change</w:t>
            </w:r>
          </w:p>
        </w:tc>
        <w:tc>
          <w:tcPr>
            <w:tcW w:w="82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4,934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5,178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(244)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3"/>
        </w:trPr>
        <w:tc>
          <w:tcPr>
            <w:tcW w:w="4000" w:type="dxa"/>
            <w:vAlign w:val="bottom"/>
            <w:gridSpan w:val="2"/>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13"/>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9,757</w:t>
            </w:r>
          </w:p>
        </w:tc>
        <w:tc>
          <w:tcPr>
            <w:tcW w:w="100" w:type="dxa"/>
            <w:vAlign w:val="bottom"/>
          </w:tcPr>
          <w:p>
            <w:pPr>
              <w:spacing w:after="0"/>
              <w:rPr>
                <w:sz w:val="18"/>
                <w:szCs w:val="18"/>
                <w:color w:val="auto"/>
              </w:rPr>
            </w:pPr>
          </w:p>
        </w:tc>
        <w:tc>
          <w:tcPr>
            <w:tcW w:w="1300" w:type="dxa"/>
            <w:vAlign w:val="bottom"/>
          </w:tcPr>
          <w:p>
            <w:pPr>
              <w:jc w:val="right"/>
              <w:ind w:right="10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9,103</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739"/>
              <w:spacing w:after="0"/>
              <w:rPr>
                <w:sz w:val="20"/>
                <w:szCs w:val="20"/>
                <w:color w:val="auto"/>
              </w:rPr>
            </w:pPr>
            <w:r>
              <w:rPr>
                <w:rFonts w:ascii="Arial" w:cs="Arial" w:eastAsia="Arial" w:hAnsi="Arial"/>
                <w:sz w:val="16"/>
                <w:szCs w:val="16"/>
                <w:color w:val="auto"/>
              </w:rPr>
              <w:t>654</w:t>
            </w:r>
          </w:p>
        </w:tc>
        <w:tc>
          <w:tcPr>
            <w:tcW w:w="8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change in Other expense, net for the three and six months ended September 30, 2021, as compared to the six months ended September 30, 2020, was primarily due to fluctuations in foreign exchange rates.</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Due to the recognition of interest expense and amortization of debt discount and issuance costs in connection with our convertible senior notes, we expect Other expense, net to remain in a net expense position until fiscal 2024, when our convertible senior notes mature.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2080" w:type="dxa"/>
            <w:vAlign w:val="bottom"/>
            <w:tcBorders>
              <w:top w:val="single" w:sz="8" w:color="auto"/>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September 30,</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96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70.1 %</w:t>
            </w: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73"/>
        </w:trPr>
        <w:tc>
          <w:tcPr>
            <w:tcW w:w="4020" w:type="dxa"/>
            <w:vAlign w:val="bottom"/>
            <w:gridSpan w:val="2"/>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Six Months Ended September 30,</w:t>
            </w: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360" w:type="dxa"/>
            <w:vAlign w:val="bottom"/>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719"/>
              <w:spacing w:after="0"/>
              <w:rPr>
                <w:sz w:val="20"/>
                <w:szCs w:val="20"/>
                <w:color w:val="auto"/>
              </w:rPr>
            </w:pPr>
            <w:r>
              <w:rPr>
                <w:rFonts w:ascii="Arial" w:cs="Arial" w:eastAsia="Arial" w:hAnsi="Arial"/>
                <w:sz w:val="16"/>
                <w:szCs w:val="16"/>
                <w:color w:val="auto"/>
              </w:rPr>
              <w:t>124</w:t>
            </w:r>
          </w:p>
        </w:tc>
        <w:tc>
          <w:tcPr>
            <w:tcW w:w="840" w:type="dxa"/>
            <w:vAlign w:val="bottom"/>
          </w:tcPr>
          <w:p>
            <w:pPr>
              <w:jc w:val="right"/>
              <w:spacing w:after="0"/>
              <w:rPr>
                <w:sz w:val="20"/>
                <w:szCs w:val="20"/>
                <w:color w:val="auto"/>
              </w:rPr>
            </w:pPr>
            <w:r>
              <w:rPr>
                <w:rFonts w:ascii="Arial" w:cs="Arial" w:eastAsia="Arial" w:hAnsi="Arial"/>
                <w:sz w:val="16"/>
                <w:szCs w:val="16"/>
                <w:color w:val="auto"/>
              </w:rPr>
              <w:t>34.0 %</w:t>
            </w: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Percentage of total revenue</w:t>
            </w: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bl>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There was not a material change to our Provision for income taxes for the three and six months ended September 30, 2021 and no material changes are anticipated for the foreseeable future.</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September 30, 2021, we had $157.8 million of cash, cash equivalents, and investments. In addition, as of September 30, 2021, we had $8.6 million in restricted cash in support of letters of credit securing leases for office facilities. As of March 31, 2021, we had $152.9 million of cash, cash equivalents, and investments and $8.6 million of restricted cash.</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reduced cash usage by approximately $5.0 million through March 31, 2021, of which approximately $2.5 million will be remitted to tax authorities during the third quarter of fiscal 2022 and the remaining amount due will be remitted in the third quarter of fiscal 2023.</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2021, the Company offered its employees a limited opportunity to receive a portion of their fiscal 2022 cash salary and/or cash bonus in shares of the Company's common stock. Based on employee elected participation, we expect lower cash usage from payroll compensation of over $5 million during the remainder of fiscal 2022 and approximately $4 million during the first quarter of fiscal 2023.</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believe that our existing cash, cash equivalents, and investment balances, and our anticipated cash flows from operations will be sufficient to meet our working capital and expenditure requirements for the next 12 months.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Period-over-Period Changes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operating activities for the six months ended September 30, 2021, was $9.1 million, as compared with net cash used of $13.1 million in the six months ended September 30, 2020. Cash provided by/used in operating activities is affected by:</w:t>
      </w:r>
    </w:p>
    <w:p>
      <w:pPr>
        <w:spacing w:after="0" w:line="8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net loss;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depreciation and amortization;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amortization associated with deferred sales commissions, debt discount and issuance costs;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expense associated with stock-based compensation; and</w:t>
      </w:r>
    </w:p>
    <w:p>
      <w:pPr>
        <w:spacing w:after="0" w:line="113" w:lineRule="exact"/>
        <w:rPr>
          <w:rFonts w:ascii="Arial" w:cs="Arial" w:eastAsia="Arial" w:hAnsi="Arial"/>
          <w:sz w:val="16"/>
          <w:szCs w:val="16"/>
          <w:color w:val="auto"/>
        </w:rPr>
      </w:pPr>
    </w:p>
    <w:p>
      <w:pPr>
        <w:ind w:right="40" w:firstLine="332"/>
        <w:spacing w:after="0" w:line="387" w:lineRule="auto"/>
        <w:tabs>
          <w:tab w:leader="none" w:pos="6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working capital accounts, particularly in the timing of collections from receivable and payments of obligations, such as commissions. During the six months ended September 30, 2021, net cash provided by operating activities was primarily related to non-cash operating expenses, including:</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stock-based compensation expense of $72.4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depreciation and amortization of $23.0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amortization of the debt discount of $8.9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lease expenses of $6.8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amounts were partially offset by:</w:t>
      </w:r>
    </w:p>
    <w:p>
      <w:pPr>
        <w:spacing w:after="0" w:line="11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net loss of $86.2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cash outflows from sales commissions of $16.9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$28.8 million in the six months ended September 30, 2021, as compared with $11.5 million in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The cash used in investing activities during the six months ended September 30, 2021, was primarily related to:</w:t>
      </w:r>
    </w:p>
    <w:p>
      <w:pPr>
        <w:spacing w:after="0" w:line="11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capitalized internal-use software development costs of $11.6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purchases of investments of $56.0 million, partially offset by $41.3 million of proceeds from maturities and sales of investments.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was $10.2 million in the six months ended September 30, 2021, as compared with $4.6 million in the six months ended September 30, 2020. Cash provided by financing activities for the six months ended September 30, 2021 was primarily related to the proceeds from the issuance of common stock under employee stock plans.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&amp; ESTIMATES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have been no significant changes during the three months ended September 30, 2021, to our critical accounting policies and estimates previously disclosed in our Form 10-K for the fiscal year ended March 31,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For a discussion of recently adopted accounting pronouncements and recent accounting pronouncements not yet adopted, refer to Note 2,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Unaudited Condensed Consolidated Financial Statements included in this Quarterly Report.</w:t>
      </w:r>
    </w:p>
    <w:p>
      <w:pPr>
        <w:spacing w:after="0" w:line="51" w:lineRule="exact"/>
        <w:rPr>
          <w:sz w:val="20"/>
          <w:szCs w:val="20"/>
          <w:color w:val="auto"/>
        </w:rPr>
      </w:pPr>
    </w:p>
    <w:p>
      <w:pPr>
        <w:ind w:right="4940"/>
        <w:spacing w:after="0" w:line="40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Fluctuation Risk</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had cash, cash equivalents, restricted cash, and investments totaling $166.5 million as of September 30, 2021. Cash equivalents and investments were invested primarily in money market funds, U.S.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September 30, 2021, the Company had $362.5 million or aggregate principal amount of convertible senior notes outstanding, which had an estimated fair value was $407.9 million. The fair value of the convertible senior notes is subject to interest rate risk, market risk, and other factors due to the conversion feature.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for the three and six months ended September 30, 2021. As our foreign operations expand, our results may be more impacted by fluctuations in the exchange rates of the currencies in which we do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Effectiveness of Disclosure Controls and Procedures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September 30, 2021.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second quarter of fiscal year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The information set forth in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under the heading “Legal Proceedings” in the Notes to Unaudited Condensed Consolidated Financial Statements included in this Quarterly Report is incorporated by reference in response to this item.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Form 10-K for the fiscal year ended March 31,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20" w:type="dxa"/>
            <w:vAlign w:val="bottom"/>
            <w:gridSpan w:val="7"/>
            <w:vMerge w:val="restart"/>
          </w:tcPr>
          <w:p>
            <w:pPr>
              <w:ind w:left="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2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12"/>
          </w:tcPr>
          <w:p>
            <w:pPr>
              <w:spacing w:after="0" w:line="170" w:lineRule="exact"/>
              <w:rPr>
                <w:rFonts w:ascii="Arial" w:cs="Arial" w:eastAsia="Arial" w:hAnsi="Arial"/>
                <w:sz w:val="16"/>
                <w:szCs w:val="16"/>
                <w:color w:val="0000FF"/>
              </w:rPr>
            </w:pPr>
            <w:hyperlink r:id="rId41">
              <w:r>
                <w:rPr>
                  <w:rFonts w:ascii="Arial" w:cs="Arial" w:eastAsia="Arial" w:hAnsi="Arial"/>
                  <w:sz w:val="16"/>
                  <w:szCs w:val="16"/>
                  <w:color w:val="0000FF"/>
                </w:rPr>
                <w:t>Restated Certificate of Incorporation of Registrant, dated August 22, 2012 (incorporated by reference to Exhibit 3.1 to the Annual</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Report on Form 10-K filed May 27,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12"/>
          </w:tcPr>
          <w:p>
            <w:pPr>
              <w:spacing w:after="0"/>
              <w:rPr>
                <w:rFonts w:ascii="Arial" w:cs="Arial" w:eastAsia="Arial" w:hAnsi="Arial"/>
                <w:sz w:val="16"/>
                <w:szCs w:val="16"/>
                <w:color w:val="0000FF"/>
              </w:rPr>
            </w:pPr>
            <w:hyperlink r:id="rId42">
              <w:r>
                <w:rPr>
                  <w:rFonts w:ascii="Arial" w:cs="Arial" w:eastAsia="Arial" w:hAnsi="Arial"/>
                  <w:sz w:val="16"/>
                  <w:szCs w:val="16"/>
                  <w:color w:val="0000FF"/>
                </w:rPr>
                <w:t>Amended and Restated By-Laws of 8x8, Inc. (incorporated by reference to Exhibit 3.2 to the Current Report on Form 8-K filed July 28,</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42">
              <w:r>
                <w:rPr>
                  <w:rFonts w:ascii="Arial" w:cs="Arial" w:eastAsia="Arial" w:hAnsi="Arial"/>
                  <w:sz w:val="16"/>
                  <w:szCs w:val="16"/>
                  <w:color w:val="0000FF"/>
                  <w:w w:val="96"/>
                </w:rPr>
                <w:t>2015).</w:t>
              </w:r>
            </w:hyperlink>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2"/>
          </w:tcPr>
          <w:p>
            <w:pPr>
              <w:spacing w:after="0"/>
              <w:rPr>
                <w:rFonts w:ascii="Arial" w:cs="Arial" w:eastAsia="Arial" w:hAnsi="Arial"/>
                <w:sz w:val="16"/>
                <w:szCs w:val="16"/>
                <w:color w:val="0000FF"/>
              </w:rPr>
            </w:pPr>
            <w:hyperlink r:id="rId43">
              <w:r>
                <w:rPr>
                  <w:rFonts w:ascii="Arial" w:cs="Arial" w:eastAsia="Arial" w:hAnsi="Arial"/>
                  <w:sz w:val="16"/>
                  <w:szCs w:val="16"/>
                  <w:color w:val="0000FF"/>
                </w:rPr>
                <w:t>Indenture, dated as of February 19, 2019, between 8x8, Inc. and Wilmington Trust, National Association, as trustee (including form of</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43">
              <w:r>
                <w:rPr>
                  <w:rFonts w:ascii="Arial" w:cs="Arial" w:eastAsia="Arial" w:hAnsi="Arial"/>
                  <w:sz w:val="16"/>
                  <w:szCs w:val="16"/>
                  <w:color w:val="0000FF"/>
                </w:rPr>
                <w:t>Note) (incorporated by reference to Exhibit 4.1 to the Current Report on Form 8-K filed February 19, 2019).</w:t>
              </w:r>
            </w:hyperlink>
          </w:p>
        </w:tc>
        <w:tc>
          <w:tcPr>
            <w:tcW w:w="20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2"/>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Certification of Chief Executive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32">
              <w:r>
                <w:rPr>
                  <w:rFonts w:ascii="Arial" w:cs="Arial" w:eastAsia="Arial" w:hAnsi="Arial"/>
                  <w:sz w:val="16"/>
                  <w:szCs w:val="16"/>
                  <w:color w:val="0000FF"/>
                </w:rPr>
                <w:t>pursuant to Section 302 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Certification of Chief Financial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33">
              <w:r>
                <w:rPr>
                  <w:rFonts w:ascii="Arial" w:cs="Arial" w:eastAsia="Arial" w:hAnsi="Arial"/>
                  <w:sz w:val="16"/>
                  <w:szCs w:val="16"/>
                  <w:color w:val="0000FF"/>
                </w:rPr>
                <w:t>pursuant to Section 302 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2"/>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w:anchor="page34">
              <w:r>
                <w:rPr>
                  <w:rFonts w:ascii="Arial" w:cs="Arial" w:eastAsia="Arial" w:hAnsi="Arial"/>
                  <w:sz w:val="16"/>
                  <w:szCs w:val="16"/>
                  <w:color w:val="0000FF"/>
                  <w:w w:val="99"/>
                </w:rPr>
                <w:t>Oxley Act of 2002.</w:t>
              </w:r>
            </w:hyperlink>
          </w:p>
        </w:tc>
        <w:tc>
          <w:tcPr>
            <w:tcW w:w="8320" w:type="dxa"/>
            <w:vAlign w:val="bottom"/>
            <w:tcBorders>
              <w:top w:val="single" w:sz="8" w:color="0000FF"/>
            </w:tcBorders>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w:anchor="page35">
              <w:r>
                <w:rPr>
                  <w:rFonts w:ascii="Arial" w:cs="Arial" w:eastAsia="Arial" w:hAnsi="Arial"/>
                  <w:sz w:val="16"/>
                  <w:szCs w:val="16"/>
                  <w:color w:val="0000FF"/>
                  <w:w w:val="98"/>
                </w:rPr>
                <w:t>Act of 2002.</w:t>
              </w:r>
            </w:hyperlink>
          </w:p>
        </w:tc>
        <w:tc>
          <w:tcPr>
            <w:tcW w:w="874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0" w:right="20" w:hanging="998"/>
        <w:spacing w:after="0" w:line="211" w:lineRule="auto"/>
        <w:tabs>
          <w:tab w:leader="none" w:pos="1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materials from the 8x8, Inc. Quarterly Report on Form 10-Q for the quarter ended June 30, 2021, formatted in iXBRL (Inline eXtensible Business Reporting Language):</w:t>
      </w:r>
    </w:p>
    <w:p>
      <w:pPr>
        <w:jc w:val="both"/>
        <w:ind w:left="1600" w:right="20"/>
        <w:spacing w:after="0" w:line="218" w:lineRule="auto"/>
        <w:rPr>
          <w:rFonts w:ascii="Arial" w:cs="Arial" w:eastAsia="Arial" w:hAnsi="Arial"/>
          <w:sz w:val="16"/>
          <w:szCs w:val="16"/>
          <w:color w:val="auto"/>
        </w:rPr>
      </w:pPr>
      <w:r>
        <w:rPr>
          <w:rFonts w:ascii="Arial" w:cs="Arial" w:eastAsia="Arial" w:hAnsi="Arial"/>
          <w:sz w:val="16"/>
          <w:szCs w:val="16"/>
          <w:color w:val="auto"/>
        </w:rPr>
        <w:t>(i) Condensed Consolidated Balance Sheets as of September 30, 2021 and March 31, 2021; (ii) Condensed Consolidated Statements of Operations for the three and six months ended September 30, 2021 and 2020; (iii) Condensed Consolidated Statements of Comprehensive Loss for the three and six months ended September 30, 2021 and 2020; (iv) Condensed Consolidated Statements of Stockholders' Equity for the three and six months ended September 30, 2021 and 2020; (v) Condensed Consolidated Statements of Cash Flows for the six months ended June 30, 2021 and 2020; and (vi) notes to unaudited condensed consolidated financial statements.</w:t>
      </w:r>
    </w:p>
    <w:p>
      <w:pPr>
        <w:spacing w:after="0" w:line="23" w:lineRule="exact"/>
        <w:rPr>
          <w:sz w:val="20"/>
          <w:szCs w:val="20"/>
          <w:color w:val="auto"/>
        </w:rPr>
      </w:pPr>
    </w:p>
    <w:p>
      <w:pPr>
        <w:ind w:left="20" w:right="3700" w:firstLine="582"/>
        <w:spacing w:after="0" w:line="493" w:lineRule="auto"/>
        <w:tabs>
          <w:tab w:leader="none" w:pos="1586"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034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360" w:hanging="334"/>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2021</w:t>
      </w:r>
    </w:p>
    <w:p>
      <w:pPr>
        <w:spacing w:after="0" w:line="19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8X8, INC.</w:t>
      </w:r>
    </w:p>
    <w:p>
      <w:pPr>
        <w:spacing w:after="0" w:line="30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 /s/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10795</wp:posOffset>
            </wp:positionV>
            <wp:extent cx="3865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Samuel Wilson</w:t>
      </w:r>
    </w:p>
    <w:p>
      <w:pPr>
        <w:spacing w:after="0" w:line="10" w:lineRule="exact"/>
        <w:rPr>
          <w:sz w:val="20"/>
          <w:szCs w:val="20"/>
          <w:color w:val="auto"/>
        </w:rPr>
      </w:pPr>
    </w:p>
    <w:p>
      <w:pPr>
        <w:ind w:left="5140"/>
        <w:spacing w:after="0"/>
        <w:rPr>
          <w:sz w:val="20"/>
          <w:szCs w:val="20"/>
          <w:color w:val="auto"/>
        </w:rPr>
      </w:pPr>
      <w:r>
        <w:rPr>
          <w:rFonts w:ascii="Arial" w:cs="Arial" w:eastAsia="Arial" w:hAnsi="Arial"/>
          <w:sz w:val="16"/>
          <w:szCs w:val="16"/>
          <w:i w:val="1"/>
          <w:iCs w:val="1"/>
          <w:color w:val="auto"/>
        </w:rPr>
        <w:t>Chief Financial Officer</w:t>
      </w:r>
    </w:p>
    <w:p>
      <w:pPr>
        <w:ind w:left="5140"/>
        <w:spacing w:after="0"/>
        <w:rPr>
          <w:sz w:val="20"/>
          <w:szCs w:val="20"/>
          <w:color w:val="auto"/>
        </w:rPr>
      </w:pPr>
      <w:r>
        <w:rPr>
          <w:rFonts w:ascii="Arial" w:cs="Arial" w:eastAsia="Arial" w:hAnsi="Arial"/>
          <w:sz w:val="16"/>
          <w:szCs w:val="16"/>
          <w:i w:val="1"/>
          <w:iCs w:val="1"/>
          <w:color w:val="auto"/>
        </w:rPr>
        <w:t>(Principal Financial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82"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David Sipes, certify that:</w:t>
      </w:r>
    </w:p>
    <w:p>
      <w:pPr>
        <w:spacing w:after="0" w:line="117" w:lineRule="exact"/>
        <w:rPr>
          <w:sz w:val="20"/>
          <w:szCs w:val="20"/>
          <w:color w:val="auto"/>
        </w:rPr>
      </w:pPr>
    </w:p>
    <w:p>
      <w:pPr>
        <w:ind w:left="360" w:hanging="190"/>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900" w:hanging="328"/>
        <w:spacing w:after="0" w:line="342" w:lineRule="auto"/>
        <w:tabs>
          <w:tab w:leader="none" w:pos="65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3, 2021</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1834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Sipes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Samuel Wilson, certify that:</w:t>
      </w:r>
    </w:p>
    <w:p>
      <w:pPr>
        <w:spacing w:after="0" w:line="117" w:lineRule="exact"/>
        <w:rPr>
          <w:sz w:val="20"/>
          <w:szCs w:val="20"/>
          <w:color w:val="auto"/>
        </w:rPr>
      </w:pPr>
    </w:p>
    <w:p>
      <w:pPr>
        <w:ind w:left="360" w:hanging="190"/>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00" w:right="40" w:hanging="168"/>
        <w:spacing w:after="0" w:line="263" w:lineRule="auto"/>
        <w:tabs>
          <w:tab w:leader="none" w:pos="4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00" w:right="20" w:hanging="168"/>
        <w:spacing w:after="0" w:line="263" w:lineRule="auto"/>
        <w:tabs>
          <w:tab w:leader="none" w:pos="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00" w:right="100" w:hanging="168"/>
        <w:spacing w:after="0" w:line="308" w:lineRule="auto"/>
        <w:tabs>
          <w:tab w:leader="none" w:pos="4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500" w:right="140" w:hanging="168"/>
        <w:spacing w:after="0" w:line="263" w:lineRule="auto"/>
        <w:tabs>
          <w:tab w:leader="none" w:pos="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59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Duly Authorized Officer)</w:t>
      </w:r>
    </w:p>
    <w:p>
      <w:pPr>
        <w:sectPr>
          <w:pgSz w:w="11900" w:h="16838" w:orient="portrait"/>
          <w:cols w:equalWidth="0" w:num="1">
            <w:col w:w="11240"/>
          </w:cols>
          <w:pgMar w:left="320" w:top="113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2021,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456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Sipes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 2021</w:t>
      </w:r>
    </w:p>
    <w:p>
      <w:pPr>
        <w:spacing w:after="0" w:line="33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September 30, 2021,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Duly Authorized Officer)</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3, 2021</w:t>
      </w:r>
    </w:p>
    <w:p>
      <w:pPr>
        <w:spacing w:after="0" w:line="34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41" Type="http://schemas.openxmlformats.org/officeDocument/2006/relationships/hyperlink" Target="https://www.sec.gov/Archives/edgar/data/1023731/000113626113000259/exhibit3-1.pdf" TargetMode="External"/><Relationship Id="rId42" Type="http://schemas.openxmlformats.org/officeDocument/2006/relationships/hyperlink" Target="https://www.sec.gov/Archives/edgar/data/1023731/000113626115000219/exh3-2.htm" TargetMode="External"/><Relationship Id="rId43" Type="http://schemas.openxmlformats.org/officeDocument/2006/relationships/hyperlink" Target="https://www.sec.gov/Archives/edgar/data/1023731/000102373119000021/executedindenture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2021-11-03T15:47:24Z</dcterms:created>
  <dcterms:modified xsi:type="dcterms:W3CDTF">2021-11-03T15:47:24Z</dcterms:modified>
</cp:coreProperties>
</file>