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3218.xml.htm"/>
      <w:bookmarkStart w:id="1" w:name="kswkform4_17859632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Theophille Elizabeth Harriet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CREEKSIDE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65,533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232,619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The entire award shall vest in full on the earlier of (a) the one-year anniversary of the date of grant, or (b) the date of the next annual meeting of the Issuers stockholders, in each case, subject to the Reporting Persons continued service to the Issuer through the applicable vesting date. The award is also subject to a deferral election by the Reporting Person and shares will not be issued until the designated deferred settlement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as Attorney-in Fact for Elizabeth Harriet Theophille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077"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3510</Characters>
  <CharactersWithSpaces>4095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